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Table 1. Detailed diagnostic and CRRT-related treatment characteristics according to survival status</w:t>
      </w:r>
    </w:p>
    <w:tbl>
      <w:tblPr>
        <w:tblStyle w:val="Table1"/>
        <w:tblW w:w="995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277"/>
        <w:gridCol w:w="2287"/>
        <w:gridCol w:w="2315"/>
        <w:gridCol w:w="1073"/>
        <w:tblGridChange w:id="0">
          <w:tblGrid>
            <w:gridCol w:w="4277"/>
            <w:gridCol w:w="2287"/>
            <w:gridCol w:w="2315"/>
            <w:gridCol w:w="1073"/>
          </w:tblGrid>
        </w:tblGridChange>
      </w:tblGrid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Variable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Survivors n=96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Non-survivors n=56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Primary diagnosis,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&lt;0.001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Sepsis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 (22.9)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(46.4)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Renal failure/HUS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 (41.7)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(8.9)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Metabolic disease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(4.2)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(7.1)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 intoxication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 (14.6)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(1.8)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Cardiac disease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(6.2)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(12.5)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 diagnoses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(10.4)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 (23.2)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KDIGO stage among AKI patients, 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KDIGO Stage 2, n (%)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(25.9%)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 (51.9%)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0.027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KDIGO Stage 3, n (%)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 (74.1%)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 (48.1%)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CRRT timing, n (%)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Within 24 hours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 (81.2%)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 (57.1%)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0.002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After 24 hours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 (18.8%)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(42.9%)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CRRT indication, n (%)</w:t>
            </w:r>
          </w:p>
          <w:p w:rsidR="00000000" w:rsidDel="00000000" w:rsidP="00000000" w:rsidRDefault="00000000" w:rsidRPr="00000000" w14:paraId="0000003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0.142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Anuria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 (77.1)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 (73.2)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Fluid overload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(8.3)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(5.4)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Cytokine storm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(5.2)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(5.4)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Refractory metabolic acidosis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(1.0)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(5.4)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Hyperammonemia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(3.6)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 intoxication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(2.1)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(1.8)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Multiple indications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(6.2)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(5.4)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Membrane/filter or adsorption device during biomarker sampling interval, 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HF20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(16.7%)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(35.7%)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0.003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M60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 (42.7%)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(21.4%)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M100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 (35.4%)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(28.6%)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oXiris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(5.2%)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(14.3%)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Anticoagulation strategy,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0.184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Heparin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 (47.9)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 (60.7)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Citrate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 (39.6)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 (25.0)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Both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(12.5)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(14.3)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Vascular access site,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0.861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Jugular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(46.9)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(42.9)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Femoral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(19.8)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(17.9)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Subclavian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(9.4)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(8.9)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Multiple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 (24.0)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 (30.4)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Values are presented as n (%). The p-value for each categorical block represents the overall comparison across categories between survivors and non-survivors. KDIGO stage distribution was evaluated among patients with AKI only, and percentages were calculated within the AKI subgroup. Membrane/filter or adsorption device refers to the device used during the biomarker sampling interval. oXiris was considered a modified AN69-based adsorptive membrane. Rare diagnostic and CRRT indication categories with very small cell counts were grouped to improve readability.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80" w:before="28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Table 2. Exploratory analysis of early biomarker kinetics according to CRRT membrane group</w:t>
      </w:r>
    </w:p>
    <w:tbl>
      <w:tblPr>
        <w:tblStyle w:val="Table2"/>
        <w:tblW w:w="9389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16"/>
        <w:gridCol w:w="2742"/>
        <w:gridCol w:w="2835"/>
        <w:gridCol w:w="896"/>
        <w:tblGridChange w:id="0">
          <w:tblGrid>
            <w:gridCol w:w="2916"/>
            <w:gridCol w:w="2742"/>
            <w:gridCol w:w="2835"/>
            <w:gridCol w:w="896"/>
          </w:tblGrid>
        </w:tblGridChange>
      </w:tblGrid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AN69-based membranes n=49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PAES-based membranes n=103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PCT T0, ng/mL, median (IQR)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3.20 (0.59–41.77)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3.55 (0.69–30.00)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0.695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PCT T24, ng/mL, median (IQR)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4.97 (0.90–49.00)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2.65 (0.60–19.25)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0.173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PCT clearance, %, median (IQR)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8.70 (-105.03–33.00)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24.39 (-26.02–52.85)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0.055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CRP T0, mg/L, median (IQR)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23.09 (3.63–81.00)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18.69 (4.43–66.47)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0.816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CRP T24, mg/L, median (IQR)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22.00 (6.75–85.00)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27.97 (7.30–66.70)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0.732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CRP clearance, %, median (IQR)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11.68 (-65.81–36.77)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-2.70 (-97.63–30.01)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0.408</w:t>
            </w:r>
          </w:p>
        </w:tc>
      </w:tr>
    </w:tbl>
    <w:p w:rsidR="00000000" w:rsidDel="00000000" w:rsidP="00000000" w:rsidRDefault="00000000" w:rsidRPr="00000000" w14:paraId="000000B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20"/>
          <w:szCs w:val="20"/>
          <w:rtl w:val="0"/>
        </w:rPr>
        <w:t xml:space="preserve">Values are presented as median (interquartile range). PCT and CRP clearance were calculated individually using [(T0−T24)/T0]×100. Membrane group was defined according to the membrane/filter used during the biomarker sampling interval. HF20 and oXiris were classified as AN69-based membranes, whereas M60 and M100 were classified as PAES-based membranes. oXiris was considered a modified AN69-based adsorptive membrane. Continuous variables were compared using the Mann–Whitney U test.</w:t>
      </w:r>
    </w:p>
    <w:p w:rsidR="00000000" w:rsidDel="00000000" w:rsidP="00000000" w:rsidRDefault="00000000" w:rsidRPr="00000000" w14:paraId="000000B3">
      <w:pPr>
        <w:spacing w:after="280" w:before="28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Table 3. Procalcitonin and C-reactive protein levels according to sepsis status and survival outcome</w:t>
      </w:r>
    </w:p>
    <w:tbl>
      <w:tblPr>
        <w:tblStyle w:val="Table3"/>
        <w:tblW w:w="9847.0" w:type="dxa"/>
        <w:jc w:val="left"/>
        <w:tblInd w:w="-142.0" w:type="dxa"/>
        <w:tblLayout w:type="fixed"/>
        <w:tblLook w:val="0400"/>
      </w:tblPr>
      <w:tblGrid>
        <w:gridCol w:w="1985"/>
        <w:gridCol w:w="1559"/>
        <w:gridCol w:w="1643"/>
        <w:gridCol w:w="680"/>
        <w:gridCol w:w="1819"/>
        <w:gridCol w:w="1414"/>
        <w:gridCol w:w="747"/>
        <w:tblGridChange w:id="0">
          <w:tblGrid>
            <w:gridCol w:w="1985"/>
            <w:gridCol w:w="1559"/>
            <w:gridCol w:w="1643"/>
            <w:gridCol w:w="680"/>
            <w:gridCol w:w="1819"/>
            <w:gridCol w:w="1414"/>
            <w:gridCol w:w="747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Sepsis Group (n=48)</w:t>
              <w:br w:type="textWrapping"/>
              <w:t xml:space="preserve">Mortality 54.2%</w:t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Non-Sepsis Group (n=104)</w:t>
              <w:br w:type="textWrapping"/>
              <w:t xml:space="preserve">Mortality 28.8%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8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Survivors</w:t>
              <w:br w:type="textWrapping"/>
              <w:t xml:space="preserve">(n=22)</w:t>
              <w:br w:type="textWrapping"/>
              <w:t xml:space="preserve">Median (IQR)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Non-survivors</w:t>
              <w:br w:type="textWrapping"/>
              <w:t xml:space="preserve">(n=26)</w:t>
              <w:br w:type="textWrapping"/>
              <w:t xml:space="preserve">Median (IQR)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p*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Survivors</w:t>
              <w:br w:type="textWrapping"/>
              <w:t xml:space="preserve">(n=74)</w:t>
              <w:br w:type="textWrapping"/>
              <w:t xml:space="preserve">Median (IQR)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Non-survivors</w:t>
              <w:br w:type="textWrapping"/>
              <w:t xml:space="preserve">(n=30)</w:t>
              <w:br w:type="textWrapping"/>
              <w:t xml:space="preserve">Median (IQR)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p*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PCT at T0, ng/mL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23.07 </w:t>
            </w:r>
          </w:p>
          <w:p w:rsidR="00000000" w:rsidDel="00000000" w:rsidP="00000000" w:rsidRDefault="00000000" w:rsidRPr="00000000" w14:paraId="000000D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(1.34–100.00)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5.28 </w:t>
            </w:r>
          </w:p>
          <w:p w:rsidR="00000000" w:rsidDel="00000000" w:rsidP="00000000" w:rsidRDefault="00000000" w:rsidRPr="00000000" w14:paraId="000000D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(1.56–91.90)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0.756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1.25 </w:t>
            </w:r>
          </w:p>
          <w:p w:rsidR="00000000" w:rsidDel="00000000" w:rsidP="00000000" w:rsidRDefault="00000000" w:rsidRPr="00000000" w14:paraId="000000D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(0.41–7.71)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10.75 </w:t>
            </w:r>
          </w:p>
          <w:p w:rsidR="00000000" w:rsidDel="00000000" w:rsidP="00000000" w:rsidRDefault="00000000" w:rsidRPr="00000000" w14:paraId="000000D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(0.70–76.75)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0.023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A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PCT at T24, ng/mL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5.29 </w:t>
            </w:r>
          </w:p>
          <w:p w:rsidR="00000000" w:rsidDel="00000000" w:rsidP="00000000" w:rsidRDefault="00000000" w:rsidRPr="00000000" w14:paraId="000000D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(0.68–70.75)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7.26 </w:t>
            </w:r>
          </w:p>
          <w:p w:rsidR="00000000" w:rsidDel="00000000" w:rsidP="00000000" w:rsidRDefault="00000000" w:rsidRPr="00000000" w14:paraId="000000D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(1.87–73.75)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1.46 </w:t>
            </w:r>
          </w:p>
          <w:p w:rsidR="00000000" w:rsidDel="00000000" w:rsidP="00000000" w:rsidRDefault="00000000" w:rsidRPr="00000000" w14:paraId="000000E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(0.37–5.70)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18.88 </w:t>
            </w:r>
          </w:p>
          <w:p w:rsidR="00000000" w:rsidDel="00000000" w:rsidP="00000000" w:rsidRDefault="00000000" w:rsidRPr="00000000" w14:paraId="000000E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(1.34–45.50)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0.002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rdo" w:cs="Cardo" w:eastAsia="Cardo" w:hAnsi="Cardo"/>
                <w:sz w:val="24"/>
                <w:szCs w:val="24"/>
                <w:rtl w:val="0"/>
              </w:rPr>
              <w:t xml:space="preserve">Wilcoxon (T0→T24)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0.047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C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CRP at T0, mg/L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15.82</w:t>
            </w:r>
          </w:p>
          <w:p w:rsidR="00000000" w:rsidDel="00000000" w:rsidP="00000000" w:rsidRDefault="00000000" w:rsidRPr="00000000" w14:paraId="000000E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(3.65–81.80)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36.59 </w:t>
            </w:r>
          </w:p>
          <w:p w:rsidR="00000000" w:rsidDel="00000000" w:rsidP="00000000" w:rsidRDefault="00000000" w:rsidRPr="00000000" w14:paraId="000000F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(18.54–86.50)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0.116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14.59</w:t>
            </w:r>
          </w:p>
          <w:p w:rsidR="00000000" w:rsidDel="00000000" w:rsidP="00000000" w:rsidRDefault="00000000" w:rsidRPr="00000000" w14:paraId="000000F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(2.88–56.45)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15.59 </w:t>
            </w:r>
          </w:p>
          <w:p w:rsidR="00000000" w:rsidDel="00000000" w:rsidP="00000000" w:rsidRDefault="00000000" w:rsidRPr="00000000" w14:paraId="000000F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(4.23–62.37)</w:t>
            </w:r>
          </w:p>
        </w:tc>
        <w:tc>
          <w:tcPr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0.368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7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CRP at T24, mg/L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14.13</w:t>
            </w:r>
          </w:p>
          <w:p w:rsidR="00000000" w:rsidDel="00000000" w:rsidP="00000000" w:rsidRDefault="00000000" w:rsidRPr="00000000" w14:paraId="000000F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(3.96–69.05)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46.77 </w:t>
            </w:r>
          </w:p>
          <w:p w:rsidR="00000000" w:rsidDel="00000000" w:rsidP="00000000" w:rsidRDefault="00000000" w:rsidRPr="00000000" w14:paraId="000000F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(18.43–92.54)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23.72 </w:t>
            </w:r>
          </w:p>
          <w:p w:rsidR="00000000" w:rsidDel="00000000" w:rsidP="00000000" w:rsidRDefault="00000000" w:rsidRPr="00000000" w14:paraId="000000F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(6.26–65.48)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27.35 </w:t>
            </w:r>
          </w:p>
          <w:p w:rsidR="00000000" w:rsidDel="00000000" w:rsidP="00000000" w:rsidRDefault="00000000" w:rsidRPr="00000000" w14:paraId="0000010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(7.42–69.19)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0.636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2">
            <w:pPr>
              <w:spacing w:line="480" w:lineRule="auto"/>
              <w:ind w:firstLine="240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rdo" w:cs="Cardo" w:eastAsia="Cardo" w:hAnsi="Cardo"/>
                <w:sz w:val="24"/>
                <w:szCs w:val="24"/>
                <w:rtl w:val="0"/>
              </w:rPr>
              <w:t xml:space="preserve">Wilcoxon (T0→T24)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0.497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*p-values represent comparisons between survivors and non-survivors within each sepsis-status subgroup and were calculated using the Mann–Whitney U test. Within-group changes from T0 to T24 were assessed using the Wilcoxon signed-rank test. Data are presented as median (interquartile range).</w:t>
      </w:r>
    </w:p>
    <w:p w:rsidR="00000000" w:rsidDel="00000000" w:rsidP="00000000" w:rsidRDefault="00000000" w:rsidRPr="00000000" w14:paraId="00000112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PCT, procalcitonin; CRP, C-reactive protein; IQR, interquartile range.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