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6048C" w14:textId="77777777" w:rsidR="00CC4421" w:rsidRPr="00F553FE" w:rsidRDefault="00CC4421" w:rsidP="00CC4421">
      <w:pPr>
        <w:spacing w:after="20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2F91CDE" w14:textId="77777777" w:rsidR="00CC4421" w:rsidRPr="00F553FE" w:rsidRDefault="00CC4421" w:rsidP="00CC4421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F553FE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291A6545" wp14:editId="74ABD9F6">
            <wp:extent cx="5486400" cy="3200400"/>
            <wp:effectExtent l="0" t="0" r="0" b="0"/>
            <wp:docPr id="1047966227" name="Chart 1047966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9D5385A" w14:textId="77777777" w:rsidR="00CC4421" w:rsidRPr="00F553FE" w:rsidRDefault="00CC4421" w:rsidP="00CC4421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F553F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Figure 1: Scores of sampled children on different subscales of Strengths and Difficulties Questionnaire (SDQ)</w:t>
      </w:r>
    </w:p>
    <w:p w14:paraId="33DFCE61" w14:textId="77777777" w:rsidR="00CC4421" w:rsidRPr="00F553FE" w:rsidRDefault="00CC4421" w:rsidP="00CC4421">
      <w:pPr>
        <w:spacing w:after="0" w:line="480" w:lineRule="auto"/>
        <w:rPr>
          <w:rFonts w:ascii="Times New Roman" w:eastAsia="Calibri" w:hAnsi="Times New Roman" w:cs="Times New Roman"/>
          <w:i/>
          <w:iCs/>
          <w:color w:val="000000"/>
          <w:kern w:val="0"/>
          <w14:ligatures w14:val="none"/>
        </w:rPr>
      </w:pPr>
    </w:p>
    <w:p w14:paraId="2BFD387B" w14:textId="77777777" w:rsidR="00CC4421" w:rsidRPr="00F553FE" w:rsidRDefault="00CC4421" w:rsidP="00CC4421">
      <w:pPr>
        <w:spacing w:after="0" w:line="48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F553FE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Range of Total score of SDQ score 0 - 40                                                         </w:t>
      </w:r>
    </w:p>
    <w:p w14:paraId="2C6C86F9" w14:textId="77777777" w:rsidR="00CC4421" w:rsidRPr="00F553FE" w:rsidRDefault="00CC4421" w:rsidP="00CC4421">
      <w:pPr>
        <w:spacing w:after="0" w:line="48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F553FE">
        <w:rPr>
          <w:rFonts w:ascii="Times New Roman" w:eastAsia="Calibri" w:hAnsi="Times New Roman" w:cs="Times New Roman"/>
          <w:color w:val="000000"/>
          <w:kern w:val="0"/>
          <w14:ligatures w14:val="none"/>
        </w:rPr>
        <w:t>Range of SDQ subscales score 0 - 10</w:t>
      </w:r>
    </w:p>
    <w:p w14:paraId="5A82D273" w14:textId="77777777" w:rsidR="00CC4421" w:rsidRPr="00F553FE" w:rsidRDefault="00CC4421" w:rsidP="00CC4421">
      <w:pPr>
        <w:rPr>
          <w:rFonts w:ascii="Calibri" w:eastAsia="Calibri" w:hAnsi="Calibri" w:cs="Arial"/>
          <w:kern w:val="0"/>
          <w14:ligatures w14:val="none"/>
        </w:rPr>
      </w:pPr>
    </w:p>
    <w:p w14:paraId="67D0775E" w14:textId="77777777" w:rsidR="00CC4421" w:rsidRPr="00F553FE" w:rsidRDefault="00CC4421" w:rsidP="00CC4421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14:ligatures w14:val="none"/>
        </w:rPr>
      </w:pPr>
    </w:p>
    <w:p w14:paraId="43803913" w14:textId="77777777" w:rsidR="00CC4421" w:rsidRPr="00F553FE" w:rsidRDefault="00CC4421" w:rsidP="00CC4421">
      <w:pPr>
        <w:spacing w:after="0" w:line="480" w:lineRule="auto"/>
        <w:jc w:val="lowKashida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F553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Figure 1 illustrates distribution of sampled children according to their scores on different subscales of Strengths and Difficulties Questionnaire (SDQ). The highest percentage of sampled children had “</w:t>
      </w:r>
      <w:r>
        <w:rPr>
          <w:rFonts w:asciiTheme="majorBidi" w:hAnsiTheme="majorBidi" w:cstheme="majorBidi"/>
          <w:sz w:val="24"/>
          <w:szCs w:val="24"/>
          <w:lang w:bidi="ar-QA"/>
        </w:rPr>
        <w:t>At-risk/elevated</w:t>
      </w:r>
      <w:r w:rsidRPr="00F553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” total SDQ score (46.3%). As for emotional problems subscale, more than half of the studied children had </w:t>
      </w:r>
      <w:r>
        <w:rPr>
          <w:rFonts w:asciiTheme="majorBidi" w:hAnsiTheme="majorBidi" w:cstheme="majorBidi"/>
          <w:sz w:val="24"/>
          <w:szCs w:val="24"/>
          <w:lang w:bidi="ar-QA"/>
        </w:rPr>
        <w:t xml:space="preserve">at-risk/elevated </w:t>
      </w:r>
      <w:r w:rsidRPr="00F553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score (55%), followed by peer problems, hyperactivity, and conduct problems subscales (41.4%, 33.5% &amp; 25.3% respectively), whereas the least </w:t>
      </w:r>
      <w:r>
        <w:rPr>
          <w:rFonts w:asciiTheme="majorBidi" w:hAnsiTheme="majorBidi" w:cstheme="majorBidi"/>
          <w:sz w:val="24"/>
          <w:szCs w:val="24"/>
          <w:lang w:bidi="ar-QA"/>
        </w:rPr>
        <w:t xml:space="preserve">at-risk/elevated </w:t>
      </w:r>
      <w:r w:rsidRPr="00F553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score was recorded for the prosocial subscale (12%). </w:t>
      </w:r>
    </w:p>
    <w:p w14:paraId="4EFCBE68" w14:textId="77777777" w:rsidR="00843392" w:rsidRDefault="00843392"/>
    <w:sectPr w:rsidR="00843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AC"/>
    <w:rsid w:val="00012477"/>
    <w:rsid w:val="00200DAC"/>
    <w:rsid w:val="00332CDE"/>
    <w:rsid w:val="003C1755"/>
    <w:rsid w:val="00843392"/>
    <w:rsid w:val="008D2C41"/>
    <w:rsid w:val="009B2542"/>
    <w:rsid w:val="00B54D3B"/>
    <w:rsid w:val="00CC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0CD79E-2C82-48C4-8B14-1E623AF3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2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D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D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D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D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D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D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D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D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D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D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D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D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DA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00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DA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00D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D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D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Normal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TotalScore of SDQ (%)</c:v>
                </c:pt>
                <c:pt idx="1">
                  <c:v>Emotional problems subscale (%)</c:v>
                </c:pt>
                <c:pt idx="2">
                  <c:v>Conduct problems subscale (%)</c:v>
                </c:pt>
                <c:pt idx="3">
                  <c:v>Hyperactivity subscale (%)</c:v>
                </c:pt>
                <c:pt idx="4">
                  <c:v>Peer problems subscale (%)</c:v>
                </c:pt>
                <c:pt idx="5">
                  <c:v>Prosocial subscale (%)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37.299999999999997</c:v>
                </c:pt>
                <c:pt idx="1">
                  <c:v>31.7</c:v>
                </c:pt>
                <c:pt idx="2">
                  <c:v>51.4</c:v>
                </c:pt>
                <c:pt idx="3">
                  <c:v>54</c:v>
                </c:pt>
                <c:pt idx="4">
                  <c:v>37.1</c:v>
                </c:pt>
                <c:pt idx="5">
                  <c:v>73.7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C2-47EE-8F10-2DFCA10B20D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Borderline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TotalScore of SDQ (%)</c:v>
                </c:pt>
                <c:pt idx="1">
                  <c:v>Emotional problems subscale (%)</c:v>
                </c:pt>
                <c:pt idx="2">
                  <c:v>Conduct problems subscale (%)</c:v>
                </c:pt>
                <c:pt idx="3">
                  <c:v>Hyperactivity subscale (%)</c:v>
                </c:pt>
                <c:pt idx="4">
                  <c:v>Peer problems subscale (%)</c:v>
                </c:pt>
                <c:pt idx="5">
                  <c:v>Prosocial subscale (%)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16.399999999999999</c:v>
                </c:pt>
                <c:pt idx="1">
                  <c:v>13.3</c:v>
                </c:pt>
                <c:pt idx="2">
                  <c:v>23.3</c:v>
                </c:pt>
                <c:pt idx="3">
                  <c:v>12.5</c:v>
                </c:pt>
                <c:pt idx="4">
                  <c:v>21.5</c:v>
                </c:pt>
                <c:pt idx="5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C2-47EE-8F10-2DFCA10B20D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Abnormal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TotalScore of SDQ (%)</c:v>
                </c:pt>
                <c:pt idx="1">
                  <c:v>Emotional problems subscale (%)</c:v>
                </c:pt>
                <c:pt idx="2">
                  <c:v>Conduct problems subscale (%)</c:v>
                </c:pt>
                <c:pt idx="3">
                  <c:v>Hyperactivity subscale (%)</c:v>
                </c:pt>
                <c:pt idx="4">
                  <c:v>Peer problems subscale (%)</c:v>
                </c:pt>
                <c:pt idx="5">
                  <c:v>Prosocial subscale (%)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46.3</c:v>
                </c:pt>
                <c:pt idx="1">
                  <c:v>55</c:v>
                </c:pt>
                <c:pt idx="2">
                  <c:v>25.3</c:v>
                </c:pt>
                <c:pt idx="3">
                  <c:v>33.5</c:v>
                </c:pt>
                <c:pt idx="4">
                  <c:v>41.4</c:v>
                </c:pt>
                <c:pt idx="5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C2-47EE-8F10-2DFCA10B20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616651600"/>
        <c:axId val="616652432"/>
      </c:barChart>
      <c:catAx>
        <c:axId val="616651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6652432"/>
        <c:crosses val="autoZero"/>
        <c:auto val="1"/>
        <c:lblAlgn val="ctr"/>
        <c:lblOffset val="100"/>
        <c:noMultiLvlLbl val="0"/>
      </c:catAx>
      <c:valAx>
        <c:axId val="616652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665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samir</dc:creator>
  <cp:keywords/>
  <dc:description/>
  <cp:lastModifiedBy>sally samir</cp:lastModifiedBy>
  <cp:revision>2</cp:revision>
  <dcterms:created xsi:type="dcterms:W3CDTF">2026-06-29T16:36:00Z</dcterms:created>
  <dcterms:modified xsi:type="dcterms:W3CDTF">2026-06-29T16:36:00Z</dcterms:modified>
</cp:coreProperties>
</file>