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48" w:tblpY="2014"/>
        <w:tblOverlap w:val="never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859"/>
        <w:gridCol w:w="2171"/>
        <w:gridCol w:w="1375"/>
        <w:gridCol w:w="1895"/>
        <w:gridCol w:w="1759"/>
        <w:gridCol w:w="1538"/>
      </w:tblGrid>
      <w:tr w14:paraId="6BAE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69" w:hRule="atLeast"/>
          <w:tblHeader/>
        </w:trPr>
        <w:tc>
          <w:tcPr>
            <w:tcW w:w="85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12BBAD5B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Hospital</w:t>
            </w:r>
          </w:p>
        </w:tc>
        <w:tc>
          <w:tcPr>
            <w:tcW w:w="217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4A4F87D8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Hospital category</w:t>
            </w:r>
          </w:p>
        </w:tc>
        <w:tc>
          <w:tcPr>
            <w:tcW w:w="1375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12EDE8F2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Level of NICU</w:t>
            </w: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superscript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a</w:t>
            </w:r>
          </w:p>
        </w:tc>
        <w:tc>
          <w:tcPr>
            <w:tcW w:w="1895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889632D">
            <w:pPr>
              <w:bidi w:val="0"/>
              <w:snapToGrid w:val="0"/>
              <w:jc w:val="left"/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Minimal gestationalage at birth </w:t>
            </w:r>
          </w:p>
          <w:p w14:paraId="68E90F21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(Week)</w:t>
            </w:r>
          </w:p>
        </w:tc>
        <w:tc>
          <w:tcPr>
            <w:tcW w:w="175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408581F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Guideline utilized during study period</w:t>
            </w:r>
          </w:p>
        </w:tc>
        <w:tc>
          <w:tcPr>
            <w:tcW w:w="153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42294F5D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baseli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Average birthrates/year</w:t>
            </w: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1"/>
                <w:vertAlign w:val="superscript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c</w:t>
            </w:r>
          </w:p>
        </w:tc>
      </w:tr>
      <w:tr w14:paraId="297E2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43" w:hRule="atLeast"/>
        </w:trPr>
        <w:tc>
          <w:tcPr>
            <w:tcW w:w="85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36AA6D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A</w:t>
            </w:r>
          </w:p>
        </w:tc>
        <w:tc>
          <w:tcPr>
            <w:tcW w:w="217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268D44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Municipal General Hospital​</w:t>
            </w:r>
          </w:p>
        </w:tc>
        <w:tc>
          <w:tcPr>
            <w:tcW w:w="137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51C46">
            <w:pPr>
              <w:bidi w:val="0"/>
              <w:snapToGrid w:val="0"/>
              <w:jc w:val="left"/>
              <w:rPr>
                <w:rFonts w:hint="eastAsia" w:ascii="Times New Roman" w:hAnsi="方正公文小标宋" w:eastAsia="方正公文小标宋" w:cs="方正公文小标宋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Ш</w:t>
            </w:r>
          </w:p>
        </w:tc>
        <w:tc>
          <w:tcPr>
            <w:tcW w:w="189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1232A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21.7</w:t>
            </w:r>
          </w:p>
        </w:tc>
        <w:tc>
          <w:tcPr>
            <w:tcW w:w="175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E5CD7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2019 NS Consensus</w:t>
            </w:r>
            <w:r>
              <w:rPr>
                <w:rFonts w:hint="eastAsia" w:ascii="Times New Roman" w:hAnsi="Times New Roman" w:eastAsia="方正公文小标宋" w:cs="Times New Roman"/>
                <w:b/>
                <w:i w:val="0"/>
                <w:color w:val="000000" w:themeColor="dark1"/>
                <w:sz w:val="18"/>
                <w:szCs w:val="20"/>
                <w:vertAlign w:val="superscript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b</w:t>
            </w: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​</w:t>
            </w:r>
          </w:p>
        </w:tc>
        <w:tc>
          <w:tcPr>
            <w:tcW w:w="153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087EB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5491</w:t>
            </w:r>
          </w:p>
        </w:tc>
      </w:tr>
      <w:tr w14:paraId="0141F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39" w:hRule="atLeast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1461A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B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8CC25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Maternal and Child Health Hospital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157E9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Ш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FB7E7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23.7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DDCB1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2019 NS Consensus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1B0C8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18601</w:t>
            </w:r>
          </w:p>
        </w:tc>
      </w:tr>
      <w:tr w14:paraId="1918B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69" w:hRule="atLeast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3936B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B2733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District-Level General Hospital​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7AEFC6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Ш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2A3B5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22.8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C940E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2019 NS Consensus​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9CA59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2154</w:t>
            </w:r>
          </w:p>
        </w:tc>
      </w:tr>
      <w:tr w14:paraId="48AA0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19" w:hRule="atLeast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815C1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D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6EDD4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Maternal and Child Health Hospital</w:t>
            </w: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​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76233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Ш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92F0C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22.1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9B036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2019 NS Consensus​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6F011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12747</w:t>
            </w:r>
          </w:p>
        </w:tc>
      </w:tr>
      <w:tr w14:paraId="05A9E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424" w:hRule="atLeast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30721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E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4B5F0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Municipal General Hospital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6F85D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Ш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BD5ED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24.5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A2FF7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2019 NS Consensus​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37B2D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4307</w:t>
            </w:r>
          </w:p>
        </w:tc>
      </w:tr>
      <w:tr w14:paraId="14A70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8" w:hRule="atLeast"/>
        </w:trPr>
        <w:tc>
          <w:tcPr>
            <w:tcW w:w="859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EE21304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F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22D58F8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District-Level General Hospital​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43EBE88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Ш</w:t>
            </w:r>
          </w:p>
        </w:tc>
        <w:tc>
          <w:tcPr>
            <w:tcW w:w="189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AA4479D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25.4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3175BB9F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2019 NS Consensus​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367A755">
            <w:pPr>
              <w:bidi w:val="0"/>
              <w:snapToGrid w:val="0"/>
              <w:jc w:val="left"/>
              <w:rPr>
                <w:rFonts w:hint="default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公文小标宋" w:cs="Times New Roman"/>
                <w:b w:val="0"/>
                <w:i w:val="0"/>
                <w:color w:val="08090C"/>
                <w:sz w:val="18"/>
                <w:szCs w:val="21"/>
                <w:vertAlign w:val="baseline"/>
                <w:lang w:val="en-US" w:eastAsia="zh-CN"/>
              </w:rPr>
              <w:t>2541</w:t>
            </w:r>
          </w:p>
        </w:tc>
      </w:tr>
    </w:tbl>
    <w:p w14:paraId="39744A94">
      <w:pPr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Supplementary Table 1. Baseline characteristics of six participating hospitals</w:t>
      </w:r>
    </w:p>
    <w:p w14:paraId="1BDC7BCE">
      <w:pPr>
        <w:rPr>
          <w:rFonts w:hint="default" w:ascii="Times New Roman" w:hAnsi="Times New Roman" w:cs="Times New Roman"/>
          <w:lang w:val="en-US"/>
        </w:rPr>
      </w:pPr>
      <w:r>
        <w:rPr>
          <w:rFonts w:hint="eastAsia" w:ascii="Times New Roman" w:hAnsi="Times New Roman" w:cs="Times New Roman"/>
          <w:vertAlign w:val="superscript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</w:rPr>
        <w:t xml:space="preserve">Level of care as defined by the </w:t>
      </w:r>
      <w:r>
        <w:rPr>
          <w:rFonts w:hint="eastAsia" w:ascii="Times New Roman" w:hAnsi="Times New Roman" w:cs="Times New Roman"/>
          <w:lang w:val="en-US" w:eastAsia="zh-CN"/>
        </w:rPr>
        <w:t xml:space="preserve">China </w:t>
      </w:r>
      <w:r>
        <w:rPr>
          <w:rFonts w:hint="default" w:ascii="Times New Roman" w:hAnsi="Times New Roman" w:cs="Times New Roman"/>
        </w:rPr>
        <w:t>Standard for construction and equipment allocation of neonatal wards</w:t>
      </w:r>
      <w:r>
        <w:rPr>
          <w:rFonts w:hint="eastAsia" w:ascii="Times New Roman" w:hAnsi="Times New Roman" w:cs="Times New Roman"/>
          <w:lang w:val="en-US" w:eastAsia="zh-CN"/>
        </w:rPr>
        <w:t xml:space="preserve"> (T/NAHIEM 8 7-2023)  </w:t>
      </w:r>
    </w:p>
    <w:p w14:paraId="095BE6AE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 xml:space="preserve">Chinese </w:t>
      </w:r>
      <w:r>
        <w:rPr>
          <w:rFonts w:hint="default" w:ascii="Times New Roman" w:hAnsi="Times New Roman" w:cs="Times New Roman"/>
          <w:lang w:val="en-US" w:eastAsia="zh-CN"/>
        </w:rPr>
        <w:t>Expert consensus on the diagnosis and management of neonatal sepsis (version 2019)</w:t>
      </w:r>
    </w:p>
    <w:p w14:paraId="309445C5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vertAlign w:val="superscript"/>
          <w:lang w:val="en-US" w:eastAsia="zh-CN"/>
        </w:rPr>
        <w:t>c</w:t>
      </w:r>
      <w:r>
        <w:rPr>
          <w:rFonts w:hint="default" w:ascii="Times New Roman" w:hAnsi="Times New Roman" w:cs="Times New Roman"/>
        </w:rPr>
        <w:t xml:space="preserve">Average birth rate calculated by using birth rates of </w:t>
      </w:r>
      <w:r>
        <w:rPr>
          <w:rFonts w:hint="eastAsia" w:ascii="Times New Roman" w:hAnsi="Times New Roman" w:cs="Times New Roman"/>
          <w:lang w:val="en-US" w:eastAsia="zh-CN"/>
        </w:rPr>
        <w:t>2022</w:t>
      </w:r>
      <w:r>
        <w:rPr>
          <w:rFonts w:hint="default" w:ascii="Times New Roman" w:hAnsi="Times New Roman" w:cs="Times New Roman"/>
        </w:rPr>
        <w:t>, 202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 xml:space="preserve"> and 202</w:t>
      </w:r>
      <w:r>
        <w:rPr>
          <w:rFonts w:hint="eastAsia" w:ascii="Times New Roman" w:hAnsi="Times New Roman" w:cs="Times New Roman"/>
          <w:lang w:val="en-US" w:eastAsia="zh-CN"/>
        </w:rPr>
        <w:t>4</w:t>
      </w:r>
    </w:p>
    <w:p w14:paraId="239CC295">
      <w:pPr>
        <w:rPr>
          <w:rFonts w:hint="eastAsia" w:ascii="Times New Roman" w:hAnsi="Times New Roman" w:cs="Times New Roman"/>
          <w:lang w:val="en-US" w:eastAsia="zh-CN"/>
        </w:rPr>
      </w:pPr>
    </w:p>
    <w:p w14:paraId="39DBEA6D">
      <w:pPr>
        <w:rPr>
          <w:rFonts w:hint="eastAsia" w:ascii="Times New Roman" w:hAnsi="Times New Roman" w:cs="Times New Roman"/>
          <w:lang w:val="en-US" w:eastAsia="zh-CN"/>
        </w:rPr>
      </w:pPr>
    </w:p>
    <w:p w14:paraId="0496EC7F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Supplementary Table 2. Baseline features and outcomes of infants with antibiotic discontinuation-restart within 48 h and antibiotic-unexposed VPIs</w:t>
      </w:r>
    </w:p>
    <w:p w14:paraId="6E5CEACD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</w:p>
    <w:tbl>
      <w:tblPr>
        <w:tblStyle w:val="3"/>
        <w:tblW w:w="86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767"/>
        <w:gridCol w:w="2396"/>
        <w:gridCol w:w="1749"/>
        <w:gridCol w:w="1767"/>
      </w:tblGrid>
      <w:tr w14:paraId="469CC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</w:trPr>
        <w:tc>
          <w:tcPr>
            <w:tcW w:w="276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4E6E8A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Characteristicsa</w:t>
            </w:r>
          </w:p>
        </w:tc>
        <w:tc>
          <w:tcPr>
            <w:tcW w:w="2396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3028C91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Antibiotic discontinuation-restart within 48h (n=16)</w:t>
            </w:r>
          </w:p>
        </w:tc>
        <w:tc>
          <w:tcPr>
            <w:tcW w:w="174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302AAC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Antibiotic-unexposed (n=97)</w:t>
            </w:r>
          </w:p>
        </w:tc>
        <w:tc>
          <w:tcPr>
            <w:tcW w:w="176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BF70C0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 xml:space="preserve">Total </w:t>
            </w:r>
          </w:p>
          <w:p w14:paraId="5246A31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(n=1202）</w:t>
            </w:r>
          </w:p>
        </w:tc>
      </w:tr>
      <w:tr w14:paraId="03963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112B6AD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b w:val="0"/>
                <w:i w:val="0"/>
                <w:color w:val="08090C"/>
                <w:sz w:val="15"/>
                <w:szCs w:val="15"/>
                <w:lang w:val="en-US" w:eastAsia="zh-CN" w:bidi="ar"/>
              </w:rPr>
              <w:t>Maternal Factors n (%)</w:t>
            </w:r>
          </w:p>
        </w:tc>
        <w:tc>
          <w:tcPr>
            <w:tcW w:w="2396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A35B9D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174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988841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176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5DF050C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</w:tr>
      <w:tr w14:paraId="4B7D3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463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 w:val="0"/>
                <w:i w:val="0"/>
                <w:sz w:val="15"/>
                <w:szCs w:val="15"/>
                <w:lang w:val="en-US" w:eastAsia="zh-CN" w:bidi="ar"/>
              </w:rPr>
              <w:t>Maternal age (years) (IQR)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DBC8F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32.0 (31.0, 36.0)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5C28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31 (28.0, 34.0)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A53D9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31.0 (29.0, 35.0)</w:t>
            </w:r>
          </w:p>
        </w:tc>
      </w:tr>
      <w:tr w14:paraId="756C5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7E1566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Diabetes mellitus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0A582F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 (18.8)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101A03B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32 (33.0)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487CEF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382 (32.0)</w:t>
            </w:r>
          </w:p>
        </w:tc>
      </w:tr>
      <w:tr w14:paraId="191B1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ADA32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Maternal hypertension 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08CF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16 (100.0)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B55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 (23.7)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C59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245 (20.5)</w:t>
            </w:r>
          </w:p>
        </w:tc>
      </w:tr>
      <w:tr w14:paraId="22A78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598392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Antenatal corticosteroid administration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7A881E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16 (100.0)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01C22D2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88 (90.7)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6E02323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1097 (92.0)</w:t>
            </w:r>
          </w:p>
        </w:tc>
      </w:tr>
      <w:tr w14:paraId="1B721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C72BA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Meconium-stained amniotic fluid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B10F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2 (12.5)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92AAB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 (1.0)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B8146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40 (3.4)</w:t>
            </w:r>
          </w:p>
        </w:tc>
      </w:tr>
      <w:tr w14:paraId="6A7B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18FDD0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  <w:t>Chorioamnionitis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364A438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7 (43.8)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428A3A6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21 (21.6)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450FE9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397 (33.4)</w:t>
            </w:r>
          </w:p>
        </w:tc>
      </w:tr>
      <w:tr w14:paraId="4A287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05DE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  <w:lang w:val="en-US" w:eastAsia="zh-CN"/>
              </w:rPr>
              <w:t>PROM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0B4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5 (31.3)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249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2 (2.1)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2C406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281 (23.4)</w:t>
            </w:r>
          </w:p>
        </w:tc>
      </w:tr>
      <w:tr w14:paraId="47BCD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16CDF5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  <w:t>Intrapartum antibiotic exposure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521E192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13 (81.3)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53472B6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70 (72.2)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8D60D9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858 (71.4)</w:t>
            </w:r>
          </w:p>
        </w:tc>
      </w:tr>
      <w:tr w14:paraId="57CFE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7569A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  <w:t>Multiple gestation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A3DB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4 (25.0)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3DB3E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37(38.1)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4AABD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404 (33.6)</w:t>
            </w:r>
          </w:p>
        </w:tc>
      </w:tr>
      <w:tr w14:paraId="5EBB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9F8AA7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  <w:t>Cesarean delivery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14C1188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5 (31.3)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490AAD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69 (71.1)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2CE64C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854 (71.0)</w:t>
            </w:r>
          </w:p>
        </w:tc>
      </w:tr>
      <w:tr w14:paraId="43D69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DE44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Neonatal Factors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i w:val="0"/>
                <w:color w:val="08090C"/>
                <w:sz w:val="15"/>
                <w:szCs w:val="15"/>
                <w:lang w:val="en-US" w:eastAsia="zh-CN" w:bidi="ar"/>
              </w:rPr>
              <w:t>n (%)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20215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F314F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8957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</w:p>
        </w:tc>
      </w:tr>
      <w:tr w14:paraId="08B18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7EB16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  <w:lang w:val="en-US" w:eastAsia="zh-CN"/>
              </w:rPr>
              <w:t>GA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</w:rPr>
              <w:t xml:space="preserve"> (w), median (IQR)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4752A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27.3 (25.8, 28.2)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4868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31.3 (30.7, 31.7)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774C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30.0 (28.3, 31.1)</w:t>
            </w:r>
          </w:p>
        </w:tc>
      </w:tr>
      <w:tr w14:paraId="56657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6BE2CFB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  <w:lang w:val="en-US" w:eastAsia="zh-CN"/>
              </w:rPr>
              <w:t xml:space="preserve">BW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</w:rPr>
              <w:t>(g), median (IQR)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41D83A9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950.0 (725.0, 1155.0)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1C19014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1430.0 (1200, 1600.0)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DACAC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1280.0 (1017.5, 1500.0)</w:t>
            </w:r>
          </w:p>
        </w:tc>
      </w:tr>
      <w:tr w14:paraId="33BAA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44CB27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  <w:t xml:space="preserve">Male 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0E532A5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8 (50.0)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62D1876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55 (56.7)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1F7ADD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679 (56.5)</w:t>
            </w:r>
          </w:p>
        </w:tc>
      </w:tr>
      <w:tr w14:paraId="0549D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4271628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SGA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279513E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16 (100.0)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4CBF0F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5 (5.2)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54F142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38 (3.2)</w:t>
            </w:r>
          </w:p>
        </w:tc>
      </w:tr>
      <w:tr w14:paraId="2C84F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BD8DE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Hypothermia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8A1C2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12 (75.0)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5BCBF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67 (69.1)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C84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732 (61.3)</w:t>
            </w:r>
          </w:p>
        </w:tc>
      </w:tr>
      <w:tr w14:paraId="7BF7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D3469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sz w:val="15"/>
                <w:szCs w:val="15"/>
                <w:u w:val="none"/>
              </w:rPr>
              <w:t>5-minute Apgar score ≤7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85C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16 (100.0)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A9E9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5 (5.2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F645E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71 (5.9)</w:t>
            </w:r>
          </w:p>
        </w:tc>
      </w:tr>
      <w:tr w14:paraId="3923F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56140A0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1E366A"/>
                <w:kern w:val="2"/>
                <w:sz w:val="15"/>
                <w:szCs w:val="15"/>
                <w:u w:val="none"/>
                <w:lang w:val="en-US" w:eastAsia="zh-CN" w:bidi="ar-SA"/>
              </w:rPr>
              <w:t>Delivery room ETI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546DC84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9 (56.3)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32941CF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17 (17.5)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348971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418 (35.2)</w:t>
            </w:r>
          </w:p>
        </w:tc>
      </w:tr>
      <w:tr w14:paraId="2BB27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27BF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004CA81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0 (0.0, 0.0-0.2)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noWrap/>
            <w:vAlign w:val="center"/>
          </w:tcPr>
          <w:p w14:paraId="7547D0C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2 (0.0, 0.0-0.1)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402F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6"/>
                <w:u w:val="none"/>
                <w:lang w:val="en-US" w:eastAsia="zh-CN"/>
              </w:rPr>
              <w:t>25 (2.1, 1.4-3.1)</w:t>
            </w:r>
          </w:p>
        </w:tc>
      </w:tr>
      <w:tr w14:paraId="70135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76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2D3372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EOS-related mortality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D9E1F4" w:fill="FFFFFF"/>
            <w:noWrap/>
            <w:vAlign w:val="center"/>
          </w:tcPr>
          <w:p w14:paraId="6650CF3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0 (0.0, 0.0-0.2)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D9E1F4" w:fill="FFFFFF"/>
            <w:noWrap/>
            <w:vAlign w:val="center"/>
          </w:tcPr>
          <w:p w14:paraId="4E7EB67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  <w:t>0 (0.0, 0.0-0.0)</w:t>
            </w:r>
          </w:p>
        </w:tc>
        <w:tc>
          <w:tcPr>
            <w:tcW w:w="176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305BCA8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15"/>
                <w:szCs w:val="15"/>
                <w:u w:val="none"/>
                <w:lang w:val="en-US" w:eastAsia="zh-CN"/>
              </w:rPr>
              <w:t>3 (0.2, 0.1-0.7)</w:t>
            </w:r>
          </w:p>
        </w:tc>
      </w:tr>
    </w:tbl>
    <w:p w14:paraId="4FB761CC">
      <w:pPr>
        <w:rPr>
          <w:rFonts w:hint="eastAsia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3C196785-9492-46AC-BED2-CAD66BA22C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8E653F"/>
    <w:rsid w:val="195C355B"/>
    <w:rsid w:val="2C2C307E"/>
    <w:rsid w:val="3F9335C1"/>
    <w:rsid w:val="50B213CE"/>
    <w:rsid w:val="52660B30"/>
    <w:rsid w:val="53070AAB"/>
    <w:rsid w:val="56853FFE"/>
    <w:rsid w:val="56F95B5F"/>
    <w:rsid w:val="5AE16777"/>
    <w:rsid w:val="5C3D3469"/>
    <w:rsid w:val="6036639A"/>
    <w:rsid w:val="62B67F5B"/>
    <w:rsid w:val="67CD4AA2"/>
    <w:rsid w:val="73730117"/>
    <w:rsid w:val="78AD088B"/>
    <w:rsid w:val="7AA0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qFormat/>
    <w:uiPriority w:val="0"/>
    <w:rPr>
      <w:rFonts w:asciiTheme="minorAscii" w:hAnsiTheme="minorAscii" w:eastAsiaTheme="minorEastAsia" w:cstheme="minorBidi"/>
      <w:color w:val="0000FF"/>
      <w:kern w:val="2"/>
      <w:sz w:val="21"/>
      <w:szCs w:val="24"/>
      <w:u w:val="none"/>
      <w:lang w:val="en-US" w:eastAsia="zh-CN" w:bidi="ar-SA"/>
    </w:rPr>
  </w:style>
  <w:style w:type="character" w:customStyle="1" w:styleId="8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1810</Characters>
  <Lines>0</Lines>
  <Paragraphs>0</Paragraphs>
  <TotalTime>13</TotalTime>
  <ScaleCrop>false</ScaleCrop>
  <LinksUpToDate>false</LinksUpToDate>
  <CharactersWithSpaces>2018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2025-07-22T06:09:00Z</dcterms:created>
  <dc:creator>黎媛媛</dc:creator>
  <cp:lastModifiedBy>媛媛</cp:lastModifiedBy>
  <dcterms:modified xsi:type="dcterms:W3CDTF">2026-06-03T12:49:12Z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29E25B18DF1646F1B3A5BFB057F31436_12</vt:lpwstr>
  </property>
  <property fmtid="{D5CDD505-2E9C-101B-9397-08002B2CF9AE}" pid="4" name="KSOTemplateDocerSaveRecord">
    <vt:lpwstr>eyJoZGlkIjoiMzEwNTM5NzYwMDRjMzkwZTVkZjY2ODkwMGIxNGU0OTUiLCJ1c2VySWQiOiI1MDMyNTYyMTYifQ==</vt:lpwstr>
  </property>
</Properties>
</file>