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7C1" w:rsidRPr="00B047C1" w:rsidRDefault="00761334" w:rsidP="00B047C1">
      <w:pPr>
        <w:pStyle w:val="Heading1"/>
        <w:spacing w:before="0" w:after="120"/>
        <w:rPr>
          <w:rFonts w:ascii="Times New Roman" w:hAnsi="Times New Roman" w:cs="Times New Roman"/>
          <w:b w:val="0"/>
          <w:color w:val="000000" w:themeColor="text1"/>
          <w:sz w:val="24"/>
        </w:rPr>
      </w:pPr>
      <w:r w:rsidRPr="00761334">
        <w:rPr>
          <w:rFonts w:ascii="Times New Roman" w:hAnsi="Times New Roman" w:cs="Times New Roman"/>
          <w:color w:val="auto"/>
          <w:sz w:val="24"/>
        </w:rPr>
        <w:t>Supplementary file</w:t>
      </w:r>
      <w:r w:rsidR="00B047C1" w:rsidRPr="00761334">
        <w:rPr>
          <w:rFonts w:ascii="Times New Roman" w:hAnsi="Times New Roman" w:cs="Times New Roman"/>
          <w:color w:val="auto"/>
          <w:sz w:val="22"/>
        </w:rPr>
        <w:t xml:space="preserve"> </w:t>
      </w:r>
      <w:r w:rsidR="00B047C1" w:rsidRPr="00B047C1">
        <w:rPr>
          <w:rFonts w:ascii="Times New Roman" w:hAnsi="Times New Roman" w:cs="Times New Roman"/>
          <w:color w:val="000000" w:themeColor="text1"/>
          <w:sz w:val="24"/>
        </w:rPr>
        <w:t>1:</w:t>
      </w:r>
      <w:r w:rsidR="00B047C1" w:rsidRPr="00B047C1">
        <w:rPr>
          <w:rFonts w:ascii="Times New Roman" w:hAnsi="Times New Roman" w:cs="Times New Roman"/>
          <w:b w:val="0"/>
          <w:color w:val="000000" w:themeColor="text1"/>
          <w:sz w:val="24"/>
        </w:rPr>
        <w:t xml:space="preserve"> Country specific sample size</w:t>
      </w:r>
      <w:r w:rsidR="00B047C1">
        <w:rPr>
          <w:rFonts w:ascii="Times New Roman" w:hAnsi="Times New Roman" w:cs="Times New Roman"/>
          <w:b w:val="0"/>
          <w:color w:val="000000" w:themeColor="text1"/>
          <w:sz w:val="24"/>
        </w:rPr>
        <w:t xml:space="preserve"> and sampling procedure</w:t>
      </w:r>
      <w:r w:rsidR="00B047C1" w:rsidRPr="00B047C1">
        <w:rPr>
          <w:rFonts w:ascii="Times New Roman" w:hAnsi="Times New Roman" w:cs="Times New Roman"/>
          <w:b w:val="0"/>
          <w:color w:val="000000" w:themeColor="text1"/>
          <w:sz w:val="24"/>
        </w:rPr>
        <w:t xml:space="preserve"> </w:t>
      </w:r>
    </w:p>
    <w:p w:rsidR="00B64D64" w:rsidRPr="00B64D64" w:rsidRDefault="00B047C1" w:rsidP="00B64D64">
      <w:pPr>
        <w:spacing w:after="120" w:line="360" w:lineRule="auto"/>
        <w:jc w:val="both"/>
        <w:rPr>
          <w:rFonts w:ascii="Times New Roman" w:hAnsi="Times New Roman" w:cs="Times New Roman"/>
          <w:sz w:val="24"/>
        </w:rPr>
      </w:pPr>
      <w:r w:rsidRPr="004D3A8C">
        <w:rPr>
          <w:rFonts w:ascii="Times New Roman" w:hAnsi="Times New Roman" w:cs="Times New Roman"/>
          <w:b/>
          <w:sz w:val="24"/>
        </w:rPr>
        <w:t xml:space="preserve">Table </w:t>
      </w:r>
      <w:r w:rsidR="00A11813">
        <w:rPr>
          <w:rFonts w:ascii="Times New Roman" w:hAnsi="Times New Roman" w:cs="Times New Roman"/>
          <w:b/>
          <w:sz w:val="24"/>
        </w:rPr>
        <w:t>S</w:t>
      </w:r>
      <w:r w:rsidRPr="004D3A8C">
        <w:rPr>
          <w:rFonts w:ascii="Times New Roman" w:hAnsi="Times New Roman" w:cs="Times New Roman"/>
          <w:b/>
          <w:sz w:val="24"/>
        </w:rPr>
        <w:t>1:</w:t>
      </w:r>
      <w:r>
        <w:rPr>
          <w:rFonts w:ascii="Times New Roman" w:hAnsi="Times New Roman" w:cs="Times New Roman"/>
          <w:sz w:val="24"/>
        </w:rPr>
        <w:t xml:space="preserve"> </w:t>
      </w:r>
      <w:r w:rsidRPr="00B047C1">
        <w:rPr>
          <w:rFonts w:ascii="Times New Roman" w:hAnsi="Times New Roman" w:cs="Times New Roman"/>
          <w:color w:val="000000" w:themeColor="text1"/>
          <w:sz w:val="24"/>
        </w:rPr>
        <w:t>Country specific sample size</w:t>
      </w:r>
      <w:r>
        <w:rPr>
          <w:rFonts w:ascii="Times New Roman" w:hAnsi="Times New Roman" w:cs="Times New Roman"/>
          <w:b/>
          <w:color w:val="000000" w:themeColor="text1"/>
          <w:sz w:val="24"/>
        </w:rPr>
        <w:t xml:space="preserve"> </w:t>
      </w:r>
      <w:r w:rsidRPr="00B047C1">
        <w:rPr>
          <w:rFonts w:ascii="Times New Roman" w:hAnsi="Times New Roman" w:cs="Times New Roman"/>
          <w:sz w:val="24"/>
        </w:rPr>
        <w:t>for study of prevalence, determinants, and urban–rural disparities in early postnatal care utilization among newborns in LMICs, DHS 2015-2024</w:t>
      </w:r>
    </w:p>
    <w:tbl>
      <w:tblPr>
        <w:tblStyle w:val="LightShading"/>
        <w:tblW w:w="0" w:type="auto"/>
        <w:tblLook w:val="04A0" w:firstRow="1" w:lastRow="0" w:firstColumn="1" w:lastColumn="0" w:noHBand="0" w:noVBand="1"/>
      </w:tblPr>
      <w:tblGrid>
        <w:gridCol w:w="3510"/>
        <w:gridCol w:w="2880"/>
        <w:gridCol w:w="2790"/>
      </w:tblGrid>
      <w:tr w:rsidR="00B64D64" w:rsidRPr="0041431E" w:rsidTr="00866E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jc w:val="center"/>
              <w:rPr>
                <w:rFonts w:ascii="Times New Roman" w:eastAsia="Times New Roman" w:hAnsi="Times New Roman" w:cs="Times New Roman"/>
                <w:bCs w:val="0"/>
                <w:sz w:val="24"/>
                <w:szCs w:val="24"/>
              </w:rPr>
            </w:pPr>
            <w:r w:rsidRPr="0041431E">
              <w:rPr>
                <w:rFonts w:ascii="Times New Roman" w:eastAsia="Times New Roman" w:hAnsi="Times New Roman" w:cs="Times New Roman"/>
                <w:sz w:val="24"/>
                <w:szCs w:val="24"/>
              </w:rPr>
              <w:t>Country</w:t>
            </w:r>
          </w:p>
        </w:tc>
        <w:tc>
          <w:tcPr>
            <w:tcW w:w="2880" w:type="dxa"/>
            <w:shd w:val="clear" w:color="auto" w:fill="auto"/>
            <w:hideMark/>
          </w:tcPr>
          <w:p w:rsidR="00B64D64" w:rsidRPr="0041431E" w:rsidRDefault="00B64D64" w:rsidP="00D81E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1431E">
              <w:rPr>
                <w:rFonts w:ascii="Times New Roman" w:eastAsia="Times New Roman" w:hAnsi="Times New Roman" w:cs="Times New Roman"/>
                <w:sz w:val="24"/>
                <w:szCs w:val="24"/>
              </w:rPr>
              <w:t>Survey year</w:t>
            </w:r>
          </w:p>
        </w:tc>
        <w:tc>
          <w:tcPr>
            <w:tcW w:w="2790" w:type="dxa"/>
            <w:shd w:val="clear" w:color="auto" w:fill="auto"/>
            <w:hideMark/>
          </w:tcPr>
          <w:p w:rsidR="00B64D64" w:rsidRPr="0041431E" w:rsidRDefault="00B64D64" w:rsidP="00D81E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1431E">
              <w:rPr>
                <w:rFonts w:ascii="Times New Roman" w:eastAsia="Times New Roman" w:hAnsi="Times New Roman" w:cs="Times New Roman"/>
                <w:sz w:val="24"/>
                <w:szCs w:val="24"/>
              </w:rPr>
              <w:t>Total</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Albania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2017–2018</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1,035</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Armenia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2015–2016</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666</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Angola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2023</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4,129</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Bangladesh</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5,438</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Burkina Faso</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2021</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4,684</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Benin</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2017–2018</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5,502</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Burundi</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2023</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5,412</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Democratic Republic of Congo</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2023–2024</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8,487</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Côte d’Ivoire</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2021</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3,858</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Cameroon</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2018</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3,924</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Ethiopia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4,308</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Gabon</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2019–2021</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2,456</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Ghana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3,491</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Gambia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2019–2020</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3,129</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Guinea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2018</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3,026</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Haiti</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2016–2017</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2,424</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India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2019–2021</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87,278</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Indonesia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2017</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6,616</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Jordan</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2017–2018</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2,669</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Kenya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6,848</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Cambodia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2021–2022</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3,254</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Liberia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2019–2020</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2,096</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Lesotho</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2023</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983</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Madagascar</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2021</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4,897</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Mali</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2023–2024</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6,148</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Mauritania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2019–2021</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4,485</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lastRenderedPageBreak/>
              <w:t>Maldives</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2016–2017</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1,086</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Malawi</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6,693</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Mozambique</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3,822</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Nigeria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2024</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10,948</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Nepal</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1,933</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Papua New Guinea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2016–2018</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3,642</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Philippines</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2,826</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Pakistan</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2017–2018</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3,935</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Rwanda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2019–2020</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3,236</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Sierra Leone</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3,950</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Senegal</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2019</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3,772</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Tajikistan</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2023</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2,066</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Timor-Leste</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2,866</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Turkey</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2018</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914</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Tanzania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2022</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4,335</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Uganda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5,901</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South Africa</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2016</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1,386</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Zambia</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2024</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3,431</w:t>
            </w:r>
          </w:p>
        </w:tc>
      </w:tr>
      <w:tr w:rsidR="00B64D64" w:rsidRPr="0041431E"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Zimbabwe</w:t>
            </w:r>
          </w:p>
        </w:tc>
        <w:tc>
          <w:tcPr>
            <w:tcW w:w="288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2015</w:t>
            </w:r>
          </w:p>
        </w:tc>
        <w:tc>
          <w:tcPr>
            <w:tcW w:w="2790" w:type="dxa"/>
            <w:shd w:val="clear" w:color="auto" w:fill="auto"/>
            <w:hideMark/>
          </w:tcPr>
          <w:p w:rsidR="00B64D64" w:rsidRPr="0041431E" w:rsidRDefault="00B64D64" w:rsidP="00D81E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2,454</w:t>
            </w:r>
          </w:p>
        </w:tc>
      </w:tr>
      <w:tr w:rsidR="00B64D64" w:rsidRPr="0041431E" w:rsidTr="00866E06">
        <w:tc>
          <w:tcPr>
            <w:cnfStyle w:val="001000000000" w:firstRow="0" w:lastRow="0" w:firstColumn="1" w:lastColumn="0" w:oddVBand="0" w:evenVBand="0" w:oddHBand="0" w:evenHBand="0" w:firstRowFirstColumn="0" w:firstRowLastColumn="0" w:lastRowFirstColumn="0" w:lastRowLastColumn="0"/>
            <w:tcW w:w="3510" w:type="dxa"/>
            <w:shd w:val="clear" w:color="auto" w:fill="auto"/>
            <w:hideMark/>
          </w:tcPr>
          <w:p w:rsidR="00B64D64" w:rsidRPr="0041431E" w:rsidRDefault="00B64D64" w:rsidP="00D81E05">
            <w:pPr>
              <w:spacing w:line="360" w:lineRule="auto"/>
              <w:rPr>
                <w:rFonts w:ascii="Times New Roman" w:eastAsia="Times New Roman" w:hAnsi="Times New Roman" w:cs="Times New Roman"/>
                <w:b w:val="0"/>
                <w:sz w:val="24"/>
                <w:szCs w:val="24"/>
              </w:rPr>
            </w:pPr>
            <w:r w:rsidRPr="0041431E">
              <w:rPr>
                <w:rFonts w:ascii="Times New Roman" w:eastAsia="Times New Roman" w:hAnsi="Times New Roman" w:cs="Times New Roman"/>
                <w:b w:val="0"/>
                <w:sz w:val="24"/>
                <w:szCs w:val="24"/>
              </w:rPr>
              <w:t>Total</w:t>
            </w:r>
          </w:p>
        </w:tc>
        <w:tc>
          <w:tcPr>
            <w:tcW w:w="288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w:t>
            </w:r>
          </w:p>
        </w:tc>
        <w:tc>
          <w:tcPr>
            <w:tcW w:w="2790" w:type="dxa"/>
            <w:shd w:val="clear" w:color="auto" w:fill="auto"/>
            <w:hideMark/>
          </w:tcPr>
          <w:p w:rsidR="00B64D64" w:rsidRPr="0041431E" w:rsidRDefault="00B64D64" w:rsidP="00D81E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1431E">
              <w:rPr>
                <w:rFonts w:ascii="Times New Roman" w:eastAsia="Times New Roman" w:hAnsi="Times New Roman" w:cs="Times New Roman"/>
                <w:sz w:val="24"/>
                <w:szCs w:val="24"/>
              </w:rPr>
              <w:t>256,437</w:t>
            </w:r>
          </w:p>
        </w:tc>
      </w:tr>
    </w:tbl>
    <w:p w:rsidR="00B64D64" w:rsidRDefault="00B64D64" w:rsidP="00B64D64">
      <w:pPr>
        <w:spacing w:before="100" w:beforeAutospacing="1" w:after="100" w:afterAutospacing="1" w:line="360" w:lineRule="auto"/>
        <w:jc w:val="both"/>
        <w:rPr>
          <w:rFonts w:ascii="Times New Roman" w:eastAsia="Times New Roman" w:hAnsi="Times New Roman" w:cs="Times New Roman"/>
          <w:sz w:val="24"/>
          <w:szCs w:val="24"/>
        </w:rPr>
      </w:pPr>
    </w:p>
    <w:p w:rsidR="00B64D64" w:rsidRDefault="00B64D64" w:rsidP="00B64D64">
      <w:pPr>
        <w:spacing w:before="100" w:beforeAutospacing="1" w:after="100" w:afterAutospacing="1" w:line="360" w:lineRule="auto"/>
        <w:jc w:val="both"/>
        <w:rPr>
          <w:rFonts w:ascii="Times New Roman" w:eastAsia="Times New Roman" w:hAnsi="Times New Roman" w:cs="Times New Roman"/>
          <w:sz w:val="24"/>
          <w:szCs w:val="24"/>
        </w:rPr>
      </w:pPr>
    </w:p>
    <w:p w:rsidR="00B64D64" w:rsidRDefault="00B64D64" w:rsidP="00B64D64">
      <w:pPr>
        <w:spacing w:before="100" w:beforeAutospacing="1" w:after="100" w:afterAutospacing="1" w:line="360" w:lineRule="auto"/>
        <w:jc w:val="both"/>
        <w:rPr>
          <w:rFonts w:ascii="Times New Roman" w:eastAsia="Times New Roman" w:hAnsi="Times New Roman" w:cs="Times New Roman"/>
          <w:sz w:val="24"/>
          <w:szCs w:val="24"/>
        </w:rPr>
      </w:pPr>
    </w:p>
    <w:p w:rsidR="00B64D64" w:rsidRDefault="00B64D64" w:rsidP="00B64D64">
      <w:pPr>
        <w:spacing w:before="100" w:beforeAutospacing="1" w:after="100" w:afterAutospacing="1" w:line="360" w:lineRule="auto"/>
        <w:jc w:val="both"/>
        <w:rPr>
          <w:rFonts w:ascii="Times New Roman" w:eastAsia="Times New Roman" w:hAnsi="Times New Roman" w:cs="Times New Roman"/>
          <w:sz w:val="24"/>
          <w:szCs w:val="24"/>
        </w:rPr>
      </w:pPr>
    </w:p>
    <w:p w:rsidR="00B64D64" w:rsidRDefault="00B64D64" w:rsidP="00B64D64">
      <w:pPr>
        <w:spacing w:before="100" w:beforeAutospacing="1" w:after="100" w:afterAutospacing="1" w:line="360" w:lineRule="auto"/>
        <w:jc w:val="both"/>
        <w:rPr>
          <w:rFonts w:ascii="Times New Roman" w:eastAsia="Times New Roman" w:hAnsi="Times New Roman" w:cs="Times New Roman"/>
          <w:sz w:val="24"/>
          <w:szCs w:val="24"/>
        </w:rPr>
      </w:pPr>
    </w:p>
    <w:p w:rsidR="00B64D64" w:rsidRPr="00B64D64" w:rsidRDefault="00761334" w:rsidP="00B64D64">
      <w:pPr>
        <w:pStyle w:val="Heading1"/>
        <w:rPr>
          <w:rFonts w:ascii="Times New Roman" w:hAnsi="Times New Roman" w:cs="Times New Roman"/>
          <w:b w:val="0"/>
          <w:color w:val="000000" w:themeColor="text1"/>
          <w:sz w:val="24"/>
        </w:rPr>
      </w:pPr>
      <w:r w:rsidRPr="00761334">
        <w:rPr>
          <w:rFonts w:ascii="Times New Roman" w:hAnsi="Times New Roman" w:cs="Times New Roman"/>
          <w:bCs w:val="0"/>
          <w:color w:val="auto"/>
          <w:sz w:val="24"/>
        </w:rPr>
        <w:lastRenderedPageBreak/>
        <w:t>Supplementary file</w:t>
      </w:r>
      <w:r w:rsidR="00D95BAB" w:rsidRPr="00761334">
        <w:rPr>
          <w:rFonts w:ascii="Times New Roman" w:hAnsi="Times New Roman" w:cs="Times New Roman"/>
          <w:color w:val="auto"/>
          <w:sz w:val="22"/>
        </w:rPr>
        <w:t xml:space="preserve"> </w:t>
      </w:r>
      <w:r w:rsidR="00D95BAB">
        <w:rPr>
          <w:rFonts w:ascii="Times New Roman" w:hAnsi="Times New Roman" w:cs="Times New Roman"/>
          <w:color w:val="000000" w:themeColor="text1"/>
          <w:sz w:val="24"/>
        </w:rPr>
        <w:t>2</w:t>
      </w:r>
      <w:r w:rsidR="00B64D64" w:rsidRPr="00B64D64">
        <w:rPr>
          <w:rFonts w:ascii="Times New Roman" w:hAnsi="Times New Roman" w:cs="Times New Roman"/>
          <w:b w:val="0"/>
          <w:color w:val="000000" w:themeColor="text1"/>
          <w:sz w:val="24"/>
        </w:rPr>
        <w:t>: Detailed descriptions and categorizations of selected predictors</w:t>
      </w:r>
    </w:p>
    <w:p w:rsidR="00B64D64" w:rsidRDefault="00EB3036" w:rsidP="00B64D64">
      <w:pPr>
        <w:spacing w:before="100" w:beforeAutospacing="1" w:after="100" w:afterAutospacing="1" w:line="360" w:lineRule="auto"/>
        <w:jc w:val="both"/>
        <w:rPr>
          <w:rFonts w:ascii="Times New Roman" w:eastAsia="Times New Roman" w:hAnsi="Times New Roman" w:cs="Times New Roman"/>
          <w:sz w:val="24"/>
          <w:szCs w:val="24"/>
        </w:rPr>
      </w:pPr>
      <w:r w:rsidRPr="00811AC6">
        <w:rPr>
          <w:b/>
          <w:bCs/>
          <w:noProof/>
        </w:rPr>
        <w:drawing>
          <wp:inline distT="0" distB="0" distL="0" distR="0" wp14:anchorId="13B30E14" wp14:editId="572FC48B">
            <wp:extent cx="5943600" cy="396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D2203A" w:rsidRDefault="00D95BAB" w:rsidP="00D95BAB">
      <w:pPr>
        <w:spacing w:line="360" w:lineRule="auto"/>
        <w:rPr>
          <w:rStyle w:val="Strong"/>
          <w:rFonts w:ascii="Times New Roman" w:hAnsi="Times New Roman" w:cs="Times New Roman"/>
          <w:color w:val="000000" w:themeColor="text1"/>
          <w:sz w:val="24"/>
          <w:szCs w:val="24"/>
        </w:rPr>
      </w:pPr>
      <w:r w:rsidRPr="00D2203A">
        <w:rPr>
          <w:rStyle w:val="Strong"/>
          <w:rFonts w:ascii="Times New Roman" w:hAnsi="Times New Roman" w:cs="Times New Roman"/>
          <w:color w:val="000000" w:themeColor="text1"/>
          <w:sz w:val="24"/>
          <w:szCs w:val="24"/>
        </w:rPr>
        <w:t xml:space="preserve">Figure </w:t>
      </w:r>
      <w:r w:rsidR="00761334">
        <w:rPr>
          <w:rStyle w:val="Strong"/>
          <w:rFonts w:ascii="Times New Roman" w:hAnsi="Times New Roman" w:cs="Times New Roman"/>
          <w:color w:val="000000" w:themeColor="text1"/>
          <w:sz w:val="24"/>
          <w:szCs w:val="24"/>
        </w:rPr>
        <w:t>S</w:t>
      </w:r>
      <w:r w:rsidRPr="00D2203A">
        <w:rPr>
          <w:rStyle w:val="Strong"/>
          <w:rFonts w:ascii="Times New Roman" w:hAnsi="Times New Roman" w:cs="Times New Roman"/>
          <w:color w:val="000000" w:themeColor="text1"/>
          <w:sz w:val="24"/>
          <w:szCs w:val="24"/>
        </w:rPr>
        <w:t xml:space="preserve">1. </w:t>
      </w:r>
      <w:proofErr w:type="gramStart"/>
      <w:r w:rsidRPr="00D2203A">
        <w:rPr>
          <w:rStyle w:val="Strong"/>
          <w:rFonts w:ascii="Times New Roman" w:hAnsi="Times New Roman" w:cs="Times New Roman"/>
          <w:b w:val="0"/>
          <w:color w:val="000000" w:themeColor="text1"/>
          <w:sz w:val="24"/>
          <w:szCs w:val="24"/>
        </w:rPr>
        <w:t>Conceptual framework of determinants of newborn postnatal care utilization within the first two days in LMICs</w:t>
      </w:r>
      <w:r w:rsidRPr="00D2203A">
        <w:rPr>
          <w:rStyle w:val="Strong"/>
          <w:rFonts w:ascii="Times New Roman" w:hAnsi="Times New Roman" w:cs="Times New Roman"/>
          <w:color w:val="000000" w:themeColor="text1"/>
          <w:sz w:val="24"/>
          <w:szCs w:val="24"/>
        </w:rPr>
        <w:t>.</w:t>
      </w:r>
      <w:proofErr w:type="gramEnd"/>
    </w:p>
    <w:p w:rsidR="00705D13" w:rsidRPr="00D2203A" w:rsidRDefault="0037708D" w:rsidP="001E4FA9">
      <w:pPr>
        <w:spacing w:line="360" w:lineRule="auto"/>
        <w:jc w:val="both"/>
        <w:rPr>
          <w:rFonts w:ascii="Times New Roman" w:hAnsi="Times New Roman" w:cs="Times New Roman"/>
          <w:color w:val="000000" w:themeColor="text1"/>
          <w:sz w:val="24"/>
          <w:szCs w:val="24"/>
        </w:rPr>
      </w:pPr>
      <w:r w:rsidRPr="00D2203A">
        <w:rPr>
          <w:rFonts w:ascii="Times New Roman" w:hAnsi="Times New Roman" w:cs="Times New Roman"/>
          <w:b/>
          <w:color w:val="000000" w:themeColor="text1"/>
          <w:sz w:val="24"/>
          <w:szCs w:val="24"/>
        </w:rPr>
        <w:t xml:space="preserve">Table </w:t>
      </w:r>
      <w:r w:rsidR="00761334">
        <w:rPr>
          <w:rFonts w:ascii="Times New Roman" w:hAnsi="Times New Roman" w:cs="Times New Roman"/>
          <w:b/>
          <w:color w:val="000000" w:themeColor="text1"/>
          <w:sz w:val="24"/>
          <w:szCs w:val="24"/>
        </w:rPr>
        <w:t>S</w:t>
      </w:r>
      <w:r w:rsidRPr="00D2203A">
        <w:rPr>
          <w:rFonts w:ascii="Times New Roman" w:hAnsi="Times New Roman" w:cs="Times New Roman"/>
          <w:b/>
          <w:color w:val="000000" w:themeColor="text1"/>
          <w:sz w:val="24"/>
          <w:szCs w:val="24"/>
        </w:rPr>
        <w:t>1:</w:t>
      </w:r>
      <w:r w:rsidRPr="00D2203A">
        <w:rPr>
          <w:rFonts w:ascii="Times New Roman" w:hAnsi="Times New Roman" w:cs="Times New Roman"/>
          <w:color w:val="000000" w:themeColor="text1"/>
          <w:sz w:val="24"/>
          <w:szCs w:val="24"/>
        </w:rPr>
        <w:t xml:space="preserve"> </w:t>
      </w:r>
      <w:r w:rsidR="00D2203A" w:rsidRPr="00D2203A">
        <w:rPr>
          <w:rFonts w:ascii="Times New Roman" w:hAnsi="Times New Roman" w:cs="Times New Roman"/>
          <w:sz w:val="24"/>
          <w:szCs w:val="24"/>
        </w:rPr>
        <w:t>Operational definitions and categorization of independent variables used to analyze early postnatal care utilization among newborns in LMICs (DHS 2015–2024).</w:t>
      </w:r>
    </w:p>
    <w:tbl>
      <w:tblPr>
        <w:tblStyle w:val="LightShading"/>
        <w:tblW w:w="9828" w:type="dxa"/>
        <w:tblLook w:val="04A0" w:firstRow="1" w:lastRow="0" w:firstColumn="1" w:lastColumn="0" w:noHBand="0" w:noVBand="1"/>
      </w:tblPr>
      <w:tblGrid>
        <w:gridCol w:w="3500"/>
        <w:gridCol w:w="6328"/>
      </w:tblGrid>
      <w:tr w:rsidR="0037708D" w:rsidRPr="007F29A4" w:rsidTr="00866E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sz w:val="24"/>
                <w:szCs w:val="24"/>
              </w:rPr>
              <w:t>Variables</w:t>
            </w:r>
          </w:p>
        </w:tc>
        <w:tc>
          <w:tcPr>
            <w:tcW w:w="6328" w:type="dxa"/>
            <w:hideMark/>
          </w:tcPr>
          <w:p w:rsidR="0037708D" w:rsidRPr="007F29A4" w:rsidRDefault="0037708D" w:rsidP="004D3A8C">
            <w:pPr>
              <w:spacing w:after="20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F29A4">
              <w:rPr>
                <w:rFonts w:ascii="Times New Roman" w:hAnsi="Times New Roman" w:cs="Times New Roman"/>
                <w:sz w:val="24"/>
                <w:szCs w:val="24"/>
              </w:rPr>
              <w:t>Categories</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Sex of household head</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Sex of household head was classified as male or female.</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Age of respondent</w:t>
            </w:r>
          </w:p>
        </w:tc>
        <w:tc>
          <w:tcPr>
            <w:tcW w:w="6328" w:type="dxa"/>
            <w:hideMark/>
          </w:tcPr>
          <w:p w:rsidR="0037708D" w:rsidRPr="007F29A4" w:rsidRDefault="0037708D" w:rsidP="004D3A8C">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Age of the respondent was categorized into three groups: ≤24 years, 25–34 years, and ≥35 years.</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Mother’s occupation</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Mother’s occupation was classified as not wor</w:t>
            </w:r>
            <w:r>
              <w:rPr>
                <w:rFonts w:ascii="Times New Roman" w:hAnsi="Times New Roman" w:cs="Times New Roman"/>
                <w:sz w:val="24"/>
                <w:szCs w:val="24"/>
              </w:rPr>
              <w:t>king, engaged in agriculture, or</w:t>
            </w:r>
            <w:r w:rsidRPr="007F29A4">
              <w:rPr>
                <w:rFonts w:ascii="Times New Roman" w:hAnsi="Times New Roman" w:cs="Times New Roman"/>
                <w:sz w:val="24"/>
                <w:szCs w:val="24"/>
              </w:rPr>
              <w:t xml:space="preserve"> in paid work.</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lastRenderedPageBreak/>
              <w:t>Wealth index</w:t>
            </w:r>
          </w:p>
        </w:tc>
        <w:tc>
          <w:tcPr>
            <w:tcW w:w="6328" w:type="dxa"/>
            <w:hideMark/>
          </w:tcPr>
          <w:p w:rsidR="0037708D" w:rsidRPr="007F29A4" w:rsidRDefault="0037708D" w:rsidP="004D3A8C">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Wealth index was grouped into poor, middle, and rich.</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Number of children &lt;5 in</w:t>
            </w:r>
            <w:r w:rsidR="004D3A8C">
              <w:rPr>
                <w:rFonts w:ascii="Times New Roman" w:hAnsi="Times New Roman" w:cs="Times New Roman"/>
                <w:b w:val="0"/>
                <w:sz w:val="24"/>
                <w:szCs w:val="24"/>
              </w:rPr>
              <w:t xml:space="preserve"> the</w:t>
            </w:r>
            <w:r w:rsidRPr="007F29A4">
              <w:rPr>
                <w:rFonts w:ascii="Times New Roman" w:hAnsi="Times New Roman" w:cs="Times New Roman"/>
                <w:b w:val="0"/>
                <w:sz w:val="24"/>
                <w:szCs w:val="24"/>
              </w:rPr>
              <w:t xml:space="preserve"> household</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Number of children under five in the household was categorized as 0, 1–3, or ≥4.</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Marital status</w:t>
            </w:r>
          </w:p>
        </w:tc>
        <w:tc>
          <w:tcPr>
            <w:tcW w:w="6328" w:type="dxa"/>
            <w:hideMark/>
          </w:tcPr>
          <w:p w:rsidR="0037708D" w:rsidRPr="007F29A4" w:rsidRDefault="0037708D" w:rsidP="004D3A8C">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Marital status was classified as in union or not in union.</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Place of delivery</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Place of delivery was categorized as home or health facility.</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ANC visits</w:t>
            </w:r>
          </w:p>
        </w:tc>
        <w:tc>
          <w:tcPr>
            <w:tcW w:w="6328" w:type="dxa"/>
            <w:hideMark/>
          </w:tcPr>
          <w:p w:rsidR="0037708D" w:rsidRPr="007F29A4" w:rsidRDefault="0037708D" w:rsidP="004D3A8C">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Antenatal care (ANC) visits were categorized as no ANC, 1–3 visits, or ≥4 visits.</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Cesarean section delivery</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Cesarean section delivery was coded as no or yes.</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Iron supplementation</w:t>
            </w:r>
          </w:p>
        </w:tc>
        <w:tc>
          <w:tcPr>
            <w:tcW w:w="6328" w:type="dxa"/>
            <w:hideMark/>
          </w:tcPr>
          <w:p w:rsidR="0037708D" w:rsidRPr="007F29A4" w:rsidRDefault="0037708D" w:rsidP="004D3A8C">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Iron supplementation during pregnancy was categorized as no or yes.</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Ever had terminated pregnancy</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History of terminated pregnancy was coded as no or yes.</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Birth interval</w:t>
            </w:r>
          </w:p>
        </w:tc>
        <w:tc>
          <w:tcPr>
            <w:tcW w:w="6328" w:type="dxa"/>
            <w:hideMark/>
          </w:tcPr>
          <w:p w:rsidR="0037708D" w:rsidRPr="007F29A4" w:rsidRDefault="0037708D" w:rsidP="004D3A8C">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Birth interval was classified as &lt;24 months or ≥24 months.</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Age at first birth</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Age at first birth was categorized as ≤18 years or &gt;18 years.</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Decision-making power</w:t>
            </w:r>
          </w:p>
        </w:tc>
        <w:tc>
          <w:tcPr>
            <w:tcW w:w="6328" w:type="dxa"/>
            <w:hideMark/>
          </w:tcPr>
          <w:p w:rsidR="0037708D" w:rsidRPr="005C15FC" w:rsidRDefault="005C15FC" w:rsidP="005C15FC">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C15FC">
              <w:rPr>
                <w:rFonts w:ascii="Times New Roman" w:eastAsia="Times New Roman" w:hAnsi="Times New Roman" w:cs="Times New Roman"/>
                <w:bCs/>
                <w:sz w:val="24"/>
                <w:szCs w:val="24"/>
              </w:rPr>
              <w:t>Decision-making autonomy was derived from DHS household decision-making questions regarding women’s participation in decisions about their own healthcare, major household purchases, and visits to family or relatives. Women who participated in decision-making either alone or jointly with their partner were classified as having autonomy (“has autonomy”), whereas those whose decisions were made solely by their partner or others were classified as having no autonomy (“no autonomy”).</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Health insurance coverage</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Health insurance coverage was coded as no or yes.</w:t>
            </w:r>
          </w:p>
        </w:tc>
      </w:tr>
      <w:tr w:rsidR="00DD325D" w:rsidRPr="007F29A4" w:rsidTr="00866E06">
        <w:tc>
          <w:tcPr>
            <w:cnfStyle w:val="001000000000" w:firstRow="0" w:lastRow="0" w:firstColumn="1" w:lastColumn="0" w:oddVBand="0" w:evenVBand="0" w:oddHBand="0" w:evenHBand="0" w:firstRowFirstColumn="0" w:firstRowLastColumn="0" w:lastRowFirstColumn="0" w:lastRowLastColumn="0"/>
            <w:tcW w:w="0" w:type="auto"/>
          </w:tcPr>
          <w:p w:rsidR="00DD325D" w:rsidRPr="00933BE3" w:rsidRDefault="00DD325D" w:rsidP="004D3A8C">
            <w:pPr>
              <w:spacing w:line="360" w:lineRule="auto"/>
              <w:rPr>
                <w:rFonts w:ascii="Times New Roman" w:hAnsi="Times New Roman" w:cs="Times New Roman"/>
                <w:b w:val="0"/>
                <w:sz w:val="24"/>
                <w:szCs w:val="24"/>
              </w:rPr>
            </w:pPr>
            <w:r w:rsidRPr="00933BE3">
              <w:rPr>
                <w:rFonts w:ascii="Times New Roman" w:hAnsi="Times New Roman" w:cs="Times New Roman"/>
                <w:b w:val="0"/>
                <w:sz w:val="24"/>
                <w:szCs w:val="24"/>
              </w:rPr>
              <w:t>Birth order</w:t>
            </w:r>
          </w:p>
        </w:tc>
        <w:tc>
          <w:tcPr>
            <w:tcW w:w="6328" w:type="dxa"/>
          </w:tcPr>
          <w:p w:rsidR="00DD325D" w:rsidRPr="00DD325D" w:rsidRDefault="00DD325D" w:rsidP="004D3A8C">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D325D">
              <w:rPr>
                <w:rFonts w:ascii="Times New Roman" w:eastAsia="Times New Roman" w:hAnsi="Times New Roman" w:cs="Times New Roman"/>
                <w:sz w:val="24"/>
                <w:szCs w:val="24"/>
              </w:rPr>
              <w:t xml:space="preserve">Birth order was categorized as 1, 2–3, and ≥4, representing the sequence number of the index child among all live births to the </w:t>
            </w:r>
            <w:r w:rsidRPr="00DD325D">
              <w:rPr>
                <w:rFonts w:ascii="Times New Roman" w:eastAsia="Times New Roman" w:hAnsi="Times New Roman" w:cs="Times New Roman"/>
                <w:sz w:val="24"/>
                <w:szCs w:val="24"/>
              </w:rPr>
              <w:lastRenderedPageBreak/>
              <w:t>mother.</w:t>
            </w:r>
          </w:p>
        </w:tc>
      </w:tr>
      <w:tr w:rsidR="00933BE3"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933BE3" w:rsidRPr="00933BE3" w:rsidRDefault="00933BE3" w:rsidP="004D3A8C">
            <w:pPr>
              <w:spacing w:line="360" w:lineRule="auto"/>
              <w:rPr>
                <w:rFonts w:ascii="Times New Roman" w:hAnsi="Times New Roman" w:cs="Times New Roman"/>
                <w:b w:val="0"/>
                <w:sz w:val="24"/>
                <w:szCs w:val="24"/>
              </w:rPr>
            </w:pPr>
          </w:p>
        </w:tc>
        <w:tc>
          <w:tcPr>
            <w:tcW w:w="6328" w:type="dxa"/>
          </w:tcPr>
          <w:p w:rsidR="00933BE3" w:rsidRPr="00DD325D" w:rsidRDefault="00933BE3" w:rsidP="004D3A8C">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DD325D" w:rsidRPr="007F29A4" w:rsidTr="00866E06">
        <w:tc>
          <w:tcPr>
            <w:cnfStyle w:val="001000000000" w:firstRow="0" w:lastRow="0" w:firstColumn="1" w:lastColumn="0" w:oddVBand="0" w:evenVBand="0" w:oddHBand="0" w:evenHBand="0" w:firstRowFirstColumn="0" w:firstRowLastColumn="0" w:lastRowFirstColumn="0" w:lastRowLastColumn="0"/>
            <w:tcW w:w="0" w:type="auto"/>
          </w:tcPr>
          <w:p w:rsidR="00DD325D" w:rsidRPr="00DD325D" w:rsidRDefault="00DD325D" w:rsidP="004D3A8C">
            <w:pPr>
              <w:spacing w:before="100" w:beforeAutospacing="1" w:after="100" w:afterAutospacing="1" w:line="360" w:lineRule="auto"/>
              <w:outlineLvl w:val="2"/>
              <w:rPr>
                <w:rFonts w:ascii="Times New Roman" w:eastAsia="Times New Roman" w:hAnsi="Times New Roman" w:cs="Times New Roman"/>
                <w:b w:val="0"/>
                <w:sz w:val="24"/>
                <w:szCs w:val="24"/>
              </w:rPr>
            </w:pPr>
            <w:r w:rsidRPr="00DD325D">
              <w:rPr>
                <w:rFonts w:ascii="Times New Roman" w:eastAsia="Times New Roman" w:hAnsi="Times New Roman" w:cs="Times New Roman"/>
                <w:b w:val="0"/>
                <w:sz w:val="24"/>
                <w:szCs w:val="24"/>
              </w:rPr>
              <w:t>Knowledge of ovulatory cycle</w:t>
            </w:r>
          </w:p>
        </w:tc>
        <w:tc>
          <w:tcPr>
            <w:tcW w:w="6328" w:type="dxa"/>
          </w:tcPr>
          <w:p w:rsidR="00DD325D" w:rsidRPr="00D2203A" w:rsidRDefault="00D2203A" w:rsidP="004D3A8C">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2203A">
              <w:rPr>
                <w:rFonts w:ascii="Times New Roman" w:hAnsi="Times New Roman" w:cs="Times New Roman"/>
                <w:sz w:val="24"/>
              </w:rPr>
              <w:t>Categorized based on correct identification of the ovulatory period into correct knowledge or incorrect/no knowledge, as defined in DHS recode variables</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Place of residence</w:t>
            </w:r>
          </w:p>
        </w:tc>
        <w:tc>
          <w:tcPr>
            <w:tcW w:w="6328" w:type="dxa"/>
            <w:hideMark/>
          </w:tcPr>
          <w:p w:rsidR="0037708D" w:rsidRPr="007F29A4" w:rsidRDefault="0037708D" w:rsidP="004D3A8C">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F29A4">
              <w:rPr>
                <w:rFonts w:ascii="Times New Roman" w:hAnsi="Times New Roman" w:cs="Times New Roman"/>
                <w:sz w:val="24"/>
                <w:szCs w:val="24"/>
              </w:rPr>
              <w:t>Place of residence was categorized as urban or rural.</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Community media exposure</w:t>
            </w:r>
          </w:p>
        </w:tc>
        <w:tc>
          <w:tcPr>
            <w:tcW w:w="6328" w:type="dxa"/>
            <w:hideMark/>
          </w:tcPr>
          <w:p w:rsidR="0037708D" w:rsidRPr="003D7FAF" w:rsidRDefault="003D7FAF" w:rsidP="004D3A8C">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D7FAF">
              <w:rPr>
                <w:rFonts w:ascii="Times New Roman" w:eastAsia="Times New Roman" w:hAnsi="Times New Roman" w:cs="Times New Roman"/>
                <w:sz w:val="24"/>
                <w:szCs w:val="24"/>
              </w:rPr>
              <w:t xml:space="preserve">Community-level media exposure was measured by aggregating individual responses on women’s exposure to mass media (radio, television, or newspaper). Using the </w:t>
            </w:r>
            <w:proofErr w:type="spellStart"/>
            <w:r w:rsidRPr="003D7FAF">
              <w:rPr>
                <w:rFonts w:ascii="Times New Roman" w:eastAsia="Times New Roman" w:hAnsi="Times New Roman" w:cs="Times New Roman"/>
                <w:iCs/>
                <w:sz w:val="24"/>
                <w:szCs w:val="24"/>
              </w:rPr>
              <w:t>egen</w:t>
            </w:r>
            <w:proofErr w:type="spellEnd"/>
            <w:r w:rsidRPr="003D7FAF">
              <w:rPr>
                <w:rFonts w:ascii="Times New Roman" w:eastAsia="Times New Roman" w:hAnsi="Times New Roman" w:cs="Times New Roman"/>
                <w:sz w:val="24"/>
                <w:szCs w:val="24"/>
              </w:rPr>
              <w:t xml:space="preserve"> command, we calculated the proportion of women in each cluster who were exposed to at least one form of media, generating a continuous community-level measure. Clusters with a proportion of women exposed to media greater than or equal to 50% were classified as </w:t>
            </w:r>
            <w:r w:rsidRPr="003D7FAF">
              <w:rPr>
                <w:rFonts w:ascii="Times New Roman" w:eastAsia="Times New Roman" w:hAnsi="Times New Roman" w:cs="Times New Roman"/>
                <w:iCs/>
                <w:sz w:val="24"/>
                <w:szCs w:val="24"/>
              </w:rPr>
              <w:t>high media exposure</w:t>
            </w:r>
            <w:r w:rsidRPr="003D7FAF">
              <w:rPr>
                <w:rFonts w:ascii="Times New Roman" w:eastAsia="Times New Roman" w:hAnsi="Times New Roman" w:cs="Times New Roman"/>
                <w:sz w:val="24"/>
                <w:szCs w:val="24"/>
              </w:rPr>
              <w:t xml:space="preserve">, while those with less than 50% were classified as </w:t>
            </w:r>
            <w:r w:rsidRPr="003D7FAF">
              <w:rPr>
                <w:rFonts w:ascii="Times New Roman" w:eastAsia="Times New Roman" w:hAnsi="Times New Roman" w:cs="Times New Roman"/>
                <w:iCs/>
                <w:sz w:val="24"/>
                <w:szCs w:val="24"/>
              </w:rPr>
              <w:t>low media exposure</w:t>
            </w:r>
            <w:r w:rsidRPr="003D7FAF">
              <w:rPr>
                <w:rFonts w:ascii="Times New Roman" w:eastAsia="Times New Roman" w:hAnsi="Times New Roman" w:cs="Times New Roman"/>
                <w:sz w:val="24"/>
                <w:szCs w:val="24"/>
              </w:rPr>
              <w:t>.</w:t>
            </w:r>
          </w:p>
        </w:tc>
      </w:tr>
      <w:tr w:rsidR="0037708D" w:rsidRPr="007F29A4"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Community distance barrier</w:t>
            </w:r>
          </w:p>
        </w:tc>
        <w:tc>
          <w:tcPr>
            <w:tcW w:w="6328" w:type="dxa"/>
            <w:hideMark/>
          </w:tcPr>
          <w:p w:rsidR="0037708D" w:rsidRPr="00236B4B" w:rsidRDefault="0037708D" w:rsidP="004D3A8C">
            <w:pPr>
              <w:pStyle w:val="NormalWeb"/>
              <w:spacing w:line="360" w:lineRule="auto"/>
              <w:cnfStyle w:val="000000100000" w:firstRow="0" w:lastRow="0" w:firstColumn="0" w:lastColumn="0" w:oddVBand="0" w:evenVBand="0" w:oddHBand="1" w:evenHBand="0" w:firstRowFirstColumn="0" w:firstRowLastColumn="0" w:lastRowFirstColumn="0" w:lastRowLastColumn="0"/>
            </w:pPr>
            <w:r w:rsidRPr="00236B4B">
              <w:t xml:space="preserve">The community-level </w:t>
            </w:r>
            <w:r w:rsidRPr="0076619C">
              <w:rPr>
                <w:rStyle w:val="Strong"/>
                <w:b w:val="0"/>
              </w:rPr>
              <w:t>distance barrier to health facilities</w:t>
            </w:r>
            <w:r w:rsidRPr="00236B4B">
              <w:t xml:space="preserve"> was measured by aggregating individual responses on whether distance to a health facility was perceived as a problem for accessing care. Using the </w:t>
            </w:r>
            <w:proofErr w:type="spellStart"/>
            <w:r w:rsidRPr="00236B4B">
              <w:rPr>
                <w:rStyle w:val="HTMLCode"/>
              </w:rPr>
              <w:t>egen</w:t>
            </w:r>
            <w:proofErr w:type="spellEnd"/>
            <w:r w:rsidRPr="00236B4B">
              <w:t xml:space="preserve"> command, we calculated the </w:t>
            </w:r>
            <w:r w:rsidRPr="0076619C">
              <w:rPr>
                <w:rStyle w:val="Strong"/>
                <w:b w:val="0"/>
              </w:rPr>
              <w:t>proportion of women in each cluster reporting distance as a barrier</w:t>
            </w:r>
            <w:r w:rsidRPr="00236B4B">
              <w:t>, creating a continuous community-level score.</w:t>
            </w:r>
            <w:r>
              <w:t xml:space="preserve"> </w:t>
            </w:r>
            <w:r w:rsidRPr="00236B4B">
              <w:t>Clusters with a proportion above the mean</w:t>
            </w:r>
            <w:r>
              <w:t xml:space="preserve"> value</w:t>
            </w:r>
            <w:r w:rsidRPr="00236B4B">
              <w:t xml:space="preserve"> were classified as high barrier, while those below the mean value were classified as low barrier.</w:t>
            </w:r>
          </w:p>
        </w:tc>
      </w:tr>
      <w:tr w:rsidR="0037708D" w:rsidRPr="007F29A4" w:rsidTr="00866E06">
        <w:tc>
          <w:tcPr>
            <w:cnfStyle w:val="001000000000" w:firstRow="0" w:lastRow="0" w:firstColumn="1" w:lastColumn="0" w:oddVBand="0" w:evenVBand="0" w:oddHBand="0" w:evenHBand="0" w:firstRowFirstColumn="0" w:firstRowLastColumn="0" w:lastRowFirstColumn="0" w:lastRowLastColumn="0"/>
            <w:tcW w:w="0" w:type="auto"/>
            <w:hideMark/>
          </w:tcPr>
          <w:p w:rsidR="0037708D" w:rsidRPr="007F29A4" w:rsidRDefault="0037708D" w:rsidP="004D3A8C">
            <w:pPr>
              <w:spacing w:after="200" w:line="360" w:lineRule="auto"/>
              <w:rPr>
                <w:rFonts w:ascii="Times New Roman" w:hAnsi="Times New Roman" w:cs="Times New Roman"/>
                <w:b w:val="0"/>
                <w:bCs w:val="0"/>
                <w:sz w:val="24"/>
                <w:szCs w:val="24"/>
              </w:rPr>
            </w:pPr>
            <w:r w:rsidRPr="007F29A4">
              <w:rPr>
                <w:rFonts w:ascii="Times New Roman" w:hAnsi="Times New Roman" w:cs="Times New Roman"/>
                <w:b w:val="0"/>
                <w:sz w:val="24"/>
                <w:szCs w:val="24"/>
              </w:rPr>
              <w:t>Community education level</w:t>
            </w:r>
          </w:p>
        </w:tc>
        <w:tc>
          <w:tcPr>
            <w:tcW w:w="6328" w:type="dxa"/>
            <w:hideMark/>
          </w:tcPr>
          <w:p w:rsidR="0037708D" w:rsidRPr="0076619C" w:rsidRDefault="0076619C" w:rsidP="004D3A8C">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6619C">
              <w:rPr>
                <w:rFonts w:ascii="Times New Roman" w:eastAsia="Times New Roman" w:hAnsi="Times New Roman" w:cs="Times New Roman"/>
                <w:sz w:val="24"/>
                <w:szCs w:val="24"/>
              </w:rPr>
              <w:t xml:space="preserve">Community-level women’s education was measured by aggregating individual educational attainment within each cluster. Using the </w:t>
            </w:r>
            <w:proofErr w:type="spellStart"/>
            <w:r w:rsidRPr="0076619C">
              <w:rPr>
                <w:rFonts w:ascii="Times New Roman" w:eastAsia="Times New Roman" w:hAnsi="Times New Roman" w:cs="Times New Roman"/>
                <w:i/>
                <w:iCs/>
                <w:sz w:val="24"/>
                <w:szCs w:val="24"/>
              </w:rPr>
              <w:t>egen</w:t>
            </w:r>
            <w:proofErr w:type="spellEnd"/>
            <w:r w:rsidRPr="0076619C">
              <w:rPr>
                <w:rFonts w:ascii="Times New Roman" w:eastAsia="Times New Roman" w:hAnsi="Times New Roman" w:cs="Times New Roman"/>
                <w:sz w:val="24"/>
                <w:szCs w:val="24"/>
              </w:rPr>
              <w:t xml:space="preserve"> command, we calculated the proportion of women in each cluster who had attained formal education, generating a continuous community-level measure. Clusters </w:t>
            </w:r>
            <w:r w:rsidRPr="0076619C">
              <w:rPr>
                <w:rFonts w:ascii="Times New Roman" w:eastAsia="Times New Roman" w:hAnsi="Times New Roman" w:cs="Times New Roman"/>
                <w:sz w:val="24"/>
                <w:szCs w:val="24"/>
              </w:rPr>
              <w:lastRenderedPageBreak/>
              <w:t xml:space="preserve">with a proportion above the overall mean value were categorized as </w:t>
            </w:r>
            <w:r w:rsidRPr="0076619C">
              <w:rPr>
                <w:rFonts w:ascii="Times New Roman" w:eastAsia="Times New Roman" w:hAnsi="Times New Roman" w:cs="Times New Roman"/>
                <w:i/>
                <w:iCs/>
                <w:sz w:val="24"/>
                <w:szCs w:val="24"/>
              </w:rPr>
              <w:t>high community education level</w:t>
            </w:r>
            <w:r w:rsidRPr="0076619C">
              <w:rPr>
                <w:rFonts w:ascii="Times New Roman" w:eastAsia="Times New Roman" w:hAnsi="Times New Roman" w:cs="Times New Roman"/>
                <w:sz w:val="24"/>
                <w:szCs w:val="24"/>
              </w:rPr>
              <w:t xml:space="preserve">, while those below the mean were categorized as </w:t>
            </w:r>
            <w:r w:rsidRPr="0076619C">
              <w:rPr>
                <w:rFonts w:ascii="Times New Roman" w:eastAsia="Times New Roman" w:hAnsi="Times New Roman" w:cs="Times New Roman"/>
                <w:i/>
                <w:iCs/>
                <w:sz w:val="24"/>
                <w:szCs w:val="24"/>
              </w:rPr>
              <w:t>low community education level</w:t>
            </w:r>
            <w:r w:rsidRPr="0076619C">
              <w:rPr>
                <w:rFonts w:ascii="Times New Roman" w:eastAsia="Times New Roman" w:hAnsi="Times New Roman" w:cs="Times New Roman"/>
                <w:sz w:val="24"/>
                <w:szCs w:val="24"/>
              </w:rPr>
              <w:t>.</w:t>
            </w:r>
          </w:p>
        </w:tc>
      </w:tr>
    </w:tbl>
    <w:p w:rsidR="0037708D" w:rsidRDefault="0037708D" w:rsidP="00D95BAB">
      <w:pPr>
        <w:spacing w:line="360" w:lineRule="auto"/>
        <w:rPr>
          <w:rFonts w:ascii="Times New Roman" w:hAnsi="Times New Roman" w:cs="Times New Roman"/>
          <w:color w:val="000000" w:themeColor="text1"/>
          <w:sz w:val="24"/>
        </w:rPr>
      </w:pPr>
    </w:p>
    <w:p w:rsidR="00A512EF" w:rsidRPr="00761334" w:rsidRDefault="00761334" w:rsidP="00A512EF">
      <w:pPr>
        <w:pStyle w:val="Heading1"/>
        <w:rPr>
          <w:rFonts w:ascii="Times New Roman" w:hAnsi="Times New Roman" w:cs="Times New Roman"/>
          <w:b w:val="0"/>
          <w:color w:val="000000" w:themeColor="text1"/>
          <w:sz w:val="24"/>
          <w:szCs w:val="24"/>
        </w:rPr>
      </w:pPr>
      <w:r w:rsidRPr="00761334">
        <w:rPr>
          <w:rFonts w:ascii="Times New Roman" w:hAnsi="Times New Roman" w:cs="Times New Roman"/>
          <w:color w:val="auto"/>
          <w:sz w:val="24"/>
          <w:szCs w:val="24"/>
        </w:rPr>
        <w:t>Supplementary file</w:t>
      </w:r>
      <w:r w:rsidR="00BD3F6C" w:rsidRPr="00761334">
        <w:rPr>
          <w:rFonts w:ascii="Times New Roman" w:hAnsi="Times New Roman" w:cs="Times New Roman"/>
          <w:color w:val="auto"/>
          <w:sz w:val="24"/>
          <w:szCs w:val="24"/>
        </w:rPr>
        <w:t xml:space="preserve"> </w:t>
      </w:r>
      <w:r w:rsidR="00BD3F6C" w:rsidRPr="00761334">
        <w:rPr>
          <w:rFonts w:ascii="Times New Roman" w:hAnsi="Times New Roman" w:cs="Times New Roman"/>
          <w:color w:val="000000" w:themeColor="text1"/>
          <w:sz w:val="24"/>
          <w:szCs w:val="24"/>
        </w:rPr>
        <w:t>3</w:t>
      </w:r>
      <w:r w:rsidR="00A512EF" w:rsidRPr="00761334">
        <w:rPr>
          <w:rFonts w:ascii="Times New Roman" w:hAnsi="Times New Roman" w:cs="Times New Roman"/>
          <w:b w:val="0"/>
          <w:color w:val="000000" w:themeColor="text1"/>
          <w:sz w:val="24"/>
          <w:szCs w:val="24"/>
        </w:rPr>
        <w:t xml:space="preserve">: </w:t>
      </w:r>
      <w:r w:rsidR="00A512EF" w:rsidRPr="00761334">
        <w:rPr>
          <w:rStyle w:val="Strong"/>
          <w:rFonts w:ascii="Times New Roman" w:hAnsi="Times New Roman" w:cs="Times New Roman"/>
          <w:color w:val="000000" w:themeColor="text1"/>
          <w:sz w:val="24"/>
          <w:szCs w:val="24"/>
        </w:rPr>
        <w:t>Description of weighting procedure</w:t>
      </w:r>
    </w:p>
    <w:p w:rsidR="0062107B" w:rsidRDefault="0062107B" w:rsidP="0062107B">
      <w:pPr>
        <w:pStyle w:val="NormalWeb"/>
        <w:spacing w:line="360" w:lineRule="auto"/>
        <w:jc w:val="both"/>
      </w:pPr>
      <w:r>
        <w:t>Sampling weights (v005) provided by the DHS were applied to account for unequal probability of selection and non-response, ensuring national representativeness. The original weights were divided by 1,000,000 to create a standardized weight variable (</w:t>
      </w:r>
      <w:proofErr w:type="spellStart"/>
      <w:r>
        <w:rPr>
          <w:rStyle w:val="HTMLCode"/>
        </w:rPr>
        <w:t>wt</w:t>
      </w:r>
      <w:proofErr w:type="spellEnd"/>
      <w:r>
        <w:rPr>
          <w:rStyle w:val="HTMLCode"/>
        </w:rPr>
        <w:t xml:space="preserve"> = v005/1,000,000</w:t>
      </w:r>
      <w:r>
        <w:t>). For all analyses, including descriptive statistics and multilevel logistic regression models, these weights were applied at the individual level. For example, in descriptive analyses, the weighted tabulation of maternal age was performed using:</w:t>
      </w:r>
    </w:p>
    <w:p w:rsidR="0062107B" w:rsidRDefault="0062107B" w:rsidP="0062107B">
      <w:pPr>
        <w:pStyle w:val="HTMLPreformatted"/>
        <w:rPr>
          <w:rStyle w:val="HTMLCode"/>
        </w:rPr>
      </w:pPr>
      <w:proofErr w:type="gramStart"/>
      <w:r>
        <w:rPr>
          <w:rStyle w:val="HTMLCode"/>
        </w:rPr>
        <w:t>tab</w:t>
      </w:r>
      <w:proofErr w:type="gramEnd"/>
      <w:r>
        <w:rPr>
          <w:rStyle w:val="HTMLCode"/>
        </w:rPr>
        <w:t xml:space="preserve"> </w:t>
      </w:r>
      <w:proofErr w:type="spellStart"/>
      <w:r>
        <w:rPr>
          <w:rStyle w:val="HTMLCode"/>
        </w:rPr>
        <w:t>mom_age</w:t>
      </w:r>
      <w:proofErr w:type="spellEnd"/>
      <w:r>
        <w:rPr>
          <w:rStyle w:val="HTMLCode"/>
        </w:rPr>
        <w:t xml:space="preserve"> [</w:t>
      </w:r>
      <w:proofErr w:type="spellStart"/>
      <w:r>
        <w:rPr>
          <w:rStyle w:val="HTMLCode"/>
        </w:rPr>
        <w:t>iw</w:t>
      </w:r>
      <w:proofErr w:type="spellEnd"/>
      <w:r>
        <w:rPr>
          <w:rStyle w:val="HTMLCode"/>
        </w:rPr>
        <w:t>=</w:t>
      </w:r>
      <w:proofErr w:type="spellStart"/>
      <w:r>
        <w:rPr>
          <w:rStyle w:val="HTMLCode"/>
        </w:rPr>
        <w:t>wt</w:t>
      </w:r>
      <w:proofErr w:type="spellEnd"/>
      <w:r>
        <w:rPr>
          <w:rStyle w:val="HTMLCode"/>
        </w:rPr>
        <w:t>]</w:t>
      </w:r>
    </w:p>
    <w:p w:rsidR="0062107B" w:rsidRDefault="0062107B" w:rsidP="0062107B">
      <w:pPr>
        <w:pStyle w:val="NormalWeb"/>
        <w:spacing w:line="360" w:lineRule="auto"/>
        <w:jc w:val="both"/>
      </w:pPr>
      <w:r>
        <w:t>In multilevel models (mixed-effects logistic regression), the weights were applied similarly for all predictors:</w:t>
      </w:r>
    </w:p>
    <w:p w:rsidR="0071069B" w:rsidRDefault="0062107B" w:rsidP="0071069B">
      <w:pPr>
        <w:pStyle w:val="HTMLPreformatted"/>
        <w:rPr>
          <w:rStyle w:val="HTMLCode"/>
        </w:rPr>
      </w:pPr>
      <w:proofErr w:type="spellStart"/>
      <w:proofErr w:type="gramStart"/>
      <w:r>
        <w:rPr>
          <w:rStyle w:val="HTMLCode"/>
        </w:rPr>
        <w:t>melogit</w:t>
      </w:r>
      <w:proofErr w:type="spellEnd"/>
      <w:proofErr w:type="gramEnd"/>
      <w:r>
        <w:rPr>
          <w:rStyle w:val="HTMLCode"/>
        </w:rPr>
        <w:t xml:space="preserve"> outcome independent variables [</w:t>
      </w:r>
      <w:proofErr w:type="spellStart"/>
      <w:r>
        <w:rPr>
          <w:rStyle w:val="HTMLCode"/>
        </w:rPr>
        <w:t>iw</w:t>
      </w:r>
      <w:proofErr w:type="spellEnd"/>
      <w:r>
        <w:rPr>
          <w:rStyle w:val="HTMLCode"/>
        </w:rPr>
        <w:t>=</w:t>
      </w:r>
      <w:proofErr w:type="spellStart"/>
      <w:r>
        <w:rPr>
          <w:rStyle w:val="HTMLCode"/>
        </w:rPr>
        <w:t>wt</w:t>
      </w:r>
      <w:proofErr w:type="spellEnd"/>
      <w:r>
        <w:rPr>
          <w:rStyle w:val="HTMLCode"/>
        </w:rPr>
        <w:t xml:space="preserve">] || </w:t>
      </w:r>
      <w:r w:rsidR="0071069B" w:rsidRPr="0062107B">
        <w:rPr>
          <w:rStyle w:val="HTMLCode"/>
        </w:rPr>
        <w:t>v001:,or</w:t>
      </w:r>
    </w:p>
    <w:p w:rsidR="0062107B" w:rsidRDefault="0062107B" w:rsidP="0062107B">
      <w:pPr>
        <w:pStyle w:val="NormalWeb"/>
      </w:pPr>
      <w:r>
        <w:t xml:space="preserve">This approach ensures that all estimates reflect the population structure of the surveyed countries and properly account for the hierarchical sampling design. A detailed description of the weighting procedure, including an example of scaled weights, is provided in </w:t>
      </w:r>
      <w:r w:rsidR="0071069B">
        <w:t>below</w:t>
      </w:r>
      <w:r>
        <w:t>.</w:t>
      </w:r>
    </w:p>
    <w:p w:rsidR="0062107B" w:rsidRDefault="0062107B" w:rsidP="0062107B">
      <w:pPr>
        <w:pStyle w:val="NormalWeb"/>
      </w:pPr>
      <w:r>
        <w:rPr>
          <w:rStyle w:val="Strong"/>
        </w:rPr>
        <w:t xml:space="preserve">Step-by-step weighting procedure in </w:t>
      </w:r>
      <w:proofErr w:type="spellStart"/>
      <w:r>
        <w:rPr>
          <w:rStyle w:val="Strong"/>
        </w:rPr>
        <w:t>Stata</w:t>
      </w:r>
      <w:proofErr w:type="spellEnd"/>
      <w:r>
        <w:rPr>
          <w:rStyle w:val="Strong"/>
        </w:rPr>
        <w:t>:</w:t>
      </w:r>
    </w:p>
    <w:p w:rsidR="0062107B" w:rsidRDefault="0062107B" w:rsidP="0071069B">
      <w:pPr>
        <w:pStyle w:val="NormalWeb"/>
      </w:pPr>
      <w:r>
        <w:rPr>
          <w:rStyle w:val="Strong"/>
        </w:rPr>
        <w:t>Scale the DHS weight variable:</w:t>
      </w:r>
    </w:p>
    <w:p w:rsidR="0062107B" w:rsidRDefault="0062107B" w:rsidP="0071069B">
      <w:pPr>
        <w:pStyle w:val="HTMLPreformatted"/>
        <w:numPr>
          <w:ilvl w:val="0"/>
          <w:numId w:val="6"/>
        </w:numPr>
        <w:rPr>
          <w:rStyle w:val="HTMLCode"/>
        </w:rPr>
      </w:pPr>
      <w:r>
        <w:rPr>
          <w:rStyle w:val="HTMLCode"/>
        </w:rPr>
        <w:t xml:space="preserve">gen </w:t>
      </w:r>
      <w:proofErr w:type="spellStart"/>
      <w:r>
        <w:rPr>
          <w:rStyle w:val="HTMLCode"/>
        </w:rPr>
        <w:t>wt</w:t>
      </w:r>
      <w:proofErr w:type="spellEnd"/>
      <w:r>
        <w:rPr>
          <w:rStyle w:val="HTMLCode"/>
        </w:rPr>
        <w:t xml:space="preserve"> = v005/1000000</w:t>
      </w:r>
    </w:p>
    <w:p w:rsidR="0071069B" w:rsidRDefault="0062107B" w:rsidP="0071069B">
      <w:pPr>
        <w:pStyle w:val="NormalWeb"/>
        <w:rPr>
          <w:rStyle w:val="Strong"/>
        </w:rPr>
      </w:pPr>
      <w:r>
        <w:rPr>
          <w:rStyle w:val="Strong"/>
        </w:rPr>
        <w:t>Apply weights in descriptive analysis:</w:t>
      </w:r>
    </w:p>
    <w:p w:rsidR="0071069B" w:rsidRPr="0071069B" w:rsidRDefault="0062107B" w:rsidP="0071069B">
      <w:pPr>
        <w:pStyle w:val="NormalWeb"/>
        <w:numPr>
          <w:ilvl w:val="0"/>
          <w:numId w:val="6"/>
        </w:numPr>
        <w:spacing w:before="0" w:beforeAutospacing="0" w:after="120" w:afterAutospacing="0"/>
        <w:rPr>
          <w:rStyle w:val="HTMLCode"/>
          <w:rFonts w:ascii="Times New Roman" w:hAnsi="Times New Roman" w:cs="Times New Roman"/>
          <w:sz w:val="24"/>
          <w:szCs w:val="24"/>
        </w:rPr>
      </w:pPr>
      <w:r>
        <w:rPr>
          <w:rStyle w:val="HTMLCode"/>
        </w:rPr>
        <w:t>tab age [</w:t>
      </w:r>
      <w:proofErr w:type="spellStart"/>
      <w:r>
        <w:rPr>
          <w:rStyle w:val="HTMLCode"/>
        </w:rPr>
        <w:t>iw</w:t>
      </w:r>
      <w:proofErr w:type="spellEnd"/>
      <w:r>
        <w:rPr>
          <w:rStyle w:val="HTMLCode"/>
        </w:rPr>
        <w:t>=</w:t>
      </w:r>
      <w:proofErr w:type="spellStart"/>
      <w:r>
        <w:rPr>
          <w:rStyle w:val="HTMLCode"/>
        </w:rPr>
        <w:t>wt</w:t>
      </w:r>
      <w:proofErr w:type="spellEnd"/>
      <w:r>
        <w:rPr>
          <w:rStyle w:val="HTMLCode"/>
        </w:rPr>
        <w:t>]</w:t>
      </w:r>
    </w:p>
    <w:p w:rsidR="0062107B" w:rsidRPr="0071069B" w:rsidRDefault="0062107B" w:rsidP="0071069B">
      <w:pPr>
        <w:pStyle w:val="NormalWeb"/>
        <w:numPr>
          <w:ilvl w:val="0"/>
          <w:numId w:val="6"/>
        </w:numPr>
        <w:spacing w:before="0" w:beforeAutospacing="0" w:after="120" w:afterAutospacing="0"/>
        <w:rPr>
          <w:rStyle w:val="HTMLCode"/>
          <w:rFonts w:ascii="Times New Roman" w:hAnsi="Times New Roman" w:cs="Times New Roman"/>
          <w:sz w:val="24"/>
          <w:szCs w:val="24"/>
        </w:rPr>
      </w:pPr>
      <w:r>
        <w:rPr>
          <w:rStyle w:val="HTMLCode"/>
        </w:rPr>
        <w:t xml:space="preserve">tab </w:t>
      </w:r>
      <w:proofErr w:type="spellStart"/>
      <w:r>
        <w:rPr>
          <w:rStyle w:val="HTMLCode"/>
        </w:rPr>
        <w:t>place_of_delivery</w:t>
      </w:r>
      <w:proofErr w:type="spellEnd"/>
      <w:r>
        <w:rPr>
          <w:rStyle w:val="HTMLCode"/>
        </w:rPr>
        <w:t xml:space="preserve"> [</w:t>
      </w:r>
      <w:proofErr w:type="spellStart"/>
      <w:r>
        <w:rPr>
          <w:rStyle w:val="HTMLCode"/>
        </w:rPr>
        <w:t>iw</w:t>
      </w:r>
      <w:proofErr w:type="spellEnd"/>
      <w:r>
        <w:rPr>
          <w:rStyle w:val="HTMLCode"/>
        </w:rPr>
        <w:t>=</w:t>
      </w:r>
      <w:proofErr w:type="spellStart"/>
      <w:r>
        <w:rPr>
          <w:rStyle w:val="HTMLCode"/>
        </w:rPr>
        <w:t>wt</w:t>
      </w:r>
      <w:proofErr w:type="spellEnd"/>
      <w:r>
        <w:rPr>
          <w:rStyle w:val="HTMLCode"/>
        </w:rPr>
        <w:t>]</w:t>
      </w:r>
    </w:p>
    <w:p w:rsidR="0062107B" w:rsidRDefault="0062107B" w:rsidP="0071069B">
      <w:pPr>
        <w:pStyle w:val="NormalWeb"/>
      </w:pPr>
      <w:r>
        <w:rPr>
          <w:rStyle w:val="Strong"/>
        </w:rPr>
        <w:t>Apply weights in multilevel logistic regression:</w:t>
      </w:r>
    </w:p>
    <w:p w:rsidR="0071069B" w:rsidRDefault="0071069B" w:rsidP="0071069B">
      <w:pPr>
        <w:pStyle w:val="HTMLPreformatted"/>
        <w:numPr>
          <w:ilvl w:val="0"/>
          <w:numId w:val="7"/>
        </w:numPr>
        <w:rPr>
          <w:rStyle w:val="HTMLCode"/>
        </w:rPr>
      </w:pPr>
      <w:proofErr w:type="spellStart"/>
      <w:r>
        <w:rPr>
          <w:rStyle w:val="HTMLCode"/>
        </w:rPr>
        <w:lastRenderedPageBreak/>
        <w:t>melogit</w:t>
      </w:r>
      <w:proofErr w:type="spellEnd"/>
      <w:r>
        <w:rPr>
          <w:rStyle w:val="HTMLCode"/>
        </w:rPr>
        <w:t xml:space="preserve"> outcome independent variables [</w:t>
      </w:r>
      <w:proofErr w:type="spellStart"/>
      <w:r>
        <w:rPr>
          <w:rStyle w:val="HTMLCode"/>
        </w:rPr>
        <w:t>iw</w:t>
      </w:r>
      <w:proofErr w:type="spellEnd"/>
      <w:r>
        <w:rPr>
          <w:rStyle w:val="HTMLCode"/>
        </w:rPr>
        <w:t>=</w:t>
      </w:r>
      <w:proofErr w:type="spellStart"/>
      <w:r>
        <w:rPr>
          <w:rStyle w:val="HTMLCode"/>
        </w:rPr>
        <w:t>wt</w:t>
      </w:r>
      <w:proofErr w:type="spellEnd"/>
      <w:r>
        <w:rPr>
          <w:rStyle w:val="HTMLCode"/>
        </w:rPr>
        <w:t xml:space="preserve">] || </w:t>
      </w:r>
      <w:r w:rsidRPr="0062107B">
        <w:rPr>
          <w:rStyle w:val="HTMLCode"/>
        </w:rPr>
        <w:t>v001:,or</w:t>
      </w:r>
    </w:p>
    <w:p w:rsidR="0062107B" w:rsidRDefault="0062107B" w:rsidP="0071069B">
      <w:pPr>
        <w:pStyle w:val="NormalWeb"/>
      </w:pPr>
      <w:r>
        <w:rPr>
          <w:rStyle w:val="Strong"/>
        </w:rPr>
        <w:t>Example of scaled weights:</w:t>
      </w:r>
    </w:p>
    <w:tbl>
      <w:tblPr>
        <w:tblStyle w:val="LightShading"/>
        <w:tblW w:w="0" w:type="auto"/>
        <w:tblLook w:val="04A0" w:firstRow="1" w:lastRow="0" w:firstColumn="1" w:lastColumn="0" w:noHBand="0" w:noVBand="1"/>
      </w:tblPr>
      <w:tblGrid>
        <w:gridCol w:w="1818"/>
        <w:gridCol w:w="1800"/>
        <w:gridCol w:w="1260"/>
        <w:gridCol w:w="1890"/>
        <w:gridCol w:w="2430"/>
      </w:tblGrid>
      <w:tr w:rsidR="001F0FAC" w:rsidRPr="006D03C2" w:rsidTr="001F0F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Cluster (v001)</w:t>
            </w:r>
          </w:p>
        </w:tc>
        <w:tc>
          <w:tcPr>
            <w:tcW w:w="1800" w:type="dxa"/>
            <w:shd w:val="clear" w:color="auto" w:fill="auto"/>
            <w:hideMark/>
          </w:tcPr>
          <w:p w:rsidR="001F0FAC" w:rsidRPr="006D03C2" w:rsidRDefault="001F0FAC" w:rsidP="001F0FA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Raw Count</w:t>
            </w:r>
          </w:p>
        </w:tc>
        <w:tc>
          <w:tcPr>
            <w:tcW w:w="1260" w:type="dxa"/>
            <w:shd w:val="clear" w:color="auto" w:fill="auto"/>
            <w:hideMark/>
          </w:tcPr>
          <w:p w:rsidR="001F0FAC" w:rsidRPr="006D03C2" w:rsidRDefault="001F0FAC" w:rsidP="001F0FA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Raw %</w:t>
            </w:r>
          </w:p>
        </w:tc>
        <w:tc>
          <w:tcPr>
            <w:tcW w:w="1890" w:type="dxa"/>
            <w:shd w:val="clear" w:color="auto" w:fill="auto"/>
            <w:hideMark/>
          </w:tcPr>
          <w:p w:rsidR="001F0FAC" w:rsidRPr="006D03C2" w:rsidRDefault="001F0FAC" w:rsidP="001F0FA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Weighted Count</w:t>
            </w:r>
          </w:p>
        </w:tc>
        <w:tc>
          <w:tcPr>
            <w:tcW w:w="2430" w:type="dxa"/>
            <w:shd w:val="clear" w:color="auto" w:fill="auto"/>
            <w:hideMark/>
          </w:tcPr>
          <w:p w:rsidR="001F0FAC" w:rsidRPr="006D03C2" w:rsidRDefault="001F0FAC" w:rsidP="001F0FAC">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Weighted %</w:t>
            </w:r>
          </w:p>
        </w:tc>
      </w:tr>
      <w:tr w:rsidR="001F0FAC" w:rsidRPr="006D03C2" w:rsidTr="001F0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1</w:t>
            </w:r>
          </w:p>
        </w:tc>
        <w:tc>
          <w:tcPr>
            <w:tcW w:w="180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29</w:t>
            </w:r>
          </w:p>
        </w:tc>
        <w:tc>
          <w:tcPr>
            <w:tcW w:w="126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0.72</w:t>
            </w:r>
          </w:p>
        </w:tc>
        <w:tc>
          <w:tcPr>
            <w:tcW w:w="189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32.90</w:t>
            </w:r>
          </w:p>
        </w:tc>
        <w:tc>
          <w:tcPr>
            <w:tcW w:w="243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0.83</w:t>
            </w:r>
          </w:p>
        </w:tc>
      </w:tr>
      <w:tr w:rsidR="001F0FAC" w:rsidRPr="006D03C2" w:rsidTr="001F0FA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2</w:t>
            </w:r>
          </w:p>
        </w:tc>
        <w:tc>
          <w:tcPr>
            <w:tcW w:w="180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29</w:t>
            </w:r>
          </w:p>
        </w:tc>
        <w:tc>
          <w:tcPr>
            <w:tcW w:w="126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0.72</w:t>
            </w:r>
          </w:p>
        </w:tc>
        <w:tc>
          <w:tcPr>
            <w:tcW w:w="189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31.27</w:t>
            </w:r>
          </w:p>
        </w:tc>
        <w:tc>
          <w:tcPr>
            <w:tcW w:w="243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0.79</w:t>
            </w:r>
          </w:p>
        </w:tc>
      </w:tr>
      <w:tr w:rsidR="001F0FAC" w:rsidRPr="006D03C2" w:rsidTr="001F0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3</w:t>
            </w:r>
          </w:p>
        </w:tc>
        <w:tc>
          <w:tcPr>
            <w:tcW w:w="180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23</w:t>
            </w:r>
          </w:p>
        </w:tc>
        <w:tc>
          <w:tcPr>
            <w:tcW w:w="126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0.57</w:t>
            </w:r>
          </w:p>
        </w:tc>
        <w:tc>
          <w:tcPr>
            <w:tcW w:w="189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13.40</w:t>
            </w:r>
          </w:p>
        </w:tc>
        <w:tc>
          <w:tcPr>
            <w:tcW w:w="243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0.34</w:t>
            </w:r>
          </w:p>
        </w:tc>
      </w:tr>
      <w:tr w:rsidR="001F0FAC" w:rsidRPr="006D03C2" w:rsidTr="001F0FA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4</w:t>
            </w:r>
          </w:p>
        </w:tc>
        <w:tc>
          <w:tcPr>
            <w:tcW w:w="180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27</w:t>
            </w:r>
          </w:p>
        </w:tc>
        <w:tc>
          <w:tcPr>
            <w:tcW w:w="126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0.67</w:t>
            </w:r>
          </w:p>
        </w:tc>
        <w:tc>
          <w:tcPr>
            <w:tcW w:w="189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44.43</w:t>
            </w:r>
          </w:p>
        </w:tc>
        <w:tc>
          <w:tcPr>
            <w:tcW w:w="243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1.13</w:t>
            </w:r>
          </w:p>
        </w:tc>
      </w:tr>
      <w:tr w:rsidR="001F0FAC" w:rsidRPr="006D03C2" w:rsidTr="001F0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5</w:t>
            </w:r>
          </w:p>
        </w:tc>
        <w:tc>
          <w:tcPr>
            <w:tcW w:w="180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20</w:t>
            </w:r>
          </w:p>
        </w:tc>
        <w:tc>
          <w:tcPr>
            <w:tcW w:w="126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0.50</w:t>
            </w:r>
          </w:p>
        </w:tc>
        <w:tc>
          <w:tcPr>
            <w:tcW w:w="189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11.56</w:t>
            </w:r>
          </w:p>
        </w:tc>
        <w:tc>
          <w:tcPr>
            <w:tcW w:w="243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0.29</w:t>
            </w:r>
          </w:p>
        </w:tc>
      </w:tr>
      <w:tr w:rsidR="001F0FAC" w:rsidRPr="006D03C2" w:rsidTr="001F0FA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6</w:t>
            </w:r>
          </w:p>
        </w:tc>
        <w:tc>
          <w:tcPr>
            <w:tcW w:w="180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9</w:t>
            </w:r>
          </w:p>
        </w:tc>
        <w:tc>
          <w:tcPr>
            <w:tcW w:w="126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0.22</w:t>
            </w:r>
          </w:p>
        </w:tc>
        <w:tc>
          <w:tcPr>
            <w:tcW w:w="189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7.04</w:t>
            </w:r>
          </w:p>
        </w:tc>
        <w:tc>
          <w:tcPr>
            <w:tcW w:w="243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0.18</w:t>
            </w:r>
          </w:p>
        </w:tc>
      </w:tr>
      <w:tr w:rsidR="001F0FAC" w:rsidRPr="006D03C2" w:rsidTr="001F0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7</w:t>
            </w:r>
          </w:p>
        </w:tc>
        <w:tc>
          <w:tcPr>
            <w:tcW w:w="180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21</w:t>
            </w:r>
          </w:p>
        </w:tc>
        <w:tc>
          <w:tcPr>
            <w:tcW w:w="126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0.52</w:t>
            </w:r>
          </w:p>
        </w:tc>
        <w:tc>
          <w:tcPr>
            <w:tcW w:w="189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34.15</w:t>
            </w:r>
          </w:p>
        </w:tc>
        <w:tc>
          <w:tcPr>
            <w:tcW w:w="243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0.87</w:t>
            </w:r>
          </w:p>
        </w:tc>
      </w:tr>
      <w:tr w:rsidR="001F0FAC" w:rsidRPr="006D03C2" w:rsidTr="001F0FA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8</w:t>
            </w:r>
          </w:p>
        </w:tc>
        <w:tc>
          <w:tcPr>
            <w:tcW w:w="180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13</w:t>
            </w:r>
          </w:p>
        </w:tc>
        <w:tc>
          <w:tcPr>
            <w:tcW w:w="126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0.32</w:t>
            </w:r>
          </w:p>
        </w:tc>
        <w:tc>
          <w:tcPr>
            <w:tcW w:w="189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13.37</w:t>
            </w:r>
          </w:p>
        </w:tc>
        <w:tc>
          <w:tcPr>
            <w:tcW w:w="243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0.34</w:t>
            </w:r>
          </w:p>
        </w:tc>
      </w:tr>
      <w:tr w:rsidR="001F0FAC" w:rsidRPr="006D03C2" w:rsidTr="001F0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9</w:t>
            </w:r>
          </w:p>
        </w:tc>
        <w:tc>
          <w:tcPr>
            <w:tcW w:w="180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14</w:t>
            </w:r>
          </w:p>
        </w:tc>
        <w:tc>
          <w:tcPr>
            <w:tcW w:w="126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0.35</w:t>
            </w:r>
          </w:p>
        </w:tc>
        <w:tc>
          <w:tcPr>
            <w:tcW w:w="189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16.17</w:t>
            </w:r>
          </w:p>
        </w:tc>
        <w:tc>
          <w:tcPr>
            <w:tcW w:w="2430" w:type="dxa"/>
            <w:shd w:val="clear" w:color="auto" w:fill="auto"/>
            <w:hideMark/>
          </w:tcPr>
          <w:p w:rsidR="001F0FAC" w:rsidRPr="006D03C2" w:rsidRDefault="001F0FAC" w:rsidP="001F0FAC">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0.41</w:t>
            </w:r>
          </w:p>
        </w:tc>
      </w:tr>
      <w:tr w:rsidR="001F0FAC" w:rsidRPr="006D03C2" w:rsidTr="001F0FA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1F0FAC" w:rsidRPr="006D03C2" w:rsidRDefault="001F0FAC" w:rsidP="001F0FAC">
            <w:pPr>
              <w:jc w:val="both"/>
              <w:rPr>
                <w:rFonts w:ascii="Times New Roman" w:eastAsia="Times New Roman" w:hAnsi="Times New Roman" w:cs="Times New Roman"/>
                <w:b w:val="0"/>
                <w:sz w:val="24"/>
                <w:szCs w:val="24"/>
              </w:rPr>
            </w:pPr>
            <w:r w:rsidRPr="001F0FAC">
              <w:rPr>
                <w:rFonts w:ascii="Times New Roman" w:eastAsia="Times New Roman" w:hAnsi="Times New Roman" w:cs="Times New Roman"/>
                <w:b w:val="0"/>
                <w:sz w:val="24"/>
                <w:szCs w:val="24"/>
              </w:rPr>
              <w:t>10</w:t>
            </w:r>
          </w:p>
        </w:tc>
        <w:tc>
          <w:tcPr>
            <w:tcW w:w="180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14</w:t>
            </w:r>
          </w:p>
        </w:tc>
        <w:tc>
          <w:tcPr>
            <w:tcW w:w="126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0.35</w:t>
            </w:r>
          </w:p>
        </w:tc>
        <w:tc>
          <w:tcPr>
            <w:tcW w:w="189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14.47</w:t>
            </w:r>
          </w:p>
        </w:tc>
        <w:tc>
          <w:tcPr>
            <w:tcW w:w="2430" w:type="dxa"/>
            <w:shd w:val="clear" w:color="auto" w:fill="auto"/>
            <w:hideMark/>
          </w:tcPr>
          <w:p w:rsidR="001F0FAC" w:rsidRPr="006D03C2" w:rsidRDefault="001F0FAC" w:rsidP="001F0FA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D03C2">
              <w:rPr>
                <w:rFonts w:ascii="Times New Roman" w:eastAsia="Times New Roman" w:hAnsi="Times New Roman" w:cs="Times New Roman"/>
                <w:sz w:val="24"/>
                <w:szCs w:val="24"/>
              </w:rPr>
              <w:t>0.37</w:t>
            </w:r>
          </w:p>
        </w:tc>
      </w:tr>
    </w:tbl>
    <w:p w:rsidR="00E517DF" w:rsidRPr="001F0FAC" w:rsidRDefault="00E517DF" w:rsidP="00FF0AED">
      <w:pPr>
        <w:pStyle w:val="NormalWeb"/>
        <w:spacing w:before="0" w:beforeAutospacing="0" w:after="120" w:afterAutospacing="0" w:line="360" w:lineRule="auto"/>
        <w:jc w:val="both"/>
        <w:rPr>
          <w:i/>
          <w:color w:val="000000" w:themeColor="text1"/>
          <w:sz w:val="22"/>
        </w:rPr>
      </w:pPr>
      <w:r w:rsidRPr="001F0FAC">
        <w:rPr>
          <w:i/>
          <w:color w:val="000000" w:themeColor="text1"/>
          <w:sz w:val="22"/>
        </w:rPr>
        <w:t xml:space="preserve">Note: </w:t>
      </w:r>
      <w:r w:rsidRPr="001F0FAC">
        <w:rPr>
          <w:rStyle w:val="Strong"/>
          <w:b w:val="0"/>
          <w:i/>
          <w:sz w:val="22"/>
        </w:rPr>
        <w:t>Raw Count</w:t>
      </w:r>
      <w:r w:rsidRPr="001F0FAC">
        <w:rPr>
          <w:i/>
          <w:sz w:val="22"/>
        </w:rPr>
        <w:t xml:space="preserve"> – the actual number of women interviewed in each cluster. </w:t>
      </w:r>
      <w:r w:rsidRPr="001F0FAC">
        <w:rPr>
          <w:rStyle w:val="Strong"/>
          <w:b w:val="0"/>
          <w:i/>
          <w:sz w:val="22"/>
        </w:rPr>
        <w:t>Weighted Count</w:t>
      </w:r>
      <w:r w:rsidRPr="001F0FAC">
        <w:rPr>
          <w:i/>
          <w:sz w:val="22"/>
        </w:rPr>
        <w:t xml:space="preserve"> – adjusts for the </w:t>
      </w:r>
      <w:r w:rsidRPr="001F0FAC">
        <w:rPr>
          <w:rStyle w:val="Strong"/>
          <w:b w:val="0"/>
          <w:i/>
          <w:sz w:val="22"/>
        </w:rPr>
        <w:t>DHS sampling design</w:t>
      </w:r>
      <w:r w:rsidRPr="001F0FAC">
        <w:rPr>
          <w:i/>
          <w:sz w:val="22"/>
        </w:rPr>
        <w:t xml:space="preserve"> (oversampled or </w:t>
      </w:r>
      <w:proofErr w:type="spellStart"/>
      <w:r w:rsidRPr="001F0FAC">
        <w:rPr>
          <w:i/>
          <w:sz w:val="22"/>
        </w:rPr>
        <w:t>undersampled</w:t>
      </w:r>
      <w:proofErr w:type="spellEnd"/>
      <w:r w:rsidRPr="001F0FAC">
        <w:rPr>
          <w:i/>
          <w:sz w:val="22"/>
        </w:rPr>
        <w:t xml:space="preserve"> areas). Clusters with </w:t>
      </w:r>
      <w:r w:rsidRPr="001F0FAC">
        <w:rPr>
          <w:rStyle w:val="Strong"/>
          <w:b w:val="0"/>
          <w:i/>
          <w:sz w:val="22"/>
        </w:rPr>
        <w:t>weight &gt;1</w:t>
      </w:r>
      <w:r w:rsidRPr="001F0FAC">
        <w:rPr>
          <w:b/>
          <w:i/>
          <w:sz w:val="22"/>
        </w:rPr>
        <w:t xml:space="preserve"> </w:t>
      </w:r>
      <w:r w:rsidRPr="001F0FAC">
        <w:rPr>
          <w:rStyle w:val="Strong"/>
          <w:b w:val="0"/>
          <w:i/>
          <w:sz w:val="22"/>
        </w:rPr>
        <w:t>increase</w:t>
      </w:r>
      <w:r w:rsidRPr="001F0FAC">
        <w:rPr>
          <w:i/>
          <w:sz w:val="22"/>
        </w:rPr>
        <w:t xml:space="preserve"> after weighting, meaning each woman in these clusters represents </w:t>
      </w:r>
      <w:r w:rsidRPr="001F0FAC">
        <w:rPr>
          <w:rStyle w:val="Strong"/>
          <w:b w:val="0"/>
          <w:i/>
          <w:sz w:val="22"/>
        </w:rPr>
        <w:t>more women in the population</w:t>
      </w:r>
      <w:r w:rsidRPr="001F0FAC">
        <w:rPr>
          <w:b/>
          <w:i/>
          <w:sz w:val="22"/>
        </w:rPr>
        <w:t>.</w:t>
      </w:r>
      <w:r w:rsidRPr="001F0FAC">
        <w:rPr>
          <w:i/>
          <w:sz w:val="22"/>
        </w:rPr>
        <w:t xml:space="preserve"> Clusters with </w:t>
      </w:r>
      <w:r w:rsidRPr="001F0FAC">
        <w:rPr>
          <w:rStyle w:val="Strong"/>
          <w:b w:val="0"/>
          <w:i/>
          <w:sz w:val="22"/>
        </w:rPr>
        <w:t>weight &lt;1</w:t>
      </w:r>
      <w:r w:rsidRPr="001F0FAC">
        <w:rPr>
          <w:b/>
          <w:i/>
          <w:sz w:val="22"/>
        </w:rPr>
        <w:t xml:space="preserve"> </w:t>
      </w:r>
      <w:r w:rsidRPr="001F0FAC">
        <w:rPr>
          <w:rStyle w:val="Strong"/>
          <w:b w:val="0"/>
          <w:i/>
          <w:sz w:val="22"/>
        </w:rPr>
        <w:t>decrease</w:t>
      </w:r>
      <w:r w:rsidRPr="001F0FAC">
        <w:rPr>
          <w:i/>
          <w:sz w:val="22"/>
        </w:rPr>
        <w:t xml:space="preserve">, meaning these clusters are </w:t>
      </w:r>
      <w:r w:rsidRPr="001F0FAC">
        <w:rPr>
          <w:rStyle w:val="Strong"/>
          <w:b w:val="0"/>
          <w:i/>
          <w:sz w:val="22"/>
        </w:rPr>
        <w:t>overrepresented in the sample</w:t>
      </w:r>
      <w:r w:rsidRPr="001F0FAC">
        <w:rPr>
          <w:i/>
          <w:sz w:val="22"/>
        </w:rPr>
        <w:t xml:space="preserve">, so each woman counts less in population estimates. </w:t>
      </w:r>
    </w:p>
    <w:p w:rsidR="00FF0AED" w:rsidRPr="00761334" w:rsidRDefault="00761334" w:rsidP="00FF0AED">
      <w:pPr>
        <w:pStyle w:val="Heading1"/>
        <w:spacing w:before="0" w:after="120"/>
        <w:rPr>
          <w:rFonts w:ascii="Times New Roman" w:hAnsi="Times New Roman" w:cs="Times New Roman"/>
          <w:color w:val="000000" w:themeColor="text1"/>
          <w:sz w:val="24"/>
          <w:szCs w:val="24"/>
        </w:rPr>
      </w:pPr>
      <w:r w:rsidRPr="00761334">
        <w:rPr>
          <w:rFonts w:ascii="Times New Roman" w:hAnsi="Times New Roman" w:cs="Times New Roman"/>
          <w:color w:val="auto"/>
          <w:sz w:val="24"/>
          <w:szCs w:val="24"/>
        </w:rPr>
        <w:t>Supplementary file</w:t>
      </w:r>
      <w:r w:rsidR="00FF0AED" w:rsidRPr="00761334">
        <w:rPr>
          <w:rFonts w:ascii="Times New Roman" w:hAnsi="Times New Roman" w:cs="Times New Roman"/>
          <w:color w:val="000000" w:themeColor="text1"/>
          <w:sz w:val="24"/>
          <w:szCs w:val="24"/>
        </w:rPr>
        <w:t xml:space="preserve"> 4: Missing data management</w:t>
      </w:r>
    </w:p>
    <w:p w:rsidR="00FF0AED" w:rsidRPr="00D6596A" w:rsidRDefault="00FF0AED" w:rsidP="00FF0AED">
      <w:pPr>
        <w:spacing w:before="100" w:beforeAutospacing="1" w:after="100" w:afterAutospacing="1" w:line="360" w:lineRule="auto"/>
        <w:jc w:val="both"/>
        <w:rPr>
          <w:rFonts w:ascii="Times New Roman" w:eastAsia="Times New Roman" w:hAnsi="Times New Roman" w:cs="Times New Roman"/>
          <w:sz w:val="24"/>
          <w:szCs w:val="24"/>
        </w:rPr>
      </w:pPr>
      <w:r w:rsidRPr="00D6596A">
        <w:rPr>
          <w:rFonts w:ascii="Times New Roman" w:eastAsia="Times New Roman" w:hAnsi="Times New Roman" w:cs="Times New Roman"/>
          <w:sz w:val="24"/>
          <w:szCs w:val="24"/>
        </w:rPr>
        <w:t>Missing data mechanisms are commonly classified into three categories:</w:t>
      </w:r>
    </w:p>
    <w:p w:rsidR="00FF0AED" w:rsidRDefault="00FF0AED" w:rsidP="00FF0AED">
      <w:pPr>
        <w:pStyle w:val="ListParagraph"/>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D6596A">
        <w:rPr>
          <w:rFonts w:ascii="Times New Roman" w:eastAsia="Times New Roman" w:hAnsi="Times New Roman" w:cs="Times New Roman"/>
          <w:sz w:val="24"/>
          <w:szCs w:val="24"/>
        </w:rPr>
        <w:t xml:space="preserve">Missing completely at Random (MCAR): when the probability of </w:t>
      </w:r>
      <w:proofErr w:type="spellStart"/>
      <w:r w:rsidRPr="00D6596A">
        <w:rPr>
          <w:rFonts w:ascii="Times New Roman" w:eastAsia="Times New Roman" w:hAnsi="Times New Roman" w:cs="Times New Roman"/>
          <w:sz w:val="24"/>
          <w:szCs w:val="24"/>
        </w:rPr>
        <w:t>missingness</w:t>
      </w:r>
      <w:proofErr w:type="spellEnd"/>
      <w:r w:rsidRPr="00D6596A">
        <w:rPr>
          <w:rFonts w:ascii="Times New Roman" w:eastAsia="Times New Roman" w:hAnsi="Times New Roman" w:cs="Times New Roman"/>
          <w:sz w:val="24"/>
          <w:szCs w:val="24"/>
        </w:rPr>
        <w:t xml:space="preserve"> is unrelated to both observed and unobserved data.</w:t>
      </w:r>
    </w:p>
    <w:p w:rsidR="00FF0AED" w:rsidRDefault="00FF0AED" w:rsidP="00FF0AED">
      <w:pPr>
        <w:pStyle w:val="ListParagraph"/>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D6596A">
        <w:rPr>
          <w:rFonts w:ascii="Times New Roman" w:eastAsia="Times New Roman" w:hAnsi="Times New Roman" w:cs="Times New Roman"/>
          <w:sz w:val="24"/>
          <w:szCs w:val="24"/>
        </w:rPr>
        <w:t xml:space="preserve">Missing at Random (MAR): when the probability of </w:t>
      </w:r>
      <w:proofErr w:type="spellStart"/>
      <w:r w:rsidRPr="00D6596A">
        <w:rPr>
          <w:rFonts w:ascii="Times New Roman" w:eastAsia="Times New Roman" w:hAnsi="Times New Roman" w:cs="Times New Roman"/>
          <w:sz w:val="24"/>
          <w:szCs w:val="24"/>
        </w:rPr>
        <w:t>missingness</w:t>
      </w:r>
      <w:proofErr w:type="spellEnd"/>
      <w:r w:rsidRPr="00D6596A">
        <w:rPr>
          <w:rFonts w:ascii="Times New Roman" w:eastAsia="Times New Roman" w:hAnsi="Times New Roman" w:cs="Times New Roman"/>
          <w:sz w:val="24"/>
          <w:szCs w:val="24"/>
        </w:rPr>
        <w:t xml:space="preserve"> is related to observed data but not to the unobserved missing values themselves.</w:t>
      </w:r>
    </w:p>
    <w:p w:rsidR="00FF0AED" w:rsidRPr="00D6596A" w:rsidRDefault="00FF0AED" w:rsidP="00FF0AED">
      <w:pPr>
        <w:pStyle w:val="ListParagraph"/>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D6596A">
        <w:rPr>
          <w:rFonts w:ascii="Times New Roman" w:eastAsia="Times New Roman" w:hAnsi="Times New Roman" w:cs="Times New Roman"/>
          <w:sz w:val="24"/>
          <w:szCs w:val="24"/>
        </w:rPr>
        <w:t xml:space="preserve">Missing not at Random (MNAR): when the probability of </w:t>
      </w:r>
      <w:proofErr w:type="spellStart"/>
      <w:r w:rsidRPr="00D6596A">
        <w:rPr>
          <w:rFonts w:ascii="Times New Roman" w:eastAsia="Times New Roman" w:hAnsi="Times New Roman" w:cs="Times New Roman"/>
          <w:sz w:val="24"/>
          <w:szCs w:val="24"/>
        </w:rPr>
        <w:t>missingness</w:t>
      </w:r>
      <w:proofErr w:type="spellEnd"/>
      <w:r w:rsidRPr="00D6596A">
        <w:rPr>
          <w:rFonts w:ascii="Times New Roman" w:eastAsia="Times New Roman" w:hAnsi="Times New Roman" w:cs="Times New Roman"/>
          <w:sz w:val="24"/>
          <w:szCs w:val="24"/>
        </w:rPr>
        <w:t xml:space="preserve"> depends on the unobserved data, even after accounting for all observed information.</w:t>
      </w:r>
    </w:p>
    <w:p w:rsidR="00FF0AED" w:rsidRDefault="00FF0AED" w:rsidP="00FF0AED">
      <w:pPr>
        <w:spacing w:before="100" w:beforeAutospacing="1" w:after="100" w:afterAutospacing="1" w:line="360" w:lineRule="auto"/>
        <w:jc w:val="both"/>
        <w:rPr>
          <w:rFonts w:ascii="Times New Roman" w:eastAsia="Times New Roman" w:hAnsi="Times New Roman" w:cs="Times New Roman"/>
          <w:sz w:val="24"/>
          <w:szCs w:val="24"/>
        </w:rPr>
      </w:pPr>
      <w:r w:rsidRPr="00D6596A">
        <w:rPr>
          <w:rFonts w:ascii="Times New Roman" w:eastAsia="Times New Roman" w:hAnsi="Times New Roman" w:cs="Times New Roman"/>
          <w:sz w:val="24"/>
          <w:szCs w:val="24"/>
        </w:rPr>
        <w:t>In this study, the assessment of missing data mechanisms was guided by these definitions and by standard DHS analytical recommendations.</w:t>
      </w:r>
    </w:p>
    <w:p w:rsidR="00FF0AED" w:rsidRPr="00D6596A" w:rsidRDefault="00FF0AED" w:rsidP="00FF0AED">
      <w:pPr>
        <w:spacing w:before="100" w:beforeAutospacing="1" w:after="100" w:afterAutospacing="1" w:line="240" w:lineRule="auto"/>
        <w:rPr>
          <w:rFonts w:ascii="Times New Roman" w:eastAsia="Times New Roman" w:hAnsi="Times New Roman" w:cs="Times New Roman"/>
          <w:b/>
          <w:sz w:val="24"/>
          <w:szCs w:val="24"/>
        </w:rPr>
      </w:pPr>
      <w:r w:rsidRPr="00D6596A">
        <w:rPr>
          <w:rFonts w:ascii="Times New Roman" w:eastAsia="Times New Roman" w:hAnsi="Times New Roman" w:cs="Times New Roman"/>
          <w:b/>
          <w:sz w:val="24"/>
          <w:szCs w:val="24"/>
        </w:rPr>
        <w:t>Extent of missing data</w:t>
      </w:r>
    </w:p>
    <w:p w:rsidR="006B7B7D" w:rsidRPr="006B7B7D" w:rsidRDefault="006B7B7D" w:rsidP="006B7B7D">
      <w:pPr>
        <w:spacing w:before="100" w:beforeAutospacing="1" w:after="100" w:afterAutospacing="1" w:line="360" w:lineRule="auto"/>
        <w:jc w:val="both"/>
        <w:rPr>
          <w:rFonts w:ascii="Times New Roman" w:eastAsia="Times New Roman" w:hAnsi="Times New Roman" w:cs="Times New Roman"/>
          <w:sz w:val="24"/>
          <w:szCs w:val="24"/>
        </w:rPr>
      </w:pPr>
      <w:r w:rsidRPr="006B7B7D">
        <w:rPr>
          <w:rFonts w:ascii="Times New Roman" w:eastAsia="Times New Roman" w:hAnsi="Times New Roman" w:cs="Times New Roman"/>
          <w:sz w:val="24"/>
          <w:szCs w:val="24"/>
        </w:rPr>
        <w:t xml:space="preserve">Among the selected explanatory variables considered in the analysis, seven variables contained missing observations. The proportion of missing values for each predictor was assessed using the </w:t>
      </w:r>
      <w:proofErr w:type="spellStart"/>
      <w:r w:rsidRPr="006B7B7D">
        <w:rPr>
          <w:rFonts w:ascii="Times New Roman" w:eastAsia="Times New Roman" w:hAnsi="Times New Roman" w:cs="Times New Roman"/>
          <w:i/>
          <w:iCs/>
          <w:sz w:val="24"/>
          <w:szCs w:val="24"/>
        </w:rPr>
        <w:lastRenderedPageBreak/>
        <w:t>mdesc</w:t>
      </w:r>
      <w:proofErr w:type="spellEnd"/>
      <w:r w:rsidRPr="006B7B7D">
        <w:rPr>
          <w:rFonts w:ascii="Times New Roman" w:eastAsia="Times New Roman" w:hAnsi="Times New Roman" w:cs="Times New Roman"/>
          <w:sz w:val="24"/>
          <w:szCs w:val="24"/>
        </w:rPr>
        <w:t xml:space="preserve"> command in </w:t>
      </w:r>
      <w:proofErr w:type="spellStart"/>
      <w:r w:rsidRPr="006B7B7D">
        <w:rPr>
          <w:rFonts w:ascii="Times New Roman" w:eastAsia="Times New Roman" w:hAnsi="Times New Roman" w:cs="Times New Roman"/>
          <w:sz w:val="24"/>
          <w:szCs w:val="24"/>
        </w:rPr>
        <w:t>Stata</w:t>
      </w:r>
      <w:proofErr w:type="spellEnd"/>
      <w:r w:rsidRPr="006B7B7D">
        <w:rPr>
          <w:rFonts w:ascii="Times New Roman" w:eastAsia="Times New Roman" w:hAnsi="Times New Roman" w:cs="Times New Roman"/>
          <w:sz w:val="24"/>
          <w:szCs w:val="24"/>
        </w:rPr>
        <w:t xml:space="preserve">. As shown in </w:t>
      </w:r>
      <w:r w:rsidRPr="006B7B7D">
        <w:rPr>
          <w:rFonts w:ascii="Times New Roman" w:eastAsia="Times New Roman" w:hAnsi="Times New Roman" w:cs="Times New Roman"/>
          <w:b/>
          <w:sz w:val="24"/>
          <w:szCs w:val="24"/>
        </w:rPr>
        <w:t xml:space="preserve">Table </w:t>
      </w:r>
      <w:r w:rsidR="00A11813">
        <w:rPr>
          <w:rFonts w:ascii="Times New Roman" w:eastAsia="Times New Roman" w:hAnsi="Times New Roman" w:cs="Times New Roman"/>
          <w:b/>
          <w:sz w:val="24"/>
          <w:szCs w:val="24"/>
        </w:rPr>
        <w:t>S</w:t>
      </w:r>
      <w:r w:rsidRPr="006B7B7D">
        <w:rPr>
          <w:rFonts w:ascii="Times New Roman" w:eastAsia="Times New Roman" w:hAnsi="Times New Roman" w:cs="Times New Roman"/>
          <w:b/>
          <w:sz w:val="24"/>
          <w:szCs w:val="24"/>
        </w:rPr>
        <w:t>1</w:t>
      </w:r>
      <w:r w:rsidRPr="006B7B7D">
        <w:rPr>
          <w:rFonts w:ascii="Times New Roman" w:eastAsia="Times New Roman" w:hAnsi="Times New Roman" w:cs="Times New Roman"/>
          <w:sz w:val="24"/>
          <w:szCs w:val="24"/>
        </w:rPr>
        <w:t xml:space="preserve">, most variables had no missing values, indicating a high level of completeness. For variables with incomplete data, the proportion of </w:t>
      </w:r>
      <w:proofErr w:type="spellStart"/>
      <w:r w:rsidRPr="006B7B7D">
        <w:rPr>
          <w:rFonts w:ascii="Times New Roman" w:eastAsia="Times New Roman" w:hAnsi="Times New Roman" w:cs="Times New Roman"/>
          <w:sz w:val="24"/>
          <w:szCs w:val="24"/>
        </w:rPr>
        <w:t>missingness</w:t>
      </w:r>
      <w:proofErr w:type="spellEnd"/>
      <w:r w:rsidRPr="006B7B7D">
        <w:rPr>
          <w:rFonts w:ascii="Times New Roman" w:eastAsia="Times New Roman" w:hAnsi="Times New Roman" w:cs="Times New Roman"/>
          <w:sz w:val="24"/>
          <w:szCs w:val="24"/>
        </w:rPr>
        <w:t xml:space="preserve"> ranged from 0.41% to 5.43%. The highest proportion of missing data was observed for health insurance coverage (5.43%), followed by knowledge of the ovulatory cycle (3.53%), distance to health facility (3.15%), and women’s decision-making power (3.15%). Other variables with missing values included caesarean section delivery (1.13%), place of delivery (1.03%), and media exposure (0.41%). </w:t>
      </w:r>
    </w:p>
    <w:p w:rsidR="00FF0AED" w:rsidRDefault="00FF0AED" w:rsidP="00FF0AED">
      <w:pPr>
        <w:rPr>
          <w:rFonts w:ascii="Times New Roman" w:hAnsi="Times New Roman" w:cs="Times New Roman"/>
          <w:sz w:val="24"/>
        </w:rPr>
      </w:pPr>
      <w:r w:rsidRPr="00DF6410">
        <w:rPr>
          <w:rFonts w:ascii="Times New Roman" w:hAnsi="Times New Roman" w:cs="Times New Roman"/>
          <w:b/>
          <w:sz w:val="24"/>
        </w:rPr>
        <w:t xml:space="preserve">Table </w:t>
      </w:r>
      <w:r w:rsidR="00761334">
        <w:rPr>
          <w:rFonts w:ascii="Times New Roman" w:hAnsi="Times New Roman" w:cs="Times New Roman"/>
          <w:b/>
          <w:sz w:val="24"/>
        </w:rPr>
        <w:t>S</w:t>
      </w:r>
      <w:r w:rsidRPr="00DF6410">
        <w:rPr>
          <w:rFonts w:ascii="Times New Roman" w:hAnsi="Times New Roman" w:cs="Times New Roman"/>
          <w:b/>
          <w:sz w:val="24"/>
        </w:rPr>
        <w:t>1:</w:t>
      </w:r>
      <w:r>
        <w:rPr>
          <w:rFonts w:ascii="Times New Roman" w:hAnsi="Times New Roman" w:cs="Times New Roman"/>
          <w:sz w:val="24"/>
        </w:rPr>
        <w:t xml:space="preserve"> Proportion of missing for each predictor</w:t>
      </w:r>
    </w:p>
    <w:tbl>
      <w:tblPr>
        <w:tblStyle w:val="LightShading"/>
        <w:tblW w:w="0" w:type="auto"/>
        <w:tblLook w:val="04A0" w:firstRow="1" w:lastRow="0" w:firstColumn="1" w:lastColumn="0" w:noHBand="0" w:noVBand="1"/>
      </w:tblPr>
      <w:tblGrid>
        <w:gridCol w:w="3358"/>
        <w:gridCol w:w="1322"/>
        <w:gridCol w:w="1710"/>
        <w:gridCol w:w="2880"/>
      </w:tblGrid>
      <w:tr w:rsidR="0064707B" w:rsidRPr="00B77AD3" w:rsidTr="00B77A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jc w:val="center"/>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Variable</w:t>
            </w:r>
          </w:p>
        </w:tc>
        <w:tc>
          <w:tcPr>
            <w:tcW w:w="1322" w:type="dxa"/>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Missing</w:t>
            </w:r>
          </w:p>
        </w:tc>
        <w:tc>
          <w:tcPr>
            <w:tcW w:w="1710" w:type="dxa"/>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Total</w:t>
            </w:r>
          </w:p>
        </w:tc>
        <w:tc>
          <w:tcPr>
            <w:tcW w:w="2880" w:type="dxa"/>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Percent Missing (%)</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Place of residence</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Women education</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Media exposure</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1,061</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0.41</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Wealth index</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Sex of household head</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History of terminated pregnancy</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ANC visits</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Distance to health facility</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8,071</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3.15</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Number of children under 5 years</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Place of delivery</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2,648</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1.03</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Age of respondent</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Age at first birth</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Insurance coverage</w:t>
            </w:r>
          </w:p>
        </w:tc>
        <w:tc>
          <w:tcPr>
            <w:tcW w:w="1322" w:type="dxa"/>
            <w:shd w:val="clear" w:color="auto" w:fill="auto"/>
            <w:hideMark/>
          </w:tcPr>
          <w:p w:rsidR="0064707B" w:rsidRPr="0064707B" w:rsidRDefault="005145D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77AD3">
              <w:rPr>
                <w:rFonts w:ascii="Times New Roman" w:eastAsia="Times New Roman" w:hAnsi="Times New Roman" w:cs="Times New Roman"/>
                <w:sz w:val="24"/>
                <w:szCs w:val="24"/>
              </w:rPr>
              <w:t>13</w:t>
            </w:r>
            <w:r w:rsidR="0064707B" w:rsidRPr="0064707B">
              <w:rPr>
                <w:rFonts w:ascii="Times New Roman" w:eastAsia="Times New Roman" w:hAnsi="Times New Roman" w:cs="Times New Roman"/>
                <w:sz w:val="24"/>
                <w:szCs w:val="24"/>
              </w:rPr>
              <w:t>,932</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5145D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77AD3">
              <w:rPr>
                <w:rFonts w:ascii="Times New Roman" w:eastAsia="Times New Roman" w:hAnsi="Times New Roman" w:cs="Times New Roman"/>
                <w:sz w:val="24"/>
                <w:szCs w:val="24"/>
              </w:rPr>
              <w:t>5.43</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Decision-making power of women</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8,070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3.15</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Caesarean section delivery</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2,896</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1.13</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Skilled birth attendant</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Mother occupation</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Marital status</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Iron supplementation</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lastRenderedPageBreak/>
              <w:t>Birth interval</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Birth order</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r w:rsidR="0064707B" w:rsidRPr="00B77AD3" w:rsidTr="00B77AD3">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Knowledge of ovulatory cycle</w:t>
            </w:r>
          </w:p>
        </w:tc>
        <w:tc>
          <w:tcPr>
            <w:tcW w:w="1322"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9,039</w:t>
            </w:r>
          </w:p>
        </w:tc>
        <w:tc>
          <w:tcPr>
            <w:tcW w:w="171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3.53</w:t>
            </w:r>
          </w:p>
        </w:tc>
      </w:tr>
      <w:tr w:rsidR="0064707B" w:rsidRPr="00B77AD3" w:rsidTr="00B77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8" w:type="dxa"/>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Contraceptive use/intention</w:t>
            </w:r>
          </w:p>
        </w:tc>
        <w:tc>
          <w:tcPr>
            <w:tcW w:w="1322"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171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2880" w:type="dxa"/>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r>
    </w:tbl>
    <w:p w:rsidR="0064707B" w:rsidRDefault="0064707B" w:rsidP="00FF0AED">
      <w:pPr>
        <w:rPr>
          <w:rFonts w:ascii="Times New Roman" w:hAnsi="Times New Roman" w:cs="Times New Roman"/>
          <w:sz w:val="24"/>
        </w:rPr>
      </w:pPr>
    </w:p>
    <w:p w:rsidR="002C14FB" w:rsidRPr="002C14FB" w:rsidRDefault="002C14FB" w:rsidP="002C14FB">
      <w:pPr>
        <w:rPr>
          <w:rFonts w:ascii="Times New Roman" w:hAnsi="Times New Roman" w:cs="Times New Roman"/>
          <w:sz w:val="24"/>
        </w:rPr>
      </w:pPr>
      <w:r w:rsidRPr="002C14FB">
        <w:rPr>
          <w:rStyle w:val="Strong"/>
          <w:rFonts w:ascii="Times New Roman" w:hAnsi="Times New Roman" w:cs="Times New Roman"/>
          <w:bCs w:val="0"/>
          <w:sz w:val="24"/>
        </w:rPr>
        <w:t>Missing Data Patterns</w:t>
      </w:r>
    </w:p>
    <w:p w:rsidR="00E618C5" w:rsidRPr="00E618C5" w:rsidRDefault="00E618C5" w:rsidP="00E618C5">
      <w:pPr>
        <w:spacing w:before="100" w:beforeAutospacing="1" w:after="100" w:afterAutospacing="1" w:line="360" w:lineRule="auto"/>
        <w:jc w:val="both"/>
        <w:rPr>
          <w:rFonts w:ascii="Times New Roman" w:eastAsia="Times New Roman" w:hAnsi="Times New Roman" w:cs="Times New Roman"/>
          <w:sz w:val="24"/>
          <w:szCs w:val="24"/>
        </w:rPr>
      </w:pPr>
      <w:r w:rsidRPr="00E618C5">
        <w:rPr>
          <w:rFonts w:ascii="Times New Roman" w:eastAsia="Times New Roman" w:hAnsi="Times New Roman" w:cs="Times New Roman"/>
          <w:sz w:val="24"/>
          <w:szCs w:val="24"/>
        </w:rPr>
        <w:t>The pattern of missing data across selected explanatory variables indicated that the majority of observations (</w:t>
      </w:r>
      <w:r w:rsidRPr="00E618C5">
        <w:rPr>
          <w:rFonts w:ascii="Times New Roman" w:eastAsia="Times New Roman" w:hAnsi="Times New Roman" w:cs="Times New Roman"/>
          <w:bCs/>
          <w:sz w:val="24"/>
          <w:szCs w:val="24"/>
        </w:rPr>
        <w:t>91%</w:t>
      </w:r>
      <w:r w:rsidRPr="00E618C5">
        <w:rPr>
          <w:rFonts w:ascii="Times New Roman" w:eastAsia="Times New Roman" w:hAnsi="Times New Roman" w:cs="Times New Roman"/>
          <w:sz w:val="24"/>
          <w:szCs w:val="24"/>
        </w:rPr>
        <w:t xml:space="preserve">) were complete. The remaining </w:t>
      </w:r>
      <w:r w:rsidRPr="00E618C5">
        <w:rPr>
          <w:rFonts w:ascii="Times New Roman" w:eastAsia="Times New Roman" w:hAnsi="Times New Roman" w:cs="Times New Roman"/>
          <w:bCs/>
          <w:sz w:val="24"/>
          <w:szCs w:val="24"/>
        </w:rPr>
        <w:t>9%</w:t>
      </w:r>
      <w:r w:rsidRPr="00E618C5">
        <w:rPr>
          <w:rFonts w:ascii="Times New Roman" w:eastAsia="Times New Roman" w:hAnsi="Times New Roman" w:cs="Times New Roman"/>
          <w:sz w:val="24"/>
          <w:szCs w:val="24"/>
        </w:rPr>
        <w:t xml:space="preserve"> of cases had missing values in one or more variables, with no single pattern dominating, suggesting that </w:t>
      </w:r>
      <w:proofErr w:type="spellStart"/>
      <w:r w:rsidRPr="00E618C5">
        <w:rPr>
          <w:rFonts w:ascii="Times New Roman" w:eastAsia="Times New Roman" w:hAnsi="Times New Roman" w:cs="Times New Roman"/>
          <w:sz w:val="24"/>
          <w:szCs w:val="24"/>
        </w:rPr>
        <w:t>missingness</w:t>
      </w:r>
      <w:proofErr w:type="spellEnd"/>
      <w:r w:rsidRPr="00E618C5">
        <w:rPr>
          <w:rFonts w:ascii="Times New Roman" w:eastAsia="Times New Roman" w:hAnsi="Times New Roman" w:cs="Times New Roman"/>
          <w:sz w:val="24"/>
          <w:szCs w:val="24"/>
        </w:rPr>
        <w:t xml:space="preserve"> was distributed across multiple variables. Variables with missing observations included media exposure, distance to health facility, women’s decision-making power, knowledge of the ovulatory cycle, place of delivery, caesarean section delivery, and insurance coverage. Most incomplete cases involved only one or two variables, and very few had missing values for three or more variables simultaneously. This distribution of </w:t>
      </w:r>
      <w:proofErr w:type="spellStart"/>
      <w:r w:rsidRPr="00E618C5">
        <w:rPr>
          <w:rFonts w:ascii="Times New Roman" w:eastAsia="Times New Roman" w:hAnsi="Times New Roman" w:cs="Times New Roman"/>
          <w:sz w:val="24"/>
          <w:szCs w:val="24"/>
        </w:rPr>
        <w:t>missingness</w:t>
      </w:r>
      <w:proofErr w:type="spellEnd"/>
      <w:r w:rsidRPr="00E618C5">
        <w:rPr>
          <w:rFonts w:ascii="Times New Roman" w:eastAsia="Times New Roman" w:hAnsi="Times New Roman" w:cs="Times New Roman"/>
          <w:sz w:val="24"/>
          <w:szCs w:val="24"/>
        </w:rPr>
        <w:t xml:space="preserve"> is consistent with the </w:t>
      </w:r>
      <w:r w:rsidRPr="00E618C5">
        <w:rPr>
          <w:rFonts w:ascii="Times New Roman" w:eastAsia="Times New Roman" w:hAnsi="Times New Roman" w:cs="Times New Roman"/>
          <w:bCs/>
          <w:sz w:val="24"/>
          <w:szCs w:val="24"/>
        </w:rPr>
        <w:t>Missing at Random (MAR)</w:t>
      </w:r>
      <w:r w:rsidRPr="00E618C5">
        <w:rPr>
          <w:rFonts w:ascii="Times New Roman" w:eastAsia="Times New Roman" w:hAnsi="Times New Roman" w:cs="Times New Roman"/>
          <w:sz w:val="24"/>
          <w:szCs w:val="24"/>
        </w:rPr>
        <w:t xml:space="preserve"> assumption, indicating that the likelihood of missing data is related to observed data but not to the unobserved values themselves</w:t>
      </w:r>
      <w:r w:rsidR="00A11813">
        <w:rPr>
          <w:rFonts w:ascii="Times New Roman" w:eastAsia="Times New Roman" w:hAnsi="Times New Roman" w:cs="Times New Roman"/>
          <w:sz w:val="24"/>
          <w:szCs w:val="24"/>
        </w:rPr>
        <w:t xml:space="preserve"> (</w:t>
      </w:r>
      <w:r w:rsidR="00A11813" w:rsidRPr="00DF6410">
        <w:rPr>
          <w:rFonts w:ascii="Times New Roman" w:hAnsi="Times New Roman" w:cs="Times New Roman"/>
          <w:b/>
          <w:sz w:val="24"/>
        </w:rPr>
        <w:t xml:space="preserve">Table </w:t>
      </w:r>
      <w:r w:rsidR="00A11813">
        <w:rPr>
          <w:rFonts w:ascii="Times New Roman" w:hAnsi="Times New Roman" w:cs="Times New Roman"/>
          <w:b/>
          <w:sz w:val="24"/>
        </w:rPr>
        <w:t>S</w:t>
      </w:r>
      <w:r w:rsidR="00A11813" w:rsidRPr="00DF6410">
        <w:rPr>
          <w:rFonts w:ascii="Times New Roman" w:hAnsi="Times New Roman" w:cs="Times New Roman"/>
          <w:b/>
          <w:sz w:val="24"/>
        </w:rPr>
        <w:t>2</w:t>
      </w:r>
      <w:r w:rsidR="00A11813">
        <w:rPr>
          <w:rFonts w:ascii="Times New Roman" w:hAnsi="Times New Roman" w:cs="Times New Roman"/>
          <w:b/>
          <w:sz w:val="24"/>
        </w:rPr>
        <w:t>)</w:t>
      </w:r>
      <w:r w:rsidRPr="00E618C5">
        <w:rPr>
          <w:rFonts w:ascii="Times New Roman" w:eastAsia="Times New Roman" w:hAnsi="Times New Roman" w:cs="Times New Roman"/>
          <w:sz w:val="24"/>
          <w:szCs w:val="24"/>
        </w:rPr>
        <w:t>.</w:t>
      </w:r>
    </w:p>
    <w:p w:rsidR="00AA02D6" w:rsidRPr="00CA1A32" w:rsidRDefault="00AA02D6" w:rsidP="00AA02D6">
      <w:pPr>
        <w:rPr>
          <w:rFonts w:ascii="Times New Roman" w:hAnsi="Times New Roman" w:cs="Times New Roman"/>
          <w:sz w:val="24"/>
        </w:rPr>
      </w:pPr>
      <w:r w:rsidRPr="00DF6410">
        <w:rPr>
          <w:rFonts w:ascii="Times New Roman" w:hAnsi="Times New Roman" w:cs="Times New Roman"/>
          <w:b/>
          <w:sz w:val="24"/>
        </w:rPr>
        <w:t xml:space="preserve">Table </w:t>
      </w:r>
      <w:r w:rsidR="00761334">
        <w:rPr>
          <w:rFonts w:ascii="Times New Roman" w:hAnsi="Times New Roman" w:cs="Times New Roman"/>
          <w:b/>
          <w:sz w:val="24"/>
        </w:rPr>
        <w:t>S</w:t>
      </w:r>
      <w:r w:rsidRPr="00DF6410">
        <w:rPr>
          <w:rFonts w:ascii="Times New Roman" w:hAnsi="Times New Roman" w:cs="Times New Roman"/>
          <w:b/>
          <w:sz w:val="24"/>
        </w:rPr>
        <w:t>2:</w:t>
      </w:r>
      <w:r>
        <w:rPr>
          <w:rFonts w:ascii="Times New Roman" w:hAnsi="Times New Roman" w:cs="Times New Roman"/>
          <w:sz w:val="24"/>
        </w:rPr>
        <w:t xml:space="preserve"> Missing-value pattern </w:t>
      </w:r>
      <w:r w:rsidRPr="00DF6410">
        <w:rPr>
          <w:rFonts w:ascii="Times New Roman" w:hAnsi="Times New Roman" w:cs="Times New Roman"/>
          <w:sz w:val="24"/>
        </w:rPr>
        <w:t>(1 means complete)</w:t>
      </w:r>
    </w:p>
    <w:tbl>
      <w:tblPr>
        <w:tblStyle w:val="LightShading"/>
        <w:tblW w:w="0" w:type="auto"/>
        <w:tblLook w:val="04A0" w:firstRow="1" w:lastRow="0" w:firstColumn="1" w:lastColumn="0" w:noHBand="0" w:noVBand="1"/>
      </w:tblPr>
      <w:tblGrid>
        <w:gridCol w:w="1080"/>
        <w:gridCol w:w="1170"/>
        <w:gridCol w:w="990"/>
        <w:gridCol w:w="1170"/>
        <w:gridCol w:w="1260"/>
        <w:gridCol w:w="1260"/>
        <w:gridCol w:w="1170"/>
        <w:gridCol w:w="1080"/>
      </w:tblGrid>
      <w:tr w:rsidR="00AA02D6" w:rsidRPr="00AA02D6" w:rsidTr="00AA02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tcPr>
          <w:p w:rsidR="00AA02D6" w:rsidRPr="00AA02D6" w:rsidRDefault="00AA02D6" w:rsidP="00866E06">
            <w:pPr>
              <w:rPr>
                <w:rFonts w:ascii="Times New Roman" w:eastAsia="Times New Roman" w:hAnsi="Times New Roman" w:cs="Times New Roman"/>
                <w:b w:val="0"/>
                <w:sz w:val="24"/>
                <w:szCs w:val="24"/>
              </w:rPr>
            </w:pPr>
          </w:p>
        </w:tc>
        <w:tc>
          <w:tcPr>
            <w:tcW w:w="8100" w:type="dxa"/>
            <w:gridSpan w:val="7"/>
            <w:shd w:val="clear" w:color="auto" w:fill="auto"/>
          </w:tcPr>
          <w:p w:rsidR="00AA02D6" w:rsidRPr="00AA02D6" w:rsidRDefault="00AA02D6" w:rsidP="00866E0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Patterns</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Percent</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2</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3</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4</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5</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6</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7</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91%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4</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lastRenderedPageBreak/>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&lt;1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99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26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c>
          <w:tcPr>
            <w:tcW w:w="117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0</w:t>
            </w:r>
          </w:p>
        </w:tc>
        <w:tc>
          <w:tcPr>
            <w:tcW w:w="1080" w:type="dxa"/>
            <w:shd w:val="clear" w:color="auto" w:fill="auto"/>
            <w:hideMark/>
          </w:tcPr>
          <w:p w:rsidR="00AA02D6" w:rsidRPr="00AA02D6" w:rsidRDefault="00AA02D6" w:rsidP="00866E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02D6">
              <w:rPr>
                <w:rFonts w:ascii="Times New Roman" w:eastAsia="Times New Roman" w:hAnsi="Times New Roman" w:cs="Times New Roman"/>
                <w:sz w:val="24"/>
                <w:szCs w:val="24"/>
              </w:rPr>
              <w:t>1</w:t>
            </w:r>
          </w:p>
        </w:tc>
      </w:tr>
      <w:tr w:rsidR="00AA02D6" w:rsidRPr="00AA02D6" w:rsidTr="00AA02D6">
        <w:tc>
          <w:tcPr>
            <w:cnfStyle w:val="001000000000" w:firstRow="0" w:lastRow="0" w:firstColumn="1" w:lastColumn="0" w:oddVBand="0" w:evenVBand="0" w:oddHBand="0" w:evenHBand="0" w:firstRowFirstColumn="0" w:firstRowLastColumn="0" w:lastRowFirstColumn="0" w:lastRowLastColumn="0"/>
            <w:tcW w:w="1080" w:type="dxa"/>
            <w:shd w:val="clear" w:color="auto" w:fill="auto"/>
            <w:hideMark/>
          </w:tcPr>
          <w:p w:rsidR="00AA02D6" w:rsidRPr="00AA02D6" w:rsidRDefault="00AA02D6" w:rsidP="00866E06">
            <w:pPr>
              <w:rPr>
                <w:rFonts w:ascii="Times New Roman" w:eastAsia="Times New Roman" w:hAnsi="Times New Roman" w:cs="Times New Roman"/>
                <w:b w:val="0"/>
                <w:sz w:val="24"/>
                <w:szCs w:val="24"/>
              </w:rPr>
            </w:pPr>
            <w:r w:rsidRPr="00AA02D6">
              <w:rPr>
                <w:rFonts w:ascii="Times New Roman" w:eastAsia="Times New Roman" w:hAnsi="Times New Roman" w:cs="Times New Roman"/>
                <w:b w:val="0"/>
                <w:sz w:val="24"/>
                <w:szCs w:val="24"/>
              </w:rPr>
              <w:t>100%</w:t>
            </w: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9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26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17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080" w:type="dxa"/>
            <w:shd w:val="clear" w:color="auto" w:fill="auto"/>
            <w:hideMark/>
          </w:tcPr>
          <w:p w:rsidR="00AA02D6" w:rsidRPr="00AA02D6" w:rsidRDefault="00AA02D6" w:rsidP="00866E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bl>
    <w:p w:rsidR="00AA02D6" w:rsidRDefault="00AA02D6" w:rsidP="00AA02D6">
      <w:pPr>
        <w:spacing w:line="360" w:lineRule="auto"/>
        <w:jc w:val="both"/>
        <w:rPr>
          <w:rFonts w:ascii="Times New Roman" w:hAnsi="Times New Roman" w:cs="Times New Roman"/>
          <w:sz w:val="24"/>
        </w:rPr>
      </w:pPr>
      <w:r>
        <w:rPr>
          <w:rFonts w:ascii="Times New Roman" w:hAnsi="Times New Roman" w:cs="Times New Roman"/>
          <w:sz w:val="24"/>
        </w:rPr>
        <w:t xml:space="preserve">Variables are </w:t>
      </w:r>
      <w:r w:rsidRPr="00D21602">
        <w:rPr>
          <w:rFonts w:ascii="Times New Roman" w:hAnsi="Times New Roman" w:cs="Times New Roman"/>
          <w:sz w:val="24"/>
        </w:rPr>
        <w:t>(1) media</w:t>
      </w:r>
      <w:r>
        <w:rPr>
          <w:rFonts w:ascii="Times New Roman" w:hAnsi="Times New Roman" w:cs="Times New Roman"/>
          <w:sz w:val="24"/>
        </w:rPr>
        <w:t xml:space="preserve"> exposure (2) place of delivery (3) Cesarean section delivery (4) decision making power of women (5) distance to health facility (6) knowledge of ovulatory cycle (7) insurance c</w:t>
      </w:r>
      <w:r w:rsidRPr="00D21602">
        <w:rPr>
          <w:rFonts w:ascii="Times New Roman" w:hAnsi="Times New Roman" w:cs="Times New Roman"/>
          <w:sz w:val="24"/>
        </w:rPr>
        <w:t>overage</w:t>
      </w:r>
    </w:p>
    <w:p w:rsidR="00BD19A4" w:rsidRPr="002C14FB" w:rsidRDefault="00BD19A4" w:rsidP="00BD19A4">
      <w:pPr>
        <w:rPr>
          <w:rFonts w:ascii="Times New Roman" w:hAnsi="Times New Roman" w:cs="Times New Roman"/>
          <w:sz w:val="24"/>
        </w:rPr>
      </w:pPr>
      <w:r>
        <w:rPr>
          <w:rStyle w:val="Strong"/>
          <w:rFonts w:ascii="Times New Roman" w:hAnsi="Times New Roman" w:cs="Times New Roman"/>
          <w:bCs w:val="0"/>
          <w:sz w:val="24"/>
        </w:rPr>
        <w:t>Missing Data Management according to guide to DHS statistics</w:t>
      </w:r>
    </w:p>
    <w:p w:rsidR="00D17823" w:rsidRPr="00D17823" w:rsidRDefault="00D17823" w:rsidP="00D17823">
      <w:pPr>
        <w:spacing w:line="360" w:lineRule="auto"/>
        <w:jc w:val="both"/>
        <w:rPr>
          <w:rFonts w:ascii="Times New Roman" w:hAnsi="Times New Roman" w:cs="Times New Roman"/>
          <w:sz w:val="24"/>
        </w:rPr>
      </w:pPr>
      <w:r w:rsidRPr="00D17823">
        <w:rPr>
          <w:rFonts w:ascii="Times New Roman" w:hAnsi="Times New Roman" w:cs="Times New Roman"/>
          <w:sz w:val="24"/>
        </w:rPr>
        <w:t>Missing values were handled using approaches aligned with standard DHS analytical guidelines, as detailed below</w:t>
      </w:r>
      <w:r w:rsidR="00A11813">
        <w:rPr>
          <w:rFonts w:ascii="Times New Roman" w:hAnsi="Times New Roman" w:cs="Times New Roman"/>
          <w:sz w:val="24"/>
        </w:rPr>
        <w:t xml:space="preserve"> (</w:t>
      </w:r>
      <w:r w:rsidR="00A11813" w:rsidRPr="00DF6410">
        <w:rPr>
          <w:rFonts w:ascii="Times New Roman" w:hAnsi="Times New Roman" w:cs="Times New Roman"/>
          <w:b/>
          <w:sz w:val="24"/>
        </w:rPr>
        <w:t xml:space="preserve">Table </w:t>
      </w:r>
      <w:r w:rsidR="00A11813">
        <w:rPr>
          <w:rFonts w:ascii="Times New Roman" w:hAnsi="Times New Roman" w:cs="Times New Roman"/>
          <w:b/>
          <w:sz w:val="24"/>
        </w:rPr>
        <w:t>S3)</w:t>
      </w:r>
      <w:r w:rsidRPr="00D17823">
        <w:rPr>
          <w:rFonts w:ascii="Times New Roman" w:hAnsi="Times New Roman" w:cs="Times New Roman"/>
          <w:sz w:val="24"/>
        </w:rPr>
        <w:t>:</w:t>
      </w:r>
    </w:p>
    <w:p w:rsidR="00D059A1" w:rsidRDefault="00D17823" w:rsidP="00D059A1">
      <w:pPr>
        <w:pStyle w:val="ListParagraph"/>
        <w:numPr>
          <w:ilvl w:val="0"/>
          <w:numId w:val="11"/>
        </w:numPr>
        <w:spacing w:line="360" w:lineRule="auto"/>
        <w:jc w:val="both"/>
        <w:rPr>
          <w:rFonts w:ascii="Times New Roman" w:hAnsi="Times New Roman" w:cs="Times New Roman"/>
          <w:sz w:val="24"/>
        </w:rPr>
      </w:pPr>
      <w:r w:rsidRPr="00D059A1">
        <w:rPr>
          <w:rFonts w:ascii="Times New Roman" w:hAnsi="Times New Roman" w:cs="Times New Roman"/>
          <w:bCs/>
          <w:sz w:val="24"/>
        </w:rPr>
        <w:t>Media exposure:</w:t>
      </w:r>
      <w:r w:rsidRPr="00D059A1">
        <w:rPr>
          <w:rFonts w:ascii="Times New Roman" w:hAnsi="Times New Roman" w:cs="Times New Roman"/>
          <w:sz w:val="24"/>
        </w:rPr>
        <w:t> Following DHS convention for binary indicators of media exposure (page 3.9 of the DHS Guide), missing values were excluded from the numerator but included in the denominator, effectively treating them as "no exposure." This approach maintains the denominator while conservatively assuming missing responses reflect no exposure.</w:t>
      </w:r>
    </w:p>
    <w:p w:rsidR="00230C34" w:rsidRDefault="00D17823" w:rsidP="00230C34">
      <w:pPr>
        <w:pStyle w:val="ListParagraph"/>
        <w:numPr>
          <w:ilvl w:val="0"/>
          <w:numId w:val="11"/>
        </w:numPr>
        <w:spacing w:line="360" w:lineRule="auto"/>
        <w:jc w:val="both"/>
        <w:rPr>
          <w:rFonts w:ascii="Times New Roman" w:hAnsi="Times New Roman" w:cs="Times New Roman"/>
          <w:sz w:val="24"/>
        </w:rPr>
      </w:pPr>
      <w:r w:rsidRPr="00D059A1">
        <w:rPr>
          <w:rFonts w:ascii="Times New Roman" w:hAnsi="Times New Roman" w:cs="Times New Roman"/>
          <w:bCs/>
          <w:sz w:val="24"/>
        </w:rPr>
        <w:t>Distance to</w:t>
      </w:r>
      <w:r w:rsidR="00D059A1">
        <w:rPr>
          <w:rFonts w:ascii="Times New Roman" w:hAnsi="Times New Roman" w:cs="Times New Roman"/>
          <w:bCs/>
          <w:sz w:val="24"/>
        </w:rPr>
        <w:t xml:space="preserve"> health facility</w:t>
      </w:r>
      <w:r w:rsidRPr="00D059A1">
        <w:rPr>
          <w:rFonts w:ascii="Times New Roman" w:hAnsi="Times New Roman" w:cs="Times New Roman"/>
          <w:bCs/>
          <w:sz w:val="24"/>
        </w:rPr>
        <w:t>:</w:t>
      </w:r>
      <w:r w:rsidRPr="00D059A1">
        <w:rPr>
          <w:rFonts w:ascii="Times New Roman" w:hAnsi="Times New Roman" w:cs="Times New Roman"/>
          <w:sz w:val="24"/>
        </w:rPr>
        <w:t> For the indicator assessing distance as a barrier to accessing health care, missing values were recoded as "not a big problem." This aligns with the DHS approach where missing information is assumed to represent the absence of a reported problem (page 9.37 of the DHS Guide).</w:t>
      </w:r>
    </w:p>
    <w:p w:rsidR="00230C34" w:rsidRDefault="00D17823" w:rsidP="00230C34">
      <w:pPr>
        <w:pStyle w:val="ListParagraph"/>
        <w:numPr>
          <w:ilvl w:val="0"/>
          <w:numId w:val="11"/>
        </w:numPr>
        <w:spacing w:line="360" w:lineRule="auto"/>
        <w:jc w:val="both"/>
        <w:rPr>
          <w:rFonts w:ascii="Times New Roman" w:hAnsi="Times New Roman" w:cs="Times New Roman"/>
          <w:sz w:val="24"/>
        </w:rPr>
      </w:pPr>
      <w:r w:rsidRPr="00230C34">
        <w:rPr>
          <w:rFonts w:ascii="Times New Roman" w:hAnsi="Times New Roman" w:cs="Times New Roman"/>
          <w:bCs/>
          <w:sz w:val="24"/>
        </w:rPr>
        <w:t>Women's decis</w:t>
      </w:r>
      <w:r w:rsidR="00230C34" w:rsidRPr="00230C34">
        <w:rPr>
          <w:rFonts w:ascii="Times New Roman" w:hAnsi="Times New Roman" w:cs="Times New Roman"/>
          <w:bCs/>
          <w:sz w:val="24"/>
        </w:rPr>
        <w:t>ion-making power</w:t>
      </w:r>
      <w:r w:rsidRPr="00230C34">
        <w:rPr>
          <w:rFonts w:ascii="Times New Roman" w:hAnsi="Times New Roman" w:cs="Times New Roman"/>
          <w:bCs/>
          <w:sz w:val="24"/>
        </w:rPr>
        <w:t>:</w:t>
      </w:r>
      <w:r w:rsidRPr="00230C34">
        <w:rPr>
          <w:rFonts w:ascii="Times New Roman" w:hAnsi="Times New Roman" w:cs="Times New Roman"/>
          <w:sz w:val="24"/>
        </w:rPr>
        <w:t> Missing values were categorized as "no access to decision-making" following the DHS reporting convention where missing responses are assumed to represent non-participation in household decisions (page 15.14 of the DHS Guide). A separate "missing" category was not required due to the low missing proportion and the dichotomous nature of the constructed index.</w:t>
      </w:r>
    </w:p>
    <w:p w:rsidR="00957EE0" w:rsidRDefault="00D17823" w:rsidP="00957EE0">
      <w:pPr>
        <w:pStyle w:val="ListParagraph"/>
        <w:numPr>
          <w:ilvl w:val="0"/>
          <w:numId w:val="11"/>
        </w:numPr>
        <w:spacing w:line="360" w:lineRule="auto"/>
        <w:jc w:val="both"/>
        <w:rPr>
          <w:rFonts w:ascii="Times New Roman" w:hAnsi="Times New Roman" w:cs="Times New Roman"/>
          <w:sz w:val="24"/>
        </w:rPr>
      </w:pPr>
      <w:r w:rsidRPr="00230C34">
        <w:rPr>
          <w:rFonts w:ascii="Times New Roman" w:hAnsi="Times New Roman" w:cs="Times New Roman"/>
          <w:bCs/>
          <w:sz w:val="24"/>
        </w:rPr>
        <w:t>In</w:t>
      </w:r>
      <w:r w:rsidR="00230C34">
        <w:rPr>
          <w:rFonts w:ascii="Times New Roman" w:hAnsi="Times New Roman" w:cs="Times New Roman"/>
          <w:bCs/>
          <w:sz w:val="24"/>
        </w:rPr>
        <w:t>surance coverage</w:t>
      </w:r>
      <w:r w:rsidRPr="00230C34">
        <w:rPr>
          <w:rFonts w:ascii="Times New Roman" w:hAnsi="Times New Roman" w:cs="Times New Roman"/>
          <w:bCs/>
          <w:sz w:val="24"/>
        </w:rPr>
        <w:t>:</w:t>
      </w:r>
      <w:r w:rsidRPr="00230C34">
        <w:rPr>
          <w:rFonts w:ascii="Times New Roman" w:hAnsi="Times New Roman" w:cs="Times New Roman"/>
          <w:sz w:val="24"/>
        </w:rPr>
        <w:t> In accordance with DHS guidance for health insurance indicators (page 3.19 of the DHS Guide), missing values were excluded from the numerator but included in the denominator, assuming respondents with missing information did not have health insurance coverage.</w:t>
      </w:r>
    </w:p>
    <w:p w:rsidR="00957EE0" w:rsidRDefault="00D17823" w:rsidP="00957EE0">
      <w:pPr>
        <w:pStyle w:val="ListParagraph"/>
        <w:numPr>
          <w:ilvl w:val="0"/>
          <w:numId w:val="11"/>
        </w:numPr>
        <w:spacing w:line="360" w:lineRule="auto"/>
        <w:jc w:val="both"/>
        <w:rPr>
          <w:rFonts w:ascii="Times New Roman" w:hAnsi="Times New Roman" w:cs="Times New Roman"/>
          <w:sz w:val="24"/>
        </w:rPr>
      </w:pPr>
      <w:r w:rsidRPr="00957EE0">
        <w:rPr>
          <w:rFonts w:ascii="Times New Roman" w:hAnsi="Times New Roman" w:cs="Times New Roman"/>
          <w:bCs/>
          <w:sz w:val="24"/>
        </w:rPr>
        <w:lastRenderedPageBreak/>
        <w:t>Knowledge of</w:t>
      </w:r>
      <w:r w:rsidR="00957EE0" w:rsidRPr="00957EE0">
        <w:rPr>
          <w:rFonts w:ascii="Times New Roman" w:hAnsi="Times New Roman" w:cs="Times New Roman"/>
          <w:bCs/>
          <w:sz w:val="24"/>
        </w:rPr>
        <w:t xml:space="preserve"> ovulatory cycle</w:t>
      </w:r>
      <w:r w:rsidRPr="00957EE0">
        <w:rPr>
          <w:rFonts w:ascii="Times New Roman" w:hAnsi="Times New Roman" w:cs="Times New Roman"/>
          <w:bCs/>
          <w:sz w:val="24"/>
        </w:rPr>
        <w:t>:</w:t>
      </w:r>
      <w:r w:rsidRPr="00957EE0">
        <w:rPr>
          <w:rFonts w:ascii="Times New Roman" w:hAnsi="Times New Roman" w:cs="Times New Roman"/>
          <w:sz w:val="24"/>
        </w:rPr>
        <w:t> Missing responses were coded as "incorrect knowledge" for the binary indicator of correct knowledge of the fertile period. This follows the DHS analytical approach where "don't know" and missing responses are excluded from the numerator but included in the denominator (page 7.18 of the DHS Guide).</w:t>
      </w:r>
    </w:p>
    <w:p w:rsidR="0064707B" w:rsidRDefault="00D17823" w:rsidP="00FF0AED">
      <w:pPr>
        <w:pStyle w:val="ListParagraph"/>
        <w:numPr>
          <w:ilvl w:val="0"/>
          <w:numId w:val="11"/>
        </w:numPr>
        <w:spacing w:line="360" w:lineRule="auto"/>
        <w:jc w:val="both"/>
        <w:rPr>
          <w:rFonts w:ascii="Times New Roman" w:hAnsi="Times New Roman" w:cs="Times New Roman"/>
          <w:sz w:val="24"/>
        </w:rPr>
      </w:pPr>
      <w:r w:rsidRPr="00957EE0">
        <w:rPr>
          <w:rFonts w:ascii="Times New Roman" w:hAnsi="Times New Roman" w:cs="Times New Roman"/>
          <w:bCs/>
          <w:sz w:val="24"/>
        </w:rPr>
        <w:t>Pl</w:t>
      </w:r>
      <w:r w:rsidR="00957EE0">
        <w:rPr>
          <w:rFonts w:ascii="Times New Roman" w:hAnsi="Times New Roman" w:cs="Times New Roman"/>
          <w:bCs/>
          <w:sz w:val="24"/>
        </w:rPr>
        <w:t xml:space="preserve">ace of delivery </w:t>
      </w:r>
      <w:r w:rsidRPr="00957EE0">
        <w:rPr>
          <w:rFonts w:ascii="Times New Roman" w:hAnsi="Times New Roman" w:cs="Times New Roman"/>
          <w:bCs/>
          <w:sz w:val="24"/>
        </w:rPr>
        <w:t xml:space="preserve">and caesarean </w:t>
      </w:r>
      <w:r w:rsidR="00957EE0">
        <w:rPr>
          <w:rFonts w:ascii="Times New Roman" w:hAnsi="Times New Roman" w:cs="Times New Roman"/>
          <w:bCs/>
          <w:sz w:val="24"/>
        </w:rPr>
        <w:t>section delivery</w:t>
      </w:r>
      <w:r w:rsidRPr="00957EE0">
        <w:rPr>
          <w:rFonts w:ascii="Times New Roman" w:hAnsi="Times New Roman" w:cs="Times New Roman"/>
          <w:bCs/>
          <w:sz w:val="24"/>
        </w:rPr>
        <w:t>:</w:t>
      </w:r>
      <w:r w:rsidRPr="00957EE0">
        <w:rPr>
          <w:rFonts w:ascii="Times New Roman" w:hAnsi="Times New Roman" w:cs="Times New Roman"/>
          <w:sz w:val="24"/>
        </w:rPr>
        <w:t> Consistent with DHS reporting standards, missing values for place of delivery were grouped with "home delivery" for the binary indicator, and missing values for caesarean section were assumed to represent vaginal delivery (pages 9.14 and 9.19 of the DHS Guide).</w:t>
      </w:r>
    </w:p>
    <w:p w:rsidR="00957EE0" w:rsidRPr="00957EE0" w:rsidRDefault="008B22FA" w:rsidP="00957EE0">
      <w:pPr>
        <w:rPr>
          <w:rFonts w:ascii="Times New Roman" w:hAnsi="Times New Roman" w:cs="Times New Roman"/>
          <w:sz w:val="24"/>
        </w:rPr>
      </w:pPr>
      <w:r>
        <w:rPr>
          <w:rFonts w:ascii="Times New Roman" w:hAnsi="Times New Roman" w:cs="Times New Roman"/>
          <w:b/>
          <w:sz w:val="24"/>
        </w:rPr>
        <w:t xml:space="preserve">Table </w:t>
      </w:r>
      <w:r w:rsidR="00761334">
        <w:rPr>
          <w:rFonts w:ascii="Times New Roman" w:hAnsi="Times New Roman" w:cs="Times New Roman"/>
          <w:b/>
          <w:sz w:val="24"/>
        </w:rPr>
        <w:t>S</w:t>
      </w:r>
      <w:r>
        <w:rPr>
          <w:rFonts w:ascii="Times New Roman" w:hAnsi="Times New Roman" w:cs="Times New Roman"/>
          <w:b/>
          <w:sz w:val="24"/>
        </w:rPr>
        <w:t>3</w:t>
      </w:r>
      <w:r w:rsidR="00957EE0" w:rsidRPr="00957EE0">
        <w:rPr>
          <w:rFonts w:ascii="Times New Roman" w:hAnsi="Times New Roman" w:cs="Times New Roman"/>
          <w:b/>
          <w:sz w:val="24"/>
        </w:rPr>
        <w:t>:</w:t>
      </w:r>
      <w:r w:rsidR="00957EE0">
        <w:rPr>
          <w:rFonts w:ascii="Times New Roman" w:hAnsi="Times New Roman" w:cs="Times New Roman"/>
          <w:sz w:val="24"/>
        </w:rPr>
        <w:t xml:space="preserve"> Missing data management according to guide to DHS statistics</w:t>
      </w:r>
    </w:p>
    <w:tbl>
      <w:tblPr>
        <w:tblStyle w:val="LightShading"/>
        <w:tblW w:w="0" w:type="auto"/>
        <w:tblLook w:val="04A0" w:firstRow="1" w:lastRow="0" w:firstColumn="1" w:lastColumn="0" w:noHBand="0" w:noVBand="1"/>
      </w:tblPr>
      <w:tblGrid>
        <w:gridCol w:w="2730"/>
        <w:gridCol w:w="1017"/>
        <w:gridCol w:w="996"/>
        <w:gridCol w:w="1708"/>
        <w:gridCol w:w="3125"/>
      </w:tblGrid>
      <w:tr w:rsidR="0064707B" w:rsidRPr="0064707B" w:rsidTr="00866E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jc w:val="center"/>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Variable</w:t>
            </w:r>
          </w:p>
        </w:tc>
        <w:tc>
          <w:tcPr>
            <w:tcW w:w="0" w:type="auto"/>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Missing</w:t>
            </w:r>
          </w:p>
        </w:tc>
        <w:tc>
          <w:tcPr>
            <w:tcW w:w="0" w:type="auto"/>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Total</w:t>
            </w:r>
          </w:p>
        </w:tc>
        <w:tc>
          <w:tcPr>
            <w:tcW w:w="0" w:type="auto"/>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Percent Missing (%)</w:t>
            </w:r>
          </w:p>
        </w:tc>
        <w:tc>
          <w:tcPr>
            <w:tcW w:w="0" w:type="auto"/>
            <w:shd w:val="clear" w:color="auto" w:fill="auto"/>
            <w:hideMark/>
          </w:tcPr>
          <w:p w:rsidR="0064707B" w:rsidRPr="0064707B" w:rsidRDefault="0064707B"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Missing Data Management (DHS Guide)</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Place of residence</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Women education</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Media exposure</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1,061</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0.41</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Recoded as no media exposure</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Wealth index</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Sex of household head</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History of terminated pregnancy</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ANC visits</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Distance to health facility</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8,071</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3.15</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Recoded as not a big problem</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Number of children under 5 years</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Place of delivery</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2,648</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1.03</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Missing values grouped with home delivery</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Age of respondent</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Age at first birth</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Insurance coverage</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18,932</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7.38</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Recoded as no insurance coverage</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 xml:space="preserve">Decision-making power </w:t>
            </w:r>
            <w:r w:rsidRPr="0064707B">
              <w:rPr>
                <w:rFonts w:ascii="Times New Roman" w:eastAsia="Times New Roman" w:hAnsi="Times New Roman" w:cs="Times New Roman"/>
                <w:b w:val="0"/>
                <w:sz w:val="24"/>
                <w:szCs w:val="24"/>
              </w:rPr>
              <w:lastRenderedPageBreak/>
              <w:t>of women</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lastRenderedPageBreak/>
              <w:t>8,070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3.15</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 xml:space="preserve">Categorized as no access to </w:t>
            </w:r>
            <w:r w:rsidRPr="0064707B">
              <w:rPr>
                <w:rFonts w:ascii="Times New Roman" w:eastAsia="Times New Roman" w:hAnsi="Times New Roman" w:cs="Times New Roman"/>
                <w:sz w:val="24"/>
                <w:szCs w:val="24"/>
              </w:rPr>
              <w:lastRenderedPageBreak/>
              <w:t>decision-making</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lastRenderedPageBreak/>
              <w:t>Caesarean section delivery</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2,896</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1.13</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Assumed not caesarean delivery</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Skilled birth attendant</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Mother occupation</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Marital status</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Iron supplementation</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Birth interval</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Birth order</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r w:rsidR="0064707B" w:rsidRPr="0064707B" w:rsidTr="00866E06">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Knowledge of ovulatory cycle</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9,039</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3.53</w:t>
            </w:r>
          </w:p>
        </w:tc>
        <w:tc>
          <w:tcPr>
            <w:tcW w:w="0" w:type="auto"/>
            <w:shd w:val="clear" w:color="auto" w:fill="auto"/>
            <w:hideMark/>
          </w:tcPr>
          <w:p w:rsidR="0064707B" w:rsidRPr="0064707B" w:rsidRDefault="0064707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Recoded as incorrect knowledge</w:t>
            </w:r>
          </w:p>
        </w:tc>
      </w:tr>
      <w:tr w:rsidR="00866E06" w:rsidRPr="0064707B" w:rsidTr="00866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4707B" w:rsidRPr="0064707B" w:rsidRDefault="0064707B" w:rsidP="004D3A8C">
            <w:pPr>
              <w:spacing w:line="360" w:lineRule="auto"/>
              <w:rPr>
                <w:rFonts w:ascii="Times New Roman" w:eastAsia="Times New Roman" w:hAnsi="Times New Roman" w:cs="Times New Roman"/>
                <w:b w:val="0"/>
                <w:sz w:val="24"/>
                <w:szCs w:val="24"/>
              </w:rPr>
            </w:pPr>
            <w:r w:rsidRPr="0064707B">
              <w:rPr>
                <w:rFonts w:ascii="Times New Roman" w:eastAsia="Times New Roman" w:hAnsi="Times New Roman" w:cs="Times New Roman"/>
                <w:b w:val="0"/>
                <w:sz w:val="24"/>
                <w:szCs w:val="24"/>
              </w:rPr>
              <w:t>Contraceptive use/intention</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256,437</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0.00</w:t>
            </w:r>
          </w:p>
        </w:tc>
        <w:tc>
          <w:tcPr>
            <w:tcW w:w="0" w:type="auto"/>
            <w:shd w:val="clear" w:color="auto" w:fill="auto"/>
            <w:hideMark/>
          </w:tcPr>
          <w:p w:rsidR="0064707B" w:rsidRPr="0064707B" w:rsidRDefault="0064707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4707B">
              <w:rPr>
                <w:rFonts w:ascii="Times New Roman" w:eastAsia="Times New Roman" w:hAnsi="Times New Roman" w:cs="Times New Roman"/>
                <w:sz w:val="24"/>
                <w:szCs w:val="24"/>
              </w:rPr>
              <w:t>No missing values</w:t>
            </w:r>
          </w:p>
        </w:tc>
      </w:tr>
    </w:tbl>
    <w:p w:rsidR="00FF0AED" w:rsidRDefault="00FF0AED" w:rsidP="00FF0AED">
      <w:pPr>
        <w:spacing w:line="360" w:lineRule="auto"/>
        <w:jc w:val="both"/>
        <w:rPr>
          <w:rFonts w:ascii="Times New Roman" w:hAnsi="Times New Roman" w:cs="Times New Roman"/>
          <w:b/>
          <w:sz w:val="24"/>
        </w:rPr>
      </w:pPr>
    </w:p>
    <w:p w:rsidR="00B868DD" w:rsidRPr="00B868DD" w:rsidRDefault="00761334" w:rsidP="00B868DD">
      <w:pPr>
        <w:pStyle w:val="Heading1"/>
        <w:spacing w:line="360" w:lineRule="auto"/>
        <w:jc w:val="both"/>
        <w:rPr>
          <w:rFonts w:ascii="Times New Roman" w:eastAsia="Times New Roman" w:hAnsi="Times New Roman" w:cs="Times New Roman"/>
          <w:b w:val="0"/>
          <w:color w:val="000000" w:themeColor="text1"/>
          <w:sz w:val="24"/>
        </w:rPr>
      </w:pPr>
      <w:r w:rsidRPr="00761334">
        <w:rPr>
          <w:rFonts w:ascii="Times New Roman" w:hAnsi="Times New Roman" w:cs="Times New Roman"/>
          <w:color w:val="auto"/>
          <w:sz w:val="24"/>
          <w:szCs w:val="24"/>
        </w:rPr>
        <w:t>Supplementary file</w:t>
      </w:r>
      <w:r w:rsidR="00B868DD" w:rsidRPr="00B868DD">
        <w:rPr>
          <w:rFonts w:ascii="Times New Roman" w:hAnsi="Times New Roman" w:cs="Times New Roman"/>
          <w:color w:val="000000" w:themeColor="text1"/>
          <w:sz w:val="24"/>
        </w:rPr>
        <w:t xml:space="preserve"> 5:</w:t>
      </w:r>
      <w:r w:rsidR="00B868DD" w:rsidRPr="00B868DD">
        <w:rPr>
          <w:rFonts w:ascii="Times New Roman" w:hAnsi="Times New Roman" w:cs="Times New Roman"/>
          <w:b w:val="0"/>
          <w:color w:val="000000" w:themeColor="text1"/>
          <w:sz w:val="24"/>
        </w:rPr>
        <w:t xml:space="preserve"> </w:t>
      </w:r>
      <w:r w:rsidR="00B868DD" w:rsidRPr="00B868DD">
        <w:rPr>
          <w:rFonts w:ascii="Times New Roman" w:eastAsia="Times New Roman" w:hAnsi="Times New Roman" w:cs="Times New Roman"/>
          <w:b w:val="0"/>
          <w:color w:val="000000" w:themeColor="text1"/>
          <w:sz w:val="24"/>
        </w:rPr>
        <w:t>Maternal, obstetric, and community-level characteristics of study participants for the study of early PNC utilization among newborns in LMICs, DHS 2015-2024</w:t>
      </w:r>
    </w:p>
    <w:p w:rsidR="00B868DD" w:rsidRPr="00B868DD" w:rsidRDefault="00B868DD" w:rsidP="00B868DD">
      <w:pPr>
        <w:pStyle w:val="Heading2"/>
        <w:rPr>
          <w:rFonts w:ascii="Times New Roman" w:eastAsia="Times New Roman" w:hAnsi="Times New Roman" w:cs="Times New Roman"/>
          <w:color w:val="000000" w:themeColor="text1"/>
          <w:sz w:val="24"/>
        </w:rPr>
      </w:pPr>
      <w:r w:rsidRPr="00B868DD">
        <w:rPr>
          <w:rFonts w:ascii="Times New Roman" w:eastAsia="Times New Roman" w:hAnsi="Times New Roman" w:cs="Times New Roman"/>
          <w:color w:val="000000" w:themeColor="text1"/>
          <w:sz w:val="24"/>
        </w:rPr>
        <w:t>Maternal and obstetric-related characteristics</w:t>
      </w:r>
    </w:p>
    <w:p w:rsidR="00B868DD" w:rsidRDefault="00B868DD" w:rsidP="00B868DD">
      <w:pPr>
        <w:spacing w:before="100" w:beforeAutospacing="1" w:after="100" w:afterAutospacing="1" w:line="360" w:lineRule="auto"/>
        <w:jc w:val="both"/>
        <w:rPr>
          <w:rFonts w:ascii="Times New Roman" w:eastAsia="Times New Roman" w:hAnsi="Times New Roman" w:cs="Times New Roman"/>
          <w:b/>
          <w:sz w:val="24"/>
          <w:szCs w:val="24"/>
        </w:rPr>
      </w:pPr>
      <w:r w:rsidRPr="003D4AA3">
        <w:rPr>
          <w:rFonts w:ascii="Times New Roman" w:eastAsia="Times New Roman" w:hAnsi="Times New Roman" w:cs="Times New Roman"/>
          <w:sz w:val="24"/>
          <w:szCs w:val="24"/>
        </w:rPr>
        <w:t xml:space="preserve">Among the 256,437 participants included in the study, most delivered in a </w:t>
      </w:r>
      <w:r w:rsidRPr="003D4AA3">
        <w:rPr>
          <w:rFonts w:ascii="Times New Roman" w:eastAsia="Times New Roman" w:hAnsi="Times New Roman" w:cs="Times New Roman"/>
          <w:bCs/>
          <w:sz w:val="24"/>
          <w:szCs w:val="24"/>
        </w:rPr>
        <w:t>health facility</w:t>
      </w:r>
      <w:r w:rsidRPr="003D4AA3">
        <w:rPr>
          <w:rFonts w:ascii="Times New Roman" w:eastAsia="Times New Roman" w:hAnsi="Times New Roman" w:cs="Times New Roman"/>
          <w:sz w:val="24"/>
          <w:szCs w:val="24"/>
        </w:rPr>
        <w:t xml:space="preserve"> (79.3%) and had </w:t>
      </w:r>
      <w:r w:rsidRPr="003D4AA3">
        <w:rPr>
          <w:rFonts w:ascii="Times New Roman" w:eastAsia="Times New Roman" w:hAnsi="Times New Roman" w:cs="Times New Roman"/>
          <w:bCs/>
          <w:sz w:val="24"/>
          <w:szCs w:val="24"/>
        </w:rPr>
        <w:t>four or more antenatal care visits</w:t>
      </w:r>
      <w:r w:rsidRPr="003D4AA3">
        <w:rPr>
          <w:rFonts w:ascii="Times New Roman" w:eastAsia="Times New Roman" w:hAnsi="Times New Roman" w:cs="Times New Roman"/>
          <w:sz w:val="24"/>
          <w:szCs w:val="24"/>
        </w:rPr>
        <w:t xml:space="preserve"> (59.7%) during their most recent pregnancy. The majority </w:t>
      </w:r>
      <w:r w:rsidRPr="003D4AA3">
        <w:rPr>
          <w:rFonts w:ascii="Times New Roman" w:eastAsia="Times New Roman" w:hAnsi="Times New Roman" w:cs="Times New Roman"/>
          <w:bCs/>
          <w:sz w:val="24"/>
          <w:szCs w:val="24"/>
        </w:rPr>
        <w:t>did not deliver by caesarean section</w:t>
      </w:r>
      <w:r w:rsidRPr="003D4AA3">
        <w:rPr>
          <w:rFonts w:ascii="Times New Roman" w:eastAsia="Times New Roman" w:hAnsi="Times New Roman" w:cs="Times New Roman"/>
          <w:sz w:val="24"/>
          <w:szCs w:val="24"/>
        </w:rPr>
        <w:t xml:space="preserve"> (84.8%), received </w:t>
      </w:r>
      <w:r w:rsidRPr="003D4AA3">
        <w:rPr>
          <w:rFonts w:ascii="Times New Roman" w:eastAsia="Times New Roman" w:hAnsi="Times New Roman" w:cs="Times New Roman"/>
          <w:bCs/>
          <w:sz w:val="24"/>
          <w:szCs w:val="24"/>
        </w:rPr>
        <w:t>iron supplementation</w:t>
      </w:r>
      <w:r w:rsidRPr="003D4AA3">
        <w:rPr>
          <w:rFonts w:ascii="Times New Roman" w:eastAsia="Times New Roman" w:hAnsi="Times New Roman" w:cs="Times New Roman"/>
          <w:sz w:val="24"/>
          <w:szCs w:val="24"/>
        </w:rPr>
        <w:t xml:space="preserve"> (83.2%), and had </w:t>
      </w:r>
      <w:r w:rsidRPr="003D4AA3">
        <w:rPr>
          <w:rFonts w:ascii="Times New Roman" w:eastAsia="Times New Roman" w:hAnsi="Times New Roman" w:cs="Times New Roman"/>
          <w:bCs/>
          <w:sz w:val="24"/>
          <w:szCs w:val="24"/>
        </w:rPr>
        <w:t>no history of terminated pregnancy</w:t>
      </w:r>
      <w:r w:rsidRPr="003D4AA3">
        <w:rPr>
          <w:rFonts w:ascii="Times New Roman" w:eastAsia="Times New Roman" w:hAnsi="Times New Roman" w:cs="Times New Roman"/>
          <w:sz w:val="24"/>
          <w:szCs w:val="24"/>
        </w:rPr>
        <w:t xml:space="preserve"> (85.8%). Most women had a </w:t>
      </w:r>
      <w:r w:rsidRPr="003D4AA3">
        <w:rPr>
          <w:rFonts w:ascii="Times New Roman" w:eastAsia="Times New Roman" w:hAnsi="Times New Roman" w:cs="Times New Roman"/>
          <w:bCs/>
          <w:sz w:val="24"/>
          <w:szCs w:val="24"/>
        </w:rPr>
        <w:t>preceding birth interval of ≥24 months</w:t>
      </w:r>
      <w:r w:rsidRPr="003D4AA3">
        <w:rPr>
          <w:rFonts w:ascii="Times New Roman" w:eastAsia="Times New Roman" w:hAnsi="Times New Roman" w:cs="Times New Roman"/>
          <w:sz w:val="24"/>
          <w:szCs w:val="24"/>
        </w:rPr>
        <w:t xml:space="preserve"> (87.2%), and the majority had their </w:t>
      </w:r>
      <w:r w:rsidRPr="003D4AA3">
        <w:rPr>
          <w:rFonts w:ascii="Times New Roman" w:eastAsia="Times New Roman" w:hAnsi="Times New Roman" w:cs="Times New Roman"/>
          <w:bCs/>
          <w:sz w:val="24"/>
          <w:szCs w:val="24"/>
        </w:rPr>
        <w:t>first birth after the age of 18 years</w:t>
      </w:r>
      <w:r>
        <w:rPr>
          <w:rFonts w:ascii="Times New Roman" w:eastAsia="Times New Roman" w:hAnsi="Times New Roman" w:cs="Times New Roman"/>
          <w:sz w:val="24"/>
          <w:szCs w:val="24"/>
        </w:rPr>
        <w:t xml:space="preserve"> (67.6%) </w:t>
      </w:r>
      <w:r w:rsidRPr="003D4AA3">
        <w:rPr>
          <w:rFonts w:ascii="Times New Roman" w:eastAsia="Times New Roman" w:hAnsi="Times New Roman" w:cs="Times New Roman"/>
          <w:b/>
          <w:sz w:val="24"/>
          <w:szCs w:val="24"/>
        </w:rPr>
        <w:t xml:space="preserve">(Table </w:t>
      </w:r>
      <w:r w:rsidR="00A11813">
        <w:rPr>
          <w:rFonts w:ascii="Times New Roman" w:eastAsia="Times New Roman" w:hAnsi="Times New Roman" w:cs="Times New Roman"/>
          <w:b/>
          <w:sz w:val="24"/>
          <w:szCs w:val="24"/>
        </w:rPr>
        <w:t>S</w:t>
      </w:r>
      <w:r w:rsidRPr="003D4AA3">
        <w:rPr>
          <w:rFonts w:ascii="Times New Roman" w:eastAsia="Times New Roman" w:hAnsi="Times New Roman" w:cs="Times New Roman"/>
          <w:b/>
          <w:sz w:val="24"/>
          <w:szCs w:val="24"/>
        </w:rPr>
        <w:t>1).</w:t>
      </w:r>
    </w:p>
    <w:p w:rsidR="00B868DD" w:rsidRPr="00B868DD" w:rsidRDefault="00B868DD" w:rsidP="00B868DD">
      <w:pPr>
        <w:rPr>
          <w:rFonts w:ascii="Times New Roman" w:hAnsi="Times New Roman" w:cs="Times New Roman"/>
          <w:sz w:val="24"/>
        </w:rPr>
      </w:pPr>
      <w:r w:rsidRPr="00B868DD">
        <w:rPr>
          <w:rFonts w:ascii="Times New Roman" w:hAnsi="Times New Roman" w:cs="Times New Roman"/>
          <w:b/>
          <w:sz w:val="24"/>
        </w:rPr>
        <w:t xml:space="preserve">Table </w:t>
      </w:r>
      <w:r w:rsidR="00761334">
        <w:rPr>
          <w:rFonts w:ascii="Times New Roman" w:hAnsi="Times New Roman" w:cs="Times New Roman"/>
          <w:b/>
          <w:sz w:val="24"/>
        </w:rPr>
        <w:t>S</w:t>
      </w:r>
      <w:r w:rsidRPr="00B868DD">
        <w:rPr>
          <w:rFonts w:ascii="Times New Roman" w:hAnsi="Times New Roman" w:cs="Times New Roman"/>
          <w:b/>
          <w:sz w:val="24"/>
        </w:rPr>
        <w:t>1:</w:t>
      </w:r>
      <w:r w:rsidRPr="00B868DD">
        <w:rPr>
          <w:rFonts w:ascii="Times New Roman" w:hAnsi="Times New Roman" w:cs="Times New Roman"/>
          <w:sz w:val="24"/>
        </w:rPr>
        <w:t xml:space="preserve"> Maternal and obstetric-related characteristics of the study participants </w:t>
      </w:r>
    </w:p>
    <w:tbl>
      <w:tblPr>
        <w:tblStyle w:val="LightShading"/>
        <w:tblW w:w="0" w:type="auto"/>
        <w:tblLook w:val="04A0" w:firstRow="1" w:lastRow="0" w:firstColumn="1" w:lastColumn="0" w:noHBand="0" w:noVBand="1"/>
      </w:tblPr>
      <w:tblGrid>
        <w:gridCol w:w="3103"/>
        <w:gridCol w:w="1969"/>
        <w:gridCol w:w="2066"/>
        <w:gridCol w:w="2438"/>
      </w:tblGrid>
      <w:tr w:rsidR="00B868DD" w:rsidRPr="00A00029" w:rsidTr="007C38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jc w:val="center"/>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Variables</w:t>
            </w:r>
          </w:p>
        </w:tc>
        <w:tc>
          <w:tcPr>
            <w:tcW w:w="0" w:type="auto"/>
            <w:shd w:val="clear" w:color="auto" w:fill="auto"/>
            <w:hideMark/>
          </w:tcPr>
          <w:p w:rsidR="00B868DD" w:rsidRPr="00A00029" w:rsidRDefault="00B868DD"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Categories</w:t>
            </w:r>
          </w:p>
        </w:tc>
        <w:tc>
          <w:tcPr>
            <w:tcW w:w="0" w:type="auto"/>
            <w:shd w:val="clear" w:color="auto" w:fill="auto"/>
            <w:hideMark/>
          </w:tcPr>
          <w:p w:rsidR="00B868DD" w:rsidRPr="00A00029" w:rsidRDefault="00B868DD"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Weighted Frequency</w:t>
            </w:r>
          </w:p>
        </w:tc>
        <w:tc>
          <w:tcPr>
            <w:tcW w:w="0" w:type="auto"/>
            <w:shd w:val="clear" w:color="auto" w:fill="auto"/>
            <w:hideMark/>
          </w:tcPr>
          <w:p w:rsidR="00B868DD" w:rsidRPr="00A00029" w:rsidRDefault="00B868DD"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Weighted Percentage (%)</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Place of delivery</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Home</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53,199</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20.75</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Health facility</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203,238</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79.25</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lastRenderedPageBreak/>
              <w:t>Provider for newborns’ PNC check</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 check</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85,054</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33.17</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Skilled provider</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163,749</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63.86</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Non-skilled provider</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7,634</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2.98</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ANC visits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 ANC</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26,739</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10.43</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1–3 visits</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76,628</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29.88</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≥4 visits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153,072</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59.69</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Caesarean section delivery</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217,421</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84.79</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Yes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39,016</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15.21</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Iron supplementation</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43,195</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16.84</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Yes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213,242</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83.16</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Ever had terminated pregnancy</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220,063</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85.82</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Yes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36,374</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14.18</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Birth interval</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&lt;24 months</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32,759</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12.77</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≥24 months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223,678</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87.23</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Age at first birth</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≤18 years</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83,179</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32.44</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&gt;18 years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173,258</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67.56</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Decision-making power</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No problem</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042C7">
              <w:rPr>
                <w:rFonts w:ascii="Times New Roman" w:eastAsia="Times New Roman" w:hAnsi="Times New Roman" w:cs="Times New Roman"/>
                <w:sz w:val="24"/>
                <w:szCs w:val="24"/>
              </w:rPr>
              <w:t>147,923</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042C7">
              <w:rPr>
                <w:rFonts w:ascii="Times New Roman" w:eastAsia="Times New Roman" w:hAnsi="Times New Roman" w:cs="Times New Roman"/>
                <w:sz w:val="24"/>
                <w:szCs w:val="24"/>
              </w:rPr>
              <w:t>57.68</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Problem </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108,514</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r w:rsidRPr="00A00029">
              <w:rPr>
                <w:rFonts w:ascii="Times New Roman" w:eastAsia="Times New Roman" w:hAnsi="Times New Roman" w:cs="Times New Roman"/>
                <w:sz w:val="24"/>
                <w:szCs w:val="24"/>
              </w:rPr>
              <w:t>2</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Health insurance coverage</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198,577</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77.44</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Yes</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57,860</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22.56</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Birth order</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77,117</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30.07</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2–3</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109,378</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42.65</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≥4</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69,942</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27.27</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t>Knowledge of ovulatory cycle</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 knowledge</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25,381</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9.90</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Incorrect timing</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156,954</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61.21</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Correct knowledge</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74,102</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28.90</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r w:rsidRPr="00A00029">
              <w:rPr>
                <w:rFonts w:ascii="Times New Roman" w:eastAsia="Times New Roman" w:hAnsi="Times New Roman" w:cs="Times New Roman"/>
                <w:b w:val="0"/>
                <w:sz w:val="24"/>
                <w:szCs w:val="24"/>
              </w:rPr>
              <w:lastRenderedPageBreak/>
              <w:t>Contraceptive use/intention</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No intention</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91,389</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35.64</w:t>
            </w:r>
          </w:p>
        </w:tc>
      </w:tr>
      <w:tr w:rsidR="00B868DD" w:rsidRPr="00A00029"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Current user</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107,607</w:t>
            </w:r>
          </w:p>
        </w:tc>
        <w:tc>
          <w:tcPr>
            <w:tcW w:w="0" w:type="auto"/>
            <w:shd w:val="clear" w:color="auto" w:fill="auto"/>
            <w:hideMark/>
          </w:tcPr>
          <w:p w:rsidR="00B868DD" w:rsidRPr="00A00029"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41.96</w:t>
            </w:r>
          </w:p>
        </w:tc>
      </w:tr>
      <w:tr w:rsidR="00B868DD" w:rsidRPr="00A00029"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A00029"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Intends to use later</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57,441</w:t>
            </w:r>
          </w:p>
        </w:tc>
        <w:tc>
          <w:tcPr>
            <w:tcW w:w="0" w:type="auto"/>
            <w:shd w:val="clear" w:color="auto" w:fill="auto"/>
            <w:hideMark/>
          </w:tcPr>
          <w:p w:rsidR="00B868DD" w:rsidRPr="00A00029"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00029">
              <w:rPr>
                <w:rFonts w:ascii="Times New Roman" w:eastAsia="Times New Roman" w:hAnsi="Times New Roman" w:cs="Times New Roman"/>
                <w:sz w:val="24"/>
                <w:szCs w:val="24"/>
              </w:rPr>
              <w:t>22.40</w:t>
            </w:r>
          </w:p>
        </w:tc>
      </w:tr>
    </w:tbl>
    <w:p w:rsidR="00B868DD" w:rsidRPr="00B868DD" w:rsidRDefault="00B868DD" w:rsidP="00B868DD">
      <w:pPr>
        <w:pStyle w:val="Heading2"/>
        <w:rPr>
          <w:rFonts w:ascii="Times New Roman" w:eastAsia="Times New Roman" w:hAnsi="Times New Roman" w:cs="Times New Roman"/>
          <w:color w:val="000000" w:themeColor="text1"/>
          <w:sz w:val="24"/>
        </w:rPr>
      </w:pPr>
      <w:r w:rsidRPr="00B868DD">
        <w:rPr>
          <w:rFonts w:ascii="Times New Roman" w:eastAsia="Times New Roman" w:hAnsi="Times New Roman" w:cs="Times New Roman"/>
          <w:color w:val="000000" w:themeColor="text1"/>
          <w:sz w:val="24"/>
        </w:rPr>
        <w:t>Environmental and community-level characteristics</w:t>
      </w:r>
    </w:p>
    <w:p w:rsidR="00B868DD" w:rsidRPr="00BD4D0A" w:rsidRDefault="00B868DD" w:rsidP="00B868DD">
      <w:pPr>
        <w:spacing w:before="100" w:beforeAutospacing="1" w:after="100" w:afterAutospacing="1" w:line="360" w:lineRule="auto"/>
        <w:jc w:val="both"/>
        <w:rPr>
          <w:rFonts w:ascii="Times New Roman" w:eastAsia="Times New Roman" w:hAnsi="Times New Roman" w:cs="Times New Roman"/>
          <w:b/>
          <w:sz w:val="24"/>
          <w:szCs w:val="24"/>
        </w:rPr>
      </w:pPr>
      <w:r w:rsidRPr="00BD4D0A">
        <w:rPr>
          <w:rFonts w:ascii="Times New Roman" w:eastAsia="Times New Roman" w:hAnsi="Times New Roman" w:cs="Times New Roman"/>
          <w:sz w:val="24"/>
          <w:szCs w:val="24"/>
        </w:rPr>
        <w:t xml:space="preserve">Most participants resided in </w:t>
      </w:r>
      <w:r w:rsidRPr="00BD4D0A">
        <w:rPr>
          <w:rFonts w:ascii="Times New Roman" w:eastAsia="Times New Roman" w:hAnsi="Times New Roman" w:cs="Times New Roman"/>
          <w:bCs/>
          <w:sz w:val="24"/>
          <w:szCs w:val="24"/>
        </w:rPr>
        <w:t>rural communities</w:t>
      </w:r>
      <w:r w:rsidRPr="00BD4D0A">
        <w:rPr>
          <w:rFonts w:ascii="Times New Roman" w:eastAsia="Times New Roman" w:hAnsi="Times New Roman" w:cs="Times New Roman"/>
          <w:sz w:val="24"/>
          <w:szCs w:val="24"/>
        </w:rPr>
        <w:t xml:space="preserve"> (68.1%). Over half lived in communities with </w:t>
      </w:r>
      <w:r w:rsidRPr="00BD4D0A">
        <w:rPr>
          <w:rFonts w:ascii="Times New Roman" w:eastAsia="Times New Roman" w:hAnsi="Times New Roman" w:cs="Times New Roman"/>
          <w:bCs/>
          <w:sz w:val="24"/>
          <w:szCs w:val="24"/>
        </w:rPr>
        <w:t>high media exposure</w:t>
      </w:r>
      <w:r w:rsidRPr="00BD4D0A">
        <w:rPr>
          <w:rFonts w:ascii="Times New Roman" w:eastAsia="Times New Roman" w:hAnsi="Times New Roman" w:cs="Times New Roman"/>
          <w:sz w:val="24"/>
          <w:szCs w:val="24"/>
        </w:rPr>
        <w:t xml:space="preserve"> (58.8%), </w:t>
      </w:r>
      <w:r w:rsidRPr="00BD4D0A">
        <w:rPr>
          <w:rFonts w:ascii="Times New Roman" w:eastAsia="Times New Roman" w:hAnsi="Times New Roman" w:cs="Times New Roman"/>
          <w:bCs/>
          <w:sz w:val="24"/>
          <w:szCs w:val="24"/>
        </w:rPr>
        <w:t>low distance-related barriers to accessing health facilities</w:t>
      </w:r>
      <w:r w:rsidRPr="00BD4D0A">
        <w:rPr>
          <w:rFonts w:ascii="Times New Roman" w:eastAsia="Times New Roman" w:hAnsi="Times New Roman" w:cs="Times New Roman"/>
          <w:sz w:val="24"/>
          <w:szCs w:val="24"/>
        </w:rPr>
        <w:t xml:space="preserve"> (55.4%), and </w:t>
      </w:r>
      <w:r w:rsidRPr="00BD4D0A">
        <w:rPr>
          <w:rFonts w:ascii="Times New Roman" w:eastAsia="Times New Roman" w:hAnsi="Times New Roman" w:cs="Times New Roman"/>
          <w:bCs/>
          <w:sz w:val="24"/>
          <w:szCs w:val="24"/>
        </w:rPr>
        <w:t>high community-level educational attainment</w:t>
      </w:r>
      <w:r w:rsidRPr="00BD4D0A">
        <w:rPr>
          <w:rFonts w:ascii="Times New Roman" w:eastAsia="Times New Roman" w:hAnsi="Times New Roman" w:cs="Times New Roman"/>
          <w:sz w:val="24"/>
          <w:szCs w:val="24"/>
        </w:rPr>
        <w:t xml:space="preserve"> (63.0%) </w:t>
      </w:r>
      <w:r w:rsidRPr="00BD4D0A">
        <w:rPr>
          <w:rFonts w:ascii="Times New Roman" w:eastAsia="Times New Roman" w:hAnsi="Times New Roman" w:cs="Times New Roman"/>
          <w:b/>
          <w:sz w:val="24"/>
          <w:szCs w:val="24"/>
        </w:rPr>
        <w:t xml:space="preserve">(Table </w:t>
      </w:r>
      <w:r w:rsidR="00A11813">
        <w:rPr>
          <w:rFonts w:ascii="Times New Roman" w:eastAsia="Times New Roman" w:hAnsi="Times New Roman" w:cs="Times New Roman"/>
          <w:b/>
          <w:sz w:val="24"/>
          <w:szCs w:val="24"/>
        </w:rPr>
        <w:t>S</w:t>
      </w:r>
      <w:r w:rsidRPr="00BD4D0A">
        <w:rPr>
          <w:rFonts w:ascii="Times New Roman" w:eastAsia="Times New Roman" w:hAnsi="Times New Roman" w:cs="Times New Roman"/>
          <w:b/>
          <w:sz w:val="24"/>
          <w:szCs w:val="24"/>
        </w:rPr>
        <w:t>2).</w:t>
      </w:r>
    </w:p>
    <w:p w:rsidR="00B868DD" w:rsidRPr="00B868DD" w:rsidRDefault="00B868DD" w:rsidP="00B868DD">
      <w:pPr>
        <w:rPr>
          <w:rFonts w:ascii="Times New Roman" w:hAnsi="Times New Roman" w:cs="Times New Roman"/>
          <w:sz w:val="24"/>
        </w:rPr>
      </w:pPr>
      <w:r w:rsidRPr="00B868DD">
        <w:rPr>
          <w:rFonts w:ascii="Times New Roman" w:hAnsi="Times New Roman" w:cs="Times New Roman"/>
          <w:b/>
          <w:sz w:val="24"/>
        </w:rPr>
        <w:t xml:space="preserve">Table </w:t>
      </w:r>
      <w:r w:rsidR="00761334">
        <w:rPr>
          <w:rFonts w:ascii="Times New Roman" w:hAnsi="Times New Roman" w:cs="Times New Roman"/>
          <w:b/>
          <w:sz w:val="24"/>
        </w:rPr>
        <w:t>S</w:t>
      </w:r>
      <w:r w:rsidRPr="00B868DD">
        <w:rPr>
          <w:rFonts w:ascii="Times New Roman" w:hAnsi="Times New Roman" w:cs="Times New Roman"/>
          <w:b/>
          <w:sz w:val="24"/>
        </w:rPr>
        <w:t>2:</w:t>
      </w:r>
      <w:r w:rsidRPr="00B868DD">
        <w:rPr>
          <w:rFonts w:ascii="Times New Roman" w:hAnsi="Times New Roman" w:cs="Times New Roman"/>
          <w:sz w:val="24"/>
        </w:rPr>
        <w:t xml:space="preserve">  Environmental and community-level characteristics of the study participants </w:t>
      </w:r>
    </w:p>
    <w:tbl>
      <w:tblPr>
        <w:tblStyle w:val="LightShading"/>
        <w:tblW w:w="0" w:type="auto"/>
        <w:tblLook w:val="04A0" w:firstRow="1" w:lastRow="0" w:firstColumn="1" w:lastColumn="0" w:noHBand="0" w:noVBand="1"/>
      </w:tblPr>
      <w:tblGrid>
        <w:gridCol w:w="2936"/>
        <w:gridCol w:w="1396"/>
        <w:gridCol w:w="2356"/>
        <w:gridCol w:w="2856"/>
      </w:tblGrid>
      <w:tr w:rsidR="00B868DD" w:rsidRPr="00BD4D0A" w:rsidTr="007C38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jc w:val="center"/>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Variables</w:t>
            </w:r>
          </w:p>
        </w:tc>
        <w:tc>
          <w:tcPr>
            <w:tcW w:w="0" w:type="auto"/>
            <w:shd w:val="clear" w:color="auto" w:fill="auto"/>
            <w:hideMark/>
          </w:tcPr>
          <w:p w:rsidR="00B868DD" w:rsidRPr="00BD4D0A" w:rsidRDefault="00B868DD"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Categories</w:t>
            </w:r>
          </w:p>
        </w:tc>
        <w:tc>
          <w:tcPr>
            <w:tcW w:w="0" w:type="auto"/>
            <w:shd w:val="clear" w:color="auto" w:fill="auto"/>
            <w:hideMark/>
          </w:tcPr>
          <w:p w:rsidR="00B868DD" w:rsidRPr="00BD4D0A" w:rsidRDefault="00B868DD"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Weighted Frequency</w:t>
            </w:r>
          </w:p>
        </w:tc>
        <w:tc>
          <w:tcPr>
            <w:tcW w:w="0" w:type="auto"/>
            <w:shd w:val="clear" w:color="auto" w:fill="auto"/>
            <w:hideMark/>
          </w:tcPr>
          <w:p w:rsidR="00B868DD" w:rsidRPr="00BD4D0A" w:rsidRDefault="00B868DD"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Weighted Percentage (%)</w:t>
            </w:r>
          </w:p>
        </w:tc>
      </w:tr>
      <w:tr w:rsidR="00B868DD" w:rsidRPr="00BD4D0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r w:rsidRPr="00BD4D0A">
              <w:rPr>
                <w:rFonts w:ascii="Times New Roman" w:eastAsia="Times New Roman" w:hAnsi="Times New Roman" w:cs="Times New Roman"/>
                <w:b w:val="0"/>
                <w:sz w:val="24"/>
                <w:szCs w:val="24"/>
              </w:rPr>
              <w:t>Place of residence</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Urban</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81,784</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31.89</w:t>
            </w:r>
          </w:p>
        </w:tc>
      </w:tr>
      <w:tr w:rsidR="00B868DD" w:rsidRPr="00BD4D0A"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Rural</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174,653</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68.11</w:t>
            </w:r>
          </w:p>
        </w:tc>
      </w:tr>
      <w:tr w:rsidR="00B868DD" w:rsidRPr="00BD4D0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r w:rsidRPr="00BD4D0A">
              <w:rPr>
                <w:rFonts w:ascii="Times New Roman" w:eastAsia="Times New Roman" w:hAnsi="Times New Roman" w:cs="Times New Roman"/>
                <w:b w:val="0"/>
                <w:sz w:val="24"/>
                <w:szCs w:val="24"/>
              </w:rPr>
              <w:t>Community media exposure</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Low</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105,678</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41.21</w:t>
            </w:r>
          </w:p>
        </w:tc>
      </w:tr>
      <w:tr w:rsidR="00B868DD" w:rsidRPr="00BD4D0A"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High</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150,759</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58.79</w:t>
            </w:r>
          </w:p>
        </w:tc>
      </w:tr>
      <w:tr w:rsidR="00B868DD" w:rsidRPr="00BD4D0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r w:rsidRPr="00BD4D0A">
              <w:rPr>
                <w:rFonts w:ascii="Times New Roman" w:eastAsia="Times New Roman" w:hAnsi="Times New Roman" w:cs="Times New Roman"/>
                <w:b w:val="0"/>
                <w:sz w:val="24"/>
                <w:szCs w:val="24"/>
              </w:rPr>
              <w:t>Community distance barrier</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Low barrier</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142,178</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55.44</w:t>
            </w:r>
          </w:p>
        </w:tc>
      </w:tr>
      <w:tr w:rsidR="00B868DD" w:rsidRPr="00BD4D0A"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High barrier</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114,259</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44.56</w:t>
            </w:r>
          </w:p>
        </w:tc>
      </w:tr>
      <w:tr w:rsidR="00B868DD" w:rsidRPr="00BD4D0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r w:rsidRPr="00BD4D0A">
              <w:rPr>
                <w:rFonts w:ascii="Times New Roman" w:eastAsia="Times New Roman" w:hAnsi="Times New Roman" w:cs="Times New Roman"/>
                <w:b w:val="0"/>
                <w:sz w:val="24"/>
                <w:szCs w:val="24"/>
              </w:rPr>
              <w:t>Community education level</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Low</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94,769</w:t>
            </w:r>
          </w:p>
        </w:tc>
        <w:tc>
          <w:tcPr>
            <w:tcW w:w="0" w:type="auto"/>
            <w:shd w:val="clear" w:color="auto" w:fill="auto"/>
            <w:hideMark/>
          </w:tcPr>
          <w:p w:rsidR="00B868DD" w:rsidRPr="00BD4D0A" w:rsidRDefault="00B868DD"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36.96</w:t>
            </w:r>
          </w:p>
        </w:tc>
      </w:tr>
      <w:tr w:rsidR="00B868DD" w:rsidRPr="00BD4D0A"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B868DD" w:rsidRPr="00BD4D0A" w:rsidRDefault="00B868DD" w:rsidP="004D3A8C">
            <w:pPr>
              <w:spacing w:line="360" w:lineRule="auto"/>
              <w:rPr>
                <w:rFonts w:ascii="Times New Roman" w:eastAsia="Times New Roman" w:hAnsi="Times New Roman" w:cs="Times New Roman"/>
                <w:b w:val="0"/>
                <w:sz w:val="24"/>
                <w:szCs w:val="24"/>
              </w:rPr>
            </w:pP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High</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161,668</w:t>
            </w:r>
          </w:p>
        </w:tc>
        <w:tc>
          <w:tcPr>
            <w:tcW w:w="0" w:type="auto"/>
            <w:shd w:val="clear" w:color="auto" w:fill="auto"/>
            <w:hideMark/>
          </w:tcPr>
          <w:p w:rsidR="00B868DD" w:rsidRPr="00BD4D0A" w:rsidRDefault="00B868DD"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D4D0A">
              <w:rPr>
                <w:rFonts w:ascii="Times New Roman" w:eastAsia="Times New Roman" w:hAnsi="Times New Roman" w:cs="Times New Roman"/>
                <w:sz w:val="24"/>
                <w:szCs w:val="24"/>
              </w:rPr>
              <w:t>63.04</w:t>
            </w:r>
          </w:p>
        </w:tc>
      </w:tr>
    </w:tbl>
    <w:p w:rsidR="00CB6A99" w:rsidRDefault="00CB6A99" w:rsidP="00545BAD">
      <w:pPr>
        <w:pStyle w:val="Heading1"/>
        <w:spacing w:before="0" w:after="120"/>
        <w:rPr>
          <w:rFonts w:ascii="Times New Roman" w:eastAsia="Times New Roman" w:hAnsi="Times New Roman" w:cs="Times New Roman"/>
          <w:color w:val="000000" w:themeColor="text1"/>
          <w:sz w:val="24"/>
          <w:szCs w:val="24"/>
        </w:rPr>
      </w:pPr>
    </w:p>
    <w:p w:rsidR="004E74BB" w:rsidRPr="00545BAD" w:rsidRDefault="00761334" w:rsidP="00545BAD">
      <w:pPr>
        <w:pStyle w:val="Heading1"/>
        <w:spacing w:before="0" w:after="120"/>
        <w:rPr>
          <w:rFonts w:ascii="Times New Roman" w:eastAsia="Times New Roman" w:hAnsi="Times New Roman" w:cs="Times New Roman"/>
          <w:color w:val="000000" w:themeColor="text1"/>
          <w:sz w:val="24"/>
          <w:szCs w:val="24"/>
        </w:rPr>
      </w:pPr>
      <w:r w:rsidRPr="00761334">
        <w:rPr>
          <w:rFonts w:ascii="Times New Roman" w:hAnsi="Times New Roman" w:cs="Times New Roman"/>
          <w:color w:val="auto"/>
          <w:sz w:val="24"/>
          <w:szCs w:val="24"/>
        </w:rPr>
        <w:t>Supplementary file</w:t>
      </w:r>
      <w:r w:rsidR="004E74BB" w:rsidRPr="004E74BB">
        <w:rPr>
          <w:rFonts w:ascii="Times New Roman" w:eastAsia="Times New Roman" w:hAnsi="Times New Roman" w:cs="Times New Roman"/>
          <w:color w:val="000000" w:themeColor="text1"/>
          <w:sz w:val="24"/>
          <w:szCs w:val="24"/>
        </w:rPr>
        <w:t xml:space="preserve"> </w:t>
      </w:r>
      <w:r w:rsidR="00890617">
        <w:rPr>
          <w:rFonts w:ascii="Times New Roman" w:eastAsia="Times New Roman" w:hAnsi="Times New Roman" w:cs="Times New Roman"/>
          <w:color w:val="000000" w:themeColor="text1"/>
          <w:sz w:val="24"/>
          <w:szCs w:val="24"/>
        </w:rPr>
        <w:t>6</w:t>
      </w:r>
      <w:r w:rsidR="004E74BB" w:rsidRPr="004E74BB">
        <w:rPr>
          <w:rFonts w:ascii="Times New Roman" w:eastAsia="Times New Roman" w:hAnsi="Times New Roman" w:cs="Times New Roman"/>
          <w:color w:val="000000" w:themeColor="text1"/>
          <w:sz w:val="24"/>
          <w:szCs w:val="24"/>
        </w:rPr>
        <w:t xml:space="preserve">: </w:t>
      </w:r>
      <w:r w:rsidR="004E74BB">
        <w:rPr>
          <w:rFonts w:ascii="Times New Roman" w:hAnsi="Times New Roman" w:cs="Times New Roman"/>
          <w:b w:val="0"/>
          <w:color w:val="000000" w:themeColor="text1"/>
          <w:sz w:val="24"/>
          <w:szCs w:val="24"/>
        </w:rPr>
        <w:t xml:space="preserve">Assessment of </w:t>
      </w:r>
      <w:proofErr w:type="spellStart"/>
      <w:r w:rsidR="004E74BB">
        <w:rPr>
          <w:rFonts w:ascii="Times New Roman" w:hAnsi="Times New Roman" w:cs="Times New Roman"/>
          <w:b w:val="0"/>
          <w:color w:val="000000" w:themeColor="text1"/>
          <w:sz w:val="24"/>
          <w:szCs w:val="24"/>
        </w:rPr>
        <w:t>m</w:t>
      </w:r>
      <w:r w:rsidR="004E74BB" w:rsidRPr="004E74BB">
        <w:rPr>
          <w:rFonts w:ascii="Times New Roman" w:hAnsi="Times New Roman" w:cs="Times New Roman"/>
          <w:b w:val="0"/>
          <w:color w:val="000000" w:themeColor="text1"/>
          <w:sz w:val="24"/>
          <w:szCs w:val="24"/>
        </w:rPr>
        <w:t>ulticollinearity</w:t>
      </w:r>
      <w:proofErr w:type="spellEnd"/>
      <w:r w:rsidR="004E74BB" w:rsidRPr="004E74BB">
        <w:rPr>
          <w:rFonts w:ascii="Times New Roman" w:hAnsi="Times New Roman" w:cs="Times New Roman"/>
          <w:b w:val="0"/>
          <w:color w:val="000000" w:themeColor="text1"/>
          <w:sz w:val="24"/>
          <w:szCs w:val="24"/>
        </w:rPr>
        <w:t xml:space="preserve"> among</w:t>
      </w:r>
      <w:r w:rsidR="004E74BB">
        <w:rPr>
          <w:rFonts w:ascii="Times New Roman" w:hAnsi="Times New Roman" w:cs="Times New Roman"/>
          <w:b w:val="0"/>
          <w:color w:val="000000" w:themeColor="text1"/>
          <w:sz w:val="24"/>
          <w:szCs w:val="24"/>
        </w:rPr>
        <w:t xml:space="preserve"> significant p</w:t>
      </w:r>
      <w:r w:rsidR="004E74BB" w:rsidRPr="004E74BB">
        <w:rPr>
          <w:rFonts w:ascii="Times New Roman" w:hAnsi="Times New Roman" w:cs="Times New Roman"/>
          <w:b w:val="0"/>
          <w:color w:val="000000" w:themeColor="text1"/>
          <w:sz w:val="24"/>
          <w:szCs w:val="24"/>
        </w:rPr>
        <w:t>redictors</w:t>
      </w:r>
    </w:p>
    <w:p w:rsidR="004E74BB" w:rsidRPr="00545BAD" w:rsidRDefault="004E74BB" w:rsidP="00545BAD">
      <w:pPr>
        <w:spacing w:after="120" w:line="360" w:lineRule="auto"/>
        <w:jc w:val="both"/>
        <w:rPr>
          <w:rFonts w:ascii="Times New Roman" w:hAnsi="Times New Roman" w:cs="Times New Roman"/>
          <w:sz w:val="24"/>
        </w:rPr>
      </w:pPr>
      <w:r w:rsidRPr="00545BAD">
        <w:rPr>
          <w:rFonts w:ascii="Times New Roman" w:hAnsi="Times New Roman" w:cs="Times New Roman"/>
          <w:b/>
          <w:sz w:val="24"/>
        </w:rPr>
        <w:t xml:space="preserve">Table </w:t>
      </w:r>
      <w:r w:rsidR="00761334">
        <w:rPr>
          <w:rFonts w:ascii="Times New Roman" w:hAnsi="Times New Roman" w:cs="Times New Roman"/>
          <w:b/>
          <w:sz w:val="24"/>
        </w:rPr>
        <w:t>S</w:t>
      </w:r>
      <w:r w:rsidRPr="00545BAD">
        <w:rPr>
          <w:rFonts w:ascii="Times New Roman" w:hAnsi="Times New Roman" w:cs="Times New Roman"/>
          <w:b/>
          <w:sz w:val="24"/>
        </w:rPr>
        <w:t>1:</w:t>
      </w:r>
      <w:r w:rsidRPr="00545BAD">
        <w:rPr>
          <w:rFonts w:ascii="Times New Roman" w:hAnsi="Times New Roman" w:cs="Times New Roman"/>
          <w:sz w:val="24"/>
        </w:rPr>
        <w:t xml:space="preserve"> </w:t>
      </w:r>
      <w:proofErr w:type="spellStart"/>
      <w:r w:rsidR="00CB6A99">
        <w:rPr>
          <w:rFonts w:ascii="Times New Roman" w:hAnsi="Times New Roman" w:cs="Times New Roman"/>
          <w:sz w:val="24"/>
        </w:rPr>
        <w:t>Multicollinearity</w:t>
      </w:r>
      <w:proofErr w:type="spellEnd"/>
      <w:r w:rsidR="00CB6A99">
        <w:rPr>
          <w:rFonts w:ascii="Times New Roman" w:hAnsi="Times New Roman" w:cs="Times New Roman"/>
          <w:sz w:val="24"/>
        </w:rPr>
        <w:t xml:space="preserve"> assessment of significant predictors for n</w:t>
      </w:r>
      <w:r w:rsidRPr="00545BAD">
        <w:rPr>
          <w:rFonts w:ascii="Times New Roman" w:hAnsi="Times New Roman" w:cs="Times New Roman"/>
          <w:sz w:val="24"/>
        </w:rPr>
        <w:t>ewb</w:t>
      </w:r>
      <w:r w:rsidR="00CB6A99">
        <w:rPr>
          <w:rFonts w:ascii="Times New Roman" w:hAnsi="Times New Roman" w:cs="Times New Roman"/>
          <w:sz w:val="24"/>
        </w:rPr>
        <w:t>orn postnatal c</w:t>
      </w:r>
      <w:r w:rsidR="00545BAD" w:rsidRPr="00545BAD">
        <w:rPr>
          <w:rFonts w:ascii="Times New Roman" w:hAnsi="Times New Roman" w:cs="Times New Roman"/>
          <w:sz w:val="24"/>
        </w:rPr>
        <w:t xml:space="preserve">are </w:t>
      </w:r>
      <w:r w:rsidR="00CB6A99">
        <w:rPr>
          <w:rFonts w:ascii="Times New Roman" w:hAnsi="Times New Roman" w:cs="Times New Roman"/>
          <w:sz w:val="24"/>
        </w:rPr>
        <w:t>u</w:t>
      </w:r>
      <w:r w:rsidR="00545BAD" w:rsidRPr="00545BAD">
        <w:rPr>
          <w:rFonts w:ascii="Times New Roman" w:hAnsi="Times New Roman" w:cs="Times New Roman"/>
          <w:sz w:val="24"/>
        </w:rPr>
        <w:t>tilization in LMICs, DHS 2015-2024</w:t>
      </w:r>
    </w:p>
    <w:tbl>
      <w:tblPr>
        <w:tblStyle w:val="LightShading"/>
        <w:tblW w:w="0" w:type="auto"/>
        <w:tblInd w:w="18" w:type="dxa"/>
        <w:tblLook w:val="04A0" w:firstRow="1" w:lastRow="0" w:firstColumn="1" w:lastColumn="0" w:noHBand="0" w:noVBand="1"/>
      </w:tblPr>
      <w:tblGrid>
        <w:gridCol w:w="2970"/>
        <w:gridCol w:w="1440"/>
        <w:gridCol w:w="2250"/>
        <w:gridCol w:w="2880"/>
      </w:tblGrid>
      <w:tr w:rsidR="004E74BB" w:rsidRPr="00FC758A" w:rsidTr="007C38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tcPr>
          <w:p w:rsidR="004E74BB" w:rsidRPr="00FC758A" w:rsidRDefault="004E74BB" w:rsidP="004D3A8C">
            <w:pPr>
              <w:spacing w:line="360" w:lineRule="auto"/>
              <w:rPr>
                <w:rFonts w:ascii="Times New Roman" w:hAnsi="Times New Roman" w:cs="Times New Roman"/>
                <w:sz w:val="24"/>
                <w:szCs w:val="24"/>
              </w:rPr>
            </w:pPr>
            <w:r w:rsidRPr="00FC758A">
              <w:rPr>
                <w:rFonts w:ascii="Times New Roman" w:hAnsi="Times New Roman" w:cs="Times New Roman"/>
                <w:sz w:val="24"/>
                <w:szCs w:val="24"/>
              </w:rPr>
              <w:t xml:space="preserve"> Variable </w:t>
            </w:r>
          </w:p>
        </w:tc>
        <w:tc>
          <w:tcPr>
            <w:tcW w:w="1440" w:type="dxa"/>
            <w:shd w:val="clear" w:color="auto" w:fill="auto"/>
          </w:tcPr>
          <w:p w:rsidR="004E74BB" w:rsidRPr="00FC758A" w:rsidRDefault="004E74BB" w:rsidP="004D3A8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758A">
              <w:rPr>
                <w:rFonts w:ascii="Times New Roman" w:hAnsi="Times New Roman" w:cs="Times New Roman"/>
                <w:sz w:val="24"/>
                <w:szCs w:val="24"/>
              </w:rPr>
              <w:t xml:space="preserve"> VIF       </w:t>
            </w:r>
          </w:p>
        </w:tc>
        <w:tc>
          <w:tcPr>
            <w:tcW w:w="2250" w:type="dxa"/>
            <w:shd w:val="clear" w:color="auto" w:fill="auto"/>
          </w:tcPr>
          <w:p w:rsidR="004E74BB" w:rsidRPr="00FC758A" w:rsidRDefault="004E74BB" w:rsidP="004D3A8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C758A">
              <w:rPr>
                <w:rFonts w:ascii="Times New Roman" w:hAnsi="Times New Roman" w:cs="Times New Roman"/>
                <w:sz w:val="24"/>
                <w:szCs w:val="24"/>
              </w:rPr>
              <w:t xml:space="preserve"> 1/VIF</w:t>
            </w:r>
          </w:p>
        </w:tc>
        <w:tc>
          <w:tcPr>
            <w:tcW w:w="2880" w:type="dxa"/>
            <w:shd w:val="clear" w:color="auto" w:fill="auto"/>
          </w:tcPr>
          <w:p w:rsidR="004E74BB" w:rsidRPr="00FC758A" w:rsidRDefault="004E74BB" w:rsidP="004D3A8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Status</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Marital status</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11.30</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0.088529</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Above recommended level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Number of children in the household</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8.95</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0.111725</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Above recommended level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Birth interval</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7.13</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0.140199</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ANC visit</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6.94</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0.144086</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lastRenderedPageBreak/>
              <w:t>Iron supplementation</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6.75</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0.148178</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Place of delivery</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5.41</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0.184864</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Birth order</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5.29</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0.189102</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Knowledge ovulatory cycle</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4.83</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0.207151</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Place of residence</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4.20</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0.237845</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 xml:space="preserve">Age </w:t>
            </w:r>
            <w:proofErr w:type="spellStart"/>
            <w:r w:rsidRPr="00FC758A">
              <w:rPr>
                <w:rFonts w:ascii="Times New Roman" w:eastAsia="Times New Roman" w:hAnsi="Times New Roman" w:cs="Times New Roman"/>
                <w:b w:val="0"/>
                <w:sz w:val="24"/>
                <w:szCs w:val="24"/>
              </w:rPr>
              <w:t>respondant</w:t>
            </w:r>
            <w:proofErr w:type="spellEnd"/>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4.20</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0.238053</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Age at first birth</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3.73</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0.268262</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Community level women education</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3.16</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0.316431</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Community level media exposure</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3.09</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0.324128</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Wealth index</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2.73</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0.366382</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Contraceptive use and intention</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2.31</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0.432380</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Community level distance barrier to health facility</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2.23</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0.449073</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Decision making power of women</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2.00</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0.498913</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Insurance coverage</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1.43</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0.697127</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Cesarean section delivery</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1.29</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0.773601</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Sex of household head</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1.28</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0.779783</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History of terminated pregnancy</w:t>
            </w:r>
          </w:p>
        </w:tc>
        <w:tc>
          <w:tcPr>
            <w:tcW w:w="144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1.18</w:t>
            </w:r>
          </w:p>
        </w:tc>
        <w:tc>
          <w:tcPr>
            <w:tcW w:w="2250" w:type="dxa"/>
            <w:shd w:val="clear" w:color="auto" w:fill="auto"/>
            <w:hideMark/>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0.845384</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 xml:space="preserve">Normal </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70"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Mean VIF</w:t>
            </w:r>
          </w:p>
        </w:tc>
        <w:tc>
          <w:tcPr>
            <w:tcW w:w="144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4.26</w:t>
            </w:r>
          </w:p>
        </w:tc>
        <w:tc>
          <w:tcPr>
            <w:tcW w:w="2250" w:type="dxa"/>
            <w:shd w:val="clear" w:color="auto" w:fill="auto"/>
            <w:hideMark/>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bl>
    <w:p w:rsidR="004E74BB" w:rsidRDefault="004E74BB" w:rsidP="004E74BB"/>
    <w:p w:rsidR="00406196" w:rsidRPr="00406196" w:rsidRDefault="00CB6A99" w:rsidP="00406196">
      <w:pPr>
        <w:pStyle w:val="NormalWeb"/>
        <w:spacing w:line="360" w:lineRule="auto"/>
        <w:jc w:val="both"/>
      </w:pPr>
      <w:r>
        <w:rPr>
          <w:b/>
        </w:rPr>
        <w:t xml:space="preserve">Table </w:t>
      </w:r>
      <w:r w:rsidR="00761334">
        <w:rPr>
          <w:b/>
        </w:rPr>
        <w:t>S</w:t>
      </w:r>
      <w:r>
        <w:rPr>
          <w:b/>
        </w:rPr>
        <w:t>2</w:t>
      </w:r>
      <w:r w:rsidRPr="00545BAD">
        <w:rPr>
          <w:b/>
        </w:rPr>
        <w:t>:</w:t>
      </w:r>
      <w:r w:rsidRPr="00545BAD">
        <w:t xml:space="preserve"> </w:t>
      </w:r>
      <w:proofErr w:type="spellStart"/>
      <w:r w:rsidR="00406196" w:rsidRPr="00406196">
        <w:rPr>
          <w:bCs/>
        </w:rPr>
        <w:t>Multicollinearity</w:t>
      </w:r>
      <w:proofErr w:type="spellEnd"/>
      <w:r w:rsidR="00406196" w:rsidRPr="00406196">
        <w:rPr>
          <w:bCs/>
        </w:rPr>
        <w:t xml:space="preserve"> assessment after removing high-VIF predictors for newborn postnatal care utilization in LMICs, DHS 2015–2024</w:t>
      </w:r>
    </w:p>
    <w:tbl>
      <w:tblPr>
        <w:tblStyle w:val="LightShading"/>
        <w:tblW w:w="0" w:type="auto"/>
        <w:tblLook w:val="04A0" w:firstRow="1" w:lastRow="0" w:firstColumn="1" w:lastColumn="0" w:noHBand="0" w:noVBand="1"/>
      </w:tblPr>
      <w:tblGrid>
        <w:gridCol w:w="2988"/>
        <w:gridCol w:w="1440"/>
        <w:gridCol w:w="2250"/>
        <w:gridCol w:w="2880"/>
      </w:tblGrid>
      <w:tr w:rsidR="004E74BB" w:rsidRPr="00FC758A" w:rsidTr="007C38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Variable</w:t>
            </w:r>
          </w:p>
        </w:tc>
        <w:tc>
          <w:tcPr>
            <w:tcW w:w="1440" w:type="dxa"/>
            <w:shd w:val="clear" w:color="auto" w:fill="auto"/>
            <w:hideMark/>
          </w:tcPr>
          <w:p w:rsidR="004E74BB" w:rsidRPr="003068A8" w:rsidRDefault="004E74BB" w:rsidP="004D3A8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VIF</w:t>
            </w:r>
          </w:p>
        </w:tc>
        <w:tc>
          <w:tcPr>
            <w:tcW w:w="2250" w:type="dxa"/>
            <w:shd w:val="clear" w:color="auto" w:fill="auto"/>
            <w:hideMark/>
          </w:tcPr>
          <w:p w:rsidR="004E74BB" w:rsidRPr="003068A8" w:rsidRDefault="004E74BB" w:rsidP="004D3A8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1/VIF</w:t>
            </w:r>
          </w:p>
        </w:tc>
        <w:tc>
          <w:tcPr>
            <w:tcW w:w="2880" w:type="dxa"/>
            <w:shd w:val="clear" w:color="auto" w:fill="auto"/>
          </w:tcPr>
          <w:p w:rsidR="004E74BB" w:rsidRPr="00FC758A" w:rsidRDefault="004E74BB" w:rsidP="004D3A8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 xml:space="preserve">Status </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ANC visit</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6.85</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0.145995</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FC758A"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lastRenderedPageBreak/>
              <w:t>Iron supplementation</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6.63</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0.150840</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 xml:space="preserve">Birth interval </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6.56</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0.152387</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Place of delivery</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5.32</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0.187882</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Knowledge of ovulatory cycle</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4.69</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0.213312</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 xml:space="preserve">Birth </w:t>
            </w:r>
            <w:r w:rsidRPr="003068A8">
              <w:rPr>
                <w:rFonts w:ascii="Times New Roman" w:eastAsia="Times New Roman" w:hAnsi="Times New Roman" w:cs="Times New Roman"/>
                <w:b w:val="0"/>
                <w:sz w:val="24"/>
                <w:szCs w:val="24"/>
              </w:rPr>
              <w:t>order</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4.55</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0.219882</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Age of respondent</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4.16</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0.240665</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Place of residence</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3.86</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0.259151</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Age at first birth</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3.52</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0.283691</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Community level women education</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3.15</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0.317294</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Community level media exposure</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3.05</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0.327832</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 xml:space="preserve">Wealth </w:t>
            </w:r>
            <w:r w:rsidRPr="003068A8">
              <w:rPr>
                <w:rFonts w:ascii="Times New Roman" w:eastAsia="Times New Roman" w:hAnsi="Times New Roman" w:cs="Times New Roman"/>
                <w:b w:val="0"/>
                <w:sz w:val="24"/>
                <w:szCs w:val="24"/>
              </w:rPr>
              <w:t>index</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2.68</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0.373168</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Contraceptive use and intention</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2.31</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0.433307</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Community level distance barrier to health facilities</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2.20</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0.454407</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Decision making power of women</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1.98</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0.503835</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Insurance coverage</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1.43</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0.697553</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cesarean section delivery</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1.29</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0.775193</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Sex of household head</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1.23</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0.815239</w:t>
            </w: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FC758A">
              <w:rPr>
                <w:rFonts w:ascii="Times New Roman" w:eastAsia="Times New Roman" w:hAnsi="Times New Roman" w:cs="Times New Roman"/>
                <w:b w:val="0"/>
                <w:sz w:val="24"/>
                <w:szCs w:val="24"/>
              </w:rPr>
              <w:t>History of terminated pregnancy</w:t>
            </w:r>
          </w:p>
        </w:tc>
        <w:tc>
          <w:tcPr>
            <w:tcW w:w="144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1.18</w:t>
            </w:r>
          </w:p>
        </w:tc>
        <w:tc>
          <w:tcPr>
            <w:tcW w:w="2250" w:type="dxa"/>
            <w:shd w:val="clear" w:color="auto" w:fill="auto"/>
            <w:hideMark/>
          </w:tcPr>
          <w:p w:rsidR="004E74BB" w:rsidRPr="003068A8"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0.846140</w:t>
            </w:r>
          </w:p>
        </w:tc>
        <w:tc>
          <w:tcPr>
            <w:tcW w:w="2880" w:type="dxa"/>
            <w:shd w:val="clear" w:color="auto" w:fill="auto"/>
          </w:tcPr>
          <w:p w:rsidR="004E74BB" w:rsidRPr="00FC758A" w:rsidRDefault="004E74BB" w:rsidP="004D3A8C">
            <w:pPr>
              <w:spacing w:line="360" w:lineRule="auto"/>
              <w:cnfStyle w:val="000000100000" w:firstRow="0" w:lastRow="0" w:firstColumn="0" w:lastColumn="0" w:oddVBand="0" w:evenVBand="0" w:oddHBand="1" w:evenHBand="0" w:firstRowFirstColumn="0" w:firstRowLastColumn="0" w:lastRowFirstColumn="0" w:lastRowLastColumn="0"/>
            </w:pPr>
            <w:r w:rsidRPr="00FC758A">
              <w:rPr>
                <w:rFonts w:ascii="Times New Roman" w:eastAsia="Times New Roman" w:hAnsi="Times New Roman" w:cs="Times New Roman"/>
                <w:sz w:val="24"/>
                <w:szCs w:val="24"/>
              </w:rPr>
              <w:t>Normal</w:t>
            </w:r>
          </w:p>
        </w:tc>
      </w:tr>
      <w:tr w:rsidR="004E74BB" w:rsidRPr="00FC758A" w:rsidTr="007C38CD">
        <w:tc>
          <w:tcPr>
            <w:cnfStyle w:val="001000000000" w:firstRow="0" w:lastRow="0" w:firstColumn="1" w:lastColumn="0" w:oddVBand="0" w:evenVBand="0" w:oddHBand="0" w:evenHBand="0" w:firstRowFirstColumn="0" w:firstRowLastColumn="0" w:lastRowFirstColumn="0" w:lastRowLastColumn="0"/>
            <w:tcW w:w="2988" w:type="dxa"/>
            <w:shd w:val="clear" w:color="auto" w:fill="auto"/>
            <w:hideMark/>
          </w:tcPr>
          <w:p w:rsidR="004E74BB" w:rsidRPr="003068A8" w:rsidRDefault="004E74BB" w:rsidP="004D3A8C">
            <w:pPr>
              <w:spacing w:line="360" w:lineRule="auto"/>
              <w:rPr>
                <w:rFonts w:ascii="Times New Roman" w:eastAsia="Times New Roman" w:hAnsi="Times New Roman" w:cs="Times New Roman"/>
                <w:b w:val="0"/>
                <w:sz w:val="24"/>
                <w:szCs w:val="24"/>
              </w:rPr>
            </w:pPr>
            <w:r w:rsidRPr="003068A8">
              <w:rPr>
                <w:rFonts w:ascii="Times New Roman" w:eastAsia="Times New Roman" w:hAnsi="Times New Roman" w:cs="Times New Roman"/>
                <w:b w:val="0"/>
                <w:sz w:val="24"/>
                <w:szCs w:val="24"/>
              </w:rPr>
              <w:t>Mean VIF</w:t>
            </w:r>
          </w:p>
        </w:tc>
        <w:tc>
          <w:tcPr>
            <w:tcW w:w="144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068A8">
              <w:rPr>
                <w:rFonts w:ascii="Times New Roman" w:eastAsia="Times New Roman" w:hAnsi="Times New Roman" w:cs="Times New Roman"/>
                <w:sz w:val="24"/>
                <w:szCs w:val="24"/>
              </w:rPr>
              <w:t>3.51</w:t>
            </w:r>
          </w:p>
        </w:tc>
        <w:tc>
          <w:tcPr>
            <w:tcW w:w="2250" w:type="dxa"/>
            <w:shd w:val="clear" w:color="auto" w:fill="auto"/>
            <w:hideMark/>
          </w:tcPr>
          <w:p w:rsidR="004E74BB" w:rsidRPr="003068A8"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880" w:type="dxa"/>
            <w:shd w:val="clear" w:color="auto" w:fill="auto"/>
          </w:tcPr>
          <w:p w:rsidR="004E74BB" w:rsidRPr="00FC758A" w:rsidRDefault="004E74BB"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bl>
    <w:p w:rsidR="00CA7629" w:rsidRDefault="00CA7629" w:rsidP="006564B8">
      <w:pPr>
        <w:pStyle w:val="Heading1"/>
        <w:spacing w:line="360" w:lineRule="auto"/>
        <w:rPr>
          <w:rFonts w:ascii="Times New Roman" w:hAnsi="Times New Roman" w:cs="Times New Roman"/>
          <w:color w:val="auto"/>
          <w:sz w:val="24"/>
          <w:szCs w:val="24"/>
        </w:rPr>
      </w:pPr>
    </w:p>
    <w:p w:rsidR="00CA7629" w:rsidRDefault="00CA7629" w:rsidP="00CA7629"/>
    <w:p w:rsidR="00CA7629" w:rsidRDefault="00CA7629" w:rsidP="00CA7629"/>
    <w:p w:rsidR="00CA7629" w:rsidRDefault="00CA7629" w:rsidP="00CA7629">
      <w:pPr>
        <w:sectPr w:rsidR="00CA7629">
          <w:pgSz w:w="12240" w:h="15840"/>
          <w:pgMar w:top="1440" w:right="1440" w:bottom="1440" w:left="1440" w:header="720" w:footer="720" w:gutter="0"/>
          <w:cols w:space="720"/>
          <w:docGrid w:linePitch="360"/>
        </w:sectPr>
      </w:pPr>
    </w:p>
    <w:p w:rsidR="00CA7629" w:rsidRPr="00CA7629" w:rsidRDefault="00C11333" w:rsidP="00CA7629">
      <w:r>
        <w:rPr>
          <w:rFonts w:ascii="Times New Roman" w:hAnsi="Times New Roman" w:cs="Times New Roman"/>
          <w:b/>
          <w:sz w:val="24"/>
        </w:rPr>
        <w:lastRenderedPageBreak/>
        <w:t>Supplementary file 7</w:t>
      </w:r>
      <w:r w:rsidR="00CA7629">
        <w:rPr>
          <w:rFonts w:ascii="Times New Roman" w:hAnsi="Times New Roman" w:cs="Times New Roman"/>
          <w:b/>
          <w:sz w:val="24"/>
        </w:rPr>
        <w:t xml:space="preserve">: </w:t>
      </w:r>
      <w:r w:rsidR="00CA7629" w:rsidRPr="00CC10CB">
        <w:rPr>
          <w:rFonts w:ascii="Times New Roman" w:hAnsi="Times New Roman" w:cs="Times New Roman"/>
          <w:sz w:val="24"/>
        </w:rPr>
        <w:t>Determinants of</w:t>
      </w:r>
      <w:r w:rsidR="00CA7629">
        <w:rPr>
          <w:rFonts w:ascii="Times New Roman" w:hAnsi="Times New Roman" w:cs="Times New Roman"/>
          <w:b/>
          <w:sz w:val="24"/>
        </w:rPr>
        <w:t xml:space="preserve"> </w:t>
      </w:r>
      <w:r w:rsidR="00CA7629">
        <w:rPr>
          <w:rFonts w:ascii="Times New Roman" w:hAnsi="Times New Roman" w:cs="Times New Roman"/>
          <w:sz w:val="24"/>
          <w:szCs w:val="24"/>
        </w:rPr>
        <w:t xml:space="preserve">PNC utilization within two days of birth </w:t>
      </w:r>
      <w:r w:rsidR="00CA7629" w:rsidRPr="006A6D66">
        <w:rPr>
          <w:rFonts w:ascii="Times New Roman" w:hAnsi="Times New Roman" w:cs="Times New Roman"/>
          <w:sz w:val="24"/>
          <w:szCs w:val="24"/>
        </w:rPr>
        <w:t>among</w:t>
      </w:r>
      <w:r w:rsidR="00CA7629">
        <w:rPr>
          <w:rFonts w:ascii="Times New Roman" w:hAnsi="Times New Roman" w:cs="Times New Roman"/>
          <w:sz w:val="24"/>
          <w:szCs w:val="24"/>
        </w:rPr>
        <w:t xml:space="preserve"> n</w:t>
      </w:r>
      <w:r w:rsidR="00CA7629" w:rsidRPr="006A6D66">
        <w:rPr>
          <w:rFonts w:ascii="Times New Roman" w:hAnsi="Times New Roman" w:cs="Times New Roman"/>
          <w:sz w:val="24"/>
          <w:szCs w:val="24"/>
        </w:rPr>
        <w:t>ewborns in LMICs</w:t>
      </w:r>
      <w:r w:rsidR="00CA7629" w:rsidRPr="006A6D66">
        <w:rPr>
          <w:rFonts w:ascii="Times New Roman" w:eastAsia="Times New Roman" w:hAnsi="Times New Roman" w:cs="Times New Roman"/>
          <w:sz w:val="24"/>
          <w:szCs w:val="24"/>
        </w:rPr>
        <w:t>, DHS 2015–2024</w:t>
      </w:r>
    </w:p>
    <w:tbl>
      <w:tblPr>
        <w:tblStyle w:val="ListTable6Colorful1"/>
        <w:tblW w:w="0" w:type="auto"/>
        <w:tblLook w:val="04A0" w:firstRow="1" w:lastRow="0" w:firstColumn="1" w:lastColumn="0" w:noHBand="0" w:noVBand="1"/>
      </w:tblPr>
      <w:tblGrid>
        <w:gridCol w:w="2628"/>
        <w:gridCol w:w="1890"/>
        <w:gridCol w:w="1350"/>
        <w:gridCol w:w="2790"/>
        <w:gridCol w:w="2498"/>
        <w:gridCol w:w="2020"/>
      </w:tblGrid>
      <w:tr w:rsidR="00CA7629" w:rsidRPr="009513C1" w:rsidTr="00A118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9513C1" w:rsidRDefault="00CA7629" w:rsidP="00A11813">
            <w:pPr>
              <w:spacing w:after="120"/>
              <w:jc w:val="both"/>
              <w:rPr>
                <w:rFonts w:ascii="Times New Roman" w:eastAsia="Times New Roman" w:hAnsi="Times New Roman" w:cs="Times New Roman"/>
                <w:b w:val="0"/>
                <w:bCs w:val="0"/>
              </w:rPr>
            </w:pPr>
            <w:r w:rsidRPr="009513C1">
              <w:rPr>
                <w:rFonts w:ascii="Times New Roman" w:eastAsia="Times New Roman" w:hAnsi="Times New Roman" w:cs="Times New Roman"/>
              </w:rPr>
              <w:t>Variables</w:t>
            </w:r>
          </w:p>
        </w:tc>
        <w:tc>
          <w:tcPr>
            <w:tcW w:w="1890" w:type="dxa"/>
            <w:hideMark/>
          </w:tcPr>
          <w:p w:rsidR="00CA7629" w:rsidRPr="009513C1" w:rsidRDefault="00CA7629" w:rsidP="00A11813">
            <w:pPr>
              <w:spacing w:after="12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9513C1">
              <w:rPr>
                <w:rFonts w:ascii="Times New Roman" w:eastAsia="Times New Roman" w:hAnsi="Times New Roman" w:cs="Times New Roman"/>
              </w:rPr>
              <w:t>Categories</w:t>
            </w:r>
          </w:p>
        </w:tc>
        <w:tc>
          <w:tcPr>
            <w:tcW w:w="1350" w:type="dxa"/>
          </w:tcPr>
          <w:p w:rsidR="00CA7629" w:rsidRPr="009513C1" w:rsidRDefault="00CA7629" w:rsidP="00A11813">
            <w:pPr>
              <w:spacing w:after="12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9513C1">
              <w:rPr>
                <w:rFonts w:ascii="Times New Roman" w:eastAsia="Times New Roman" w:hAnsi="Times New Roman" w:cs="Times New Roman"/>
              </w:rPr>
              <w:t>Null model</w:t>
            </w:r>
          </w:p>
        </w:tc>
        <w:tc>
          <w:tcPr>
            <w:tcW w:w="2790" w:type="dxa"/>
            <w:hideMark/>
          </w:tcPr>
          <w:p w:rsidR="00CA7629" w:rsidRPr="009513C1" w:rsidRDefault="00CA7629" w:rsidP="00A11813">
            <w:pPr>
              <w:spacing w:after="12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9513C1">
              <w:rPr>
                <w:rFonts w:ascii="Times New Roman" w:eastAsia="Times New Roman" w:hAnsi="Times New Roman" w:cs="Times New Roman"/>
              </w:rPr>
              <w:t>Model I AOR (95% CI)</w:t>
            </w:r>
          </w:p>
        </w:tc>
        <w:tc>
          <w:tcPr>
            <w:tcW w:w="2498" w:type="dxa"/>
            <w:hideMark/>
          </w:tcPr>
          <w:p w:rsidR="00CA7629" w:rsidRPr="009513C1" w:rsidRDefault="00CA7629" w:rsidP="00A11813">
            <w:pPr>
              <w:spacing w:after="12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9513C1">
              <w:rPr>
                <w:rFonts w:ascii="Times New Roman" w:eastAsia="Times New Roman" w:hAnsi="Times New Roman" w:cs="Times New Roman"/>
              </w:rPr>
              <w:t>Model II AOR (95% CI)</w:t>
            </w:r>
          </w:p>
        </w:tc>
        <w:tc>
          <w:tcPr>
            <w:tcW w:w="0" w:type="auto"/>
            <w:hideMark/>
          </w:tcPr>
          <w:p w:rsidR="00CA7629" w:rsidRPr="009513C1" w:rsidRDefault="00CA7629" w:rsidP="00A11813">
            <w:pPr>
              <w:spacing w:after="12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9513C1">
              <w:rPr>
                <w:rFonts w:ascii="Times New Roman" w:eastAsia="Times New Roman" w:hAnsi="Times New Roman" w:cs="Times New Roman"/>
              </w:rPr>
              <w:t>Model IV AOR (95% CI)</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Wealth index</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Poor</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Middle</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1.13 (1.10–1.17)*</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1.05 (1.02–1.09)*</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Rich</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1.19 (1.15–1.23)*</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1.05 (1.01–1.09)*</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Sex of household head</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Male</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Female</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0.99 (0.96–1.02)</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0.98 (0.95–1.01)</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Term pregnancy</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No</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Yes</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1.01 (0.98–1.05)</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1.00 (0.97–1.04)</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ANC visits</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1–3</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3.13 (2.99–3.27)*</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3.07 (2.93–3.21)*</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≥4</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4.54 (4.35–4.75)*</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4.34 (4.16–4.54)*</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Place of delivery</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Home</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Health facility</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9.45 (9.14–9.77)*</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9.19 (8.89–9.50)*</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Age of mother</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15–24</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25–34</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1.09 (1.05–1.12)*</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1.07 (1.04–1.10)*</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≥35</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1.10 (1.05–1.15)*</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1.08 (1.03–1.13)*</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Age at first birth</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≤18</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&gt;18</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1.20 (1.16–1.23)*</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1.18 (1.15–1.21)*</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Insurance coverage</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No</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Yes</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1.12 (1.08–1.16)*</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1.03 (0.99–1.06)</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Decision-making power</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t>Has no autonomy</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t>Has autonomy</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1.15 (1.13–1.18)*</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1.10 (1.07–1.13)*</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lastRenderedPageBreak/>
              <w:t>Cesarean delivery</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No</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Yes</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1.34 (1.29–1.39)*</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1.29 (1.24–1.34)*</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Women who received iron supplementation during pregnancy</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No</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Yes</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1.45 (1.41–1.50)*</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1.43 (1.38–1.48)*</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Birth interval</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≥24 months</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&lt;24 months</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1.05 (1.01–1.09)†</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1.05 (1.01–1.09)†</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Birth order</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2–3</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0.94 (0.91–0.97)*</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0.95 (0.92–0.98)*</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≥4</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0.78 (0.74–0.81)*</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0.81 (0.77–0.85)*</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Ovulatory knowledge</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No knowledge</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Incorrect timing</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1.24 (1.19–1.29)*</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1.22 (1.18–1.27)*</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Correct knowledge</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1.37 (1.31–1.43)*</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1.34 (1.28–1.40)*</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Contraceptive use/intention</w:t>
            </w: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No intention</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Current user</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1.37 (1.33–1.41)*</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1.33 (1.29–1.37)*</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Intends later</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1.14 (1.11–1.17)*</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1.13 (1.10–1.17)*</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Place of residence</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Rural</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Urban</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1.17 (1.12–1.22)*</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1.29 (1.25–1.33)*</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Distance barrier</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High</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Low</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1.60 (1.54–1.66)*</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1.26 (1.21–1.31)*</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t>Community media exposure</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Low</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37540A" w:rsidRDefault="00CA7629" w:rsidP="00A11813">
            <w:pPr>
              <w:spacing w:after="120"/>
              <w:jc w:val="both"/>
              <w:rPr>
                <w:rFonts w:ascii="Times New Roman" w:eastAsia="Times New Roman" w:hAnsi="Times New Roman" w:cs="Times New Roman"/>
                <w:b w:val="0"/>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High</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2.71 (2.60–2.83)*</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1.90 (1.82–1.98)*</w:t>
            </w:r>
          </w:p>
        </w:tc>
      </w:tr>
      <w:tr w:rsidR="00CA7629" w:rsidRPr="009513C1" w:rsidTr="00A11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shd w:val="clear" w:color="auto" w:fill="auto"/>
            <w:hideMark/>
          </w:tcPr>
          <w:p w:rsidR="00CA7629" w:rsidRPr="0037540A" w:rsidRDefault="00CA7629" w:rsidP="00A11813">
            <w:pPr>
              <w:spacing w:after="120"/>
              <w:jc w:val="both"/>
              <w:rPr>
                <w:rFonts w:ascii="Times New Roman" w:eastAsia="Times New Roman" w:hAnsi="Times New Roman" w:cs="Times New Roman"/>
                <w:b w:val="0"/>
              </w:rPr>
            </w:pPr>
            <w:r w:rsidRPr="0037540A">
              <w:rPr>
                <w:rFonts w:ascii="Times New Roman" w:eastAsia="Times New Roman" w:hAnsi="Times New Roman" w:cs="Times New Roman"/>
                <w:b w:val="0"/>
              </w:rPr>
              <w:lastRenderedPageBreak/>
              <w:t>Community education</w:t>
            </w:r>
          </w:p>
        </w:tc>
        <w:tc>
          <w:tcPr>
            <w:tcW w:w="18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Low</w:t>
            </w:r>
          </w:p>
        </w:tc>
        <w:tc>
          <w:tcPr>
            <w:tcW w:w="1350" w:type="dxa"/>
            <w:shd w:val="clear" w:color="auto" w:fill="auto"/>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c>
          <w:tcPr>
            <w:tcW w:w="0" w:type="auto"/>
            <w:shd w:val="clear" w:color="auto" w:fill="auto"/>
            <w:hideMark/>
          </w:tcPr>
          <w:p w:rsidR="00CA7629" w:rsidRPr="009513C1" w:rsidRDefault="00CA7629" w:rsidP="00A11813">
            <w:pPr>
              <w:spacing w:after="1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Ref</w:t>
            </w:r>
          </w:p>
        </w:tc>
      </w:tr>
      <w:tr w:rsidR="00CA7629" w:rsidRPr="009513C1" w:rsidTr="00A11813">
        <w:tc>
          <w:tcPr>
            <w:cnfStyle w:val="001000000000" w:firstRow="0" w:lastRow="0" w:firstColumn="1" w:lastColumn="0" w:oddVBand="0" w:evenVBand="0" w:oddHBand="0" w:evenHBand="0" w:firstRowFirstColumn="0" w:firstRowLastColumn="0" w:lastRowFirstColumn="0" w:lastRowLastColumn="0"/>
            <w:tcW w:w="2628" w:type="dxa"/>
            <w:hideMark/>
          </w:tcPr>
          <w:p w:rsidR="00CA7629" w:rsidRPr="009513C1" w:rsidRDefault="00CA7629" w:rsidP="00A11813">
            <w:pPr>
              <w:spacing w:after="120"/>
              <w:jc w:val="both"/>
              <w:rPr>
                <w:rFonts w:ascii="Times New Roman" w:eastAsia="Times New Roman" w:hAnsi="Times New Roman" w:cs="Times New Roman"/>
              </w:rPr>
            </w:pPr>
          </w:p>
        </w:tc>
        <w:tc>
          <w:tcPr>
            <w:tcW w:w="18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High</w:t>
            </w:r>
          </w:p>
        </w:tc>
        <w:tc>
          <w:tcPr>
            <w:tcW w:w="1350" w:type="dxa"/>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790"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w:t>
            </w:r>
          </w:p>
        </w:tc>
        <w:tc>
          <w:tcPr>
            <w:tcW w:w="2498" w:type="dxa"/>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1.65 (1.58–1.72)*</w:t>
            </w:r>
          </w:p>
        </w:tc>
        <w:tc>
          <w:tcPr>
            <w:tcW w:w="0" w:type="auto"/>
            <w:hideMark/>
          </w:tcPr>
          <w:p w:rsidR="00CA7629" w:rsidRPr="009513C1" w:rsidRDefault="00CA7629" w:rsidP="00A11813">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513C1">
              <w:rPr>
                <w:rFonts w:ascii="Times New Roman" w:eastAsia="Times New Roman" w:hAnsi="Times New Roman" w:cs="Times New Roman"/>
              </w:rPr>
              <w:t>1.09 (1.05–1.14)*</w:t>
            </w:r>
          </w:p>
        </w:tc>
      </w:tr>
    </w:tbl>
    <w:p w:rsidR="00CA7629" w:rsidRPr="007D42C6" w:rsidRDefault="00CA7629" w:rsidP="00CA7629">
      <w:pPr>
        <w:spacing w:before="100" w:beforeAutospacing="1" w:after="100" w:afterAutospacing="1" w:line="360" w:lineRule="auto"/>
        <w:jc w:val="both"/>
        <w:outlineLvl w:val="2"/>
        <w:rPr>
          <w:rFonts w:ascii="Times New Roman" w:eastAsia="Times New Roman" w:hAnsi="Times New Roman" w:cs="Times New Roman"/>
          <w:i/>
          <w:iCs/>
        </w:rPr>
      </w:pPr>
      <w:r w:rsidRPr="007D42C6">
        <w:rPr>
          <w:rFonts w:ascii="Times New Roman" w:eastAsia="Times New Roman" w:hAnsi="Times New Roman" w:cs="Times New Roman"/>
          <w:b/>
          <w:bCs/>
          <w:i/>
          <w:iCs/>
        </w:rPr>
        <w:t>Note:</w:t>
      </w:r>
      <w:r w:rsidRPr="007D42C6">
        <w:rPr>
          <w:rFonts w:ascii="Times New Roman" w:eastAsia="Times New Roman" w:hAnsi="Times New Roman" w:cs="Times New Roman"/>
          <w:i/>
          <w:iCs/>
        </w:rPr>
        <w:t xml:space="preserve"> The null model includes no covariates and estimates the baseline community-level variance. Model I includ</w:t>
      </w:r>
      <w:r>
        <w:rPr>
          <w:rFonts w:ascii="Times New Roman" w:eastAsia="Times New Roman" w:hAnsi="Times New Roman" w:cs="Times New Roman"/>
          <w:i/>
          <w:iCs/>
        </w:rPr>
        <w:t>es individual-level factors</w:t>
      </w:r>
      <w:r w:rsidRPr="007D42C6">
        <w:rPr>
          <w:rFonts w:ascii="Times New Roman" w:eastAsia="Times New Roman" w:hAnsi="Times New Roman" w:cs="Times New Roman"/>
          <w:i/>
          <w:iCs/>
        </w:rPr>
        <w:t>, including wealth index, sex of household head, term pregnancy, ANC visits, place of delivery, age of mother, age at first birth, insurance coverage, decision-making power, cesarean delivery, iron supplementation, birth interval, birth order, ovulatory knowledge, and contraceptive use/intention. Model II inclu</w:t>
      </w:r>
      <w:r>
        <w:rPr>
          <w:rFonts w:ascii="Times New Roman" w:eastAsia="Times New Roman" w:hAnsi="Times New Roman" w:cs="Times New Roman"/>
          <w:i/>
          <w:iCs/>
        </w:rPr>
        <w:t>des community-level factors</w:t>
      </w:r>
      <w:r w:rsidRPr="007D42C6">
        <w:rPr>
          <w:rFonts w:ascii="Times New Roman" w:eastAsia="Times New Roman" w:hAnsi="Times New Roman" w:cs="Times New Roman"/>
          <w:i/>
          <w:iCs/>
        </w:rPr>
        <w:t>, namely place of residence, distance barrier, community media exposure, and community education. Model IV (final model) incorporates both individual- and community-level covariates. AOR = adjusted odds ratio; CI = confidence interval; * = statistically significant at 99% CI; † = statistically significant at 95% CI.</w:t>
      </w:r>
    </w:p>
    <w:p w:rsidR="00CA7629" w:rsidRDefault="00CA7629" w:rsidP="00CA7629">
      <w:pPr>
        <w:sectPr w:rsidR="00CA7629" w:rsidSect="00CA7629">
          <w:pgSz w:w="15840" w:h="12240" w:orient="landscape"/>
          <w:pgMar w:top="1440" w:right="1440" w:bottom="1440" w:left="1440" w:header="720" w:footer="720" w:gutter="0"/>
          <w:cols w:space="720"/>
          <w:docGrid w:linePitch="360"/>
        </w:sectPr>
      </w:pPr>
    </w:p>
    <w:p w:rsidR="006564B8" w:rsidRPr="006564B8" w:rsidRDefault="00761334" w:rsidP="006564B8">
      <w:pPr>
        <w:pStyle w:val="Heading1"/>
        <w:spacing w:line="360" w:lineRule="auto"/>
        <w:rPr>
          <w:rFonts w:ascii="Times New Roman" w:eastAsia="Times New Roman" w:hAnsi="Times New Roman" w:cs="Times New Roman"/>
          <w:b w:val="0"/>
          <w:color w:val="000000" w:themeColor="text1"/>
          <w:sz w:val="24"/>
        </w:rPr>
      </w:pPr>
      <w:r w:rsidRPr="00761334">
        <w:rPr>
          <w:rFonts w:ascii="Times New Roman" w:hAnsi="Times New Roman" w:cs="Times New Roman"/>
          <w:color w:val="auto"/>
          <w:sz w:val="24"/>
          <w:szCs w:val="24"/>
        </w:rPr>
        <w:lastRenderedPageBreak/>
        <w:t>Supplementary file</w:t>
      </w:r>
      <w:r w:rsidR="00CA7629">
        <w:rPr>
          <w:rFonts w:ascii="Times New Roman" w:hAnsi="Times New Roman" w:cs="Times New Roman"/>
          <w:color w:val="000000" w:themeColor="text1"/>
          <w:sz w:val="24"/>
        </w:rPr>
        <w:t xml:space="preserve"> 8</w:t>
      </w:r>
      <w:r w:rsidR="006564B8" w:rsidRPr="006564B8">
        <w:rPr>
          <w:rFonts w:ascii="Times New Roman" w:hAnsi="Times New Roman" w:cs="Times New Roman"/>
          <w:color w:val="000000" w:themeColor="text1"/>
          <w:sz w:val="24"/>
        </w:rPr>
        <w:t xml:space="preserve">: </w:t>
      </w:r>
      <w:r w:rsidR="006564B8" w:rsidRPr="006564B8">
        <w:rPr>
          <w:rFonts w:ascii="Times New Roman" w:hAnsi="Times New Roman" w:cs="Times New Roman"/>
          <w:b w:val="0"/>
          <w:color w:val="000000" w:themeColor="text1"/>
          <w:sz w:val="24"/>
        </w:rPr>
        <w:t>Model performance for the determinants of postnatal care utilization among newborns in 46 low- and middle-income countries, DHS 2015-2024.</w:t>
      </w:r>
    </w:p>
    <w:tbl>
      <w:tblPr>
        <w:tblStyle w:val="LightShading"/>
        <w:tblW w:w="0" w:type="auto"/>
        <w:tblLook w:val="04A0" w:firstRow="1" w:lastRow="0" w:firstColumn="1" w:lastColumn="0" w:noHBand="0" w:noVBand="1"/>
      </w:tblPr>
      <w:tblGrid>
        <w:gridCol w:w="2334"/>
        <w:gridCol w:w="1456"/>
        <w:gridCol w:w="1938"/>
        <w:gridCol w:w="2151"/>
        <w:gridCol w:w="1697"/>
      </w:tblGrid>
      <w:tr w:rsidR="006564B8" w:rsidRPr="008F154C" w:rsidTr="007C38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jc w:val="center"/>
              <w:rPr>
                <w:rFonts w:ascii="Times New Roman" w:eastAsia="Times New Roman" w:hAnsi="Times New Roman" w:cs="Times New Roman"/>
                <w:bCs w:val="0"/>
                <w:sz w:val="24"/>
                <w:szCs w:val="24"/>
              </w:rPr>
            </w:pPr>
            <w:r w:rsidRPr="008F154C">
              <w:rPr>
                <w:rFonts w:ascii="Times New Roman" w:eastAsia="Times New Roman" w:hAnsi="Times New Roman" w:cs="Times New Roman"/>
                <w:sz w:val="24"/>
                <w:szCs w:val="24"/>
              </w:rPr>
              <w:t>Random effect result</w:t>
            </w:r>
          </w:p>
        </w:tc>
        <w:tc>
          <w:tcPr>
            <w:tcW w:w="0" w:type="auto"/>
            <w:shd w:val="clear" w:color="auto" w:fill="auto"/>
            <w:hideMark/>
          </w:tcPr>
          <w:p w:rsidR="006564B8" w:rsidRPr="008F154C" w:rsidRDefault="006564B8"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8F154C">
              <w:rPr>
                <w:rFonts w:ascii="Times New Roman" w:eastAsia="Times New Roman" w:hAnsi="Times New Roman" w:cs="Times New Roman"/>
                <w:sz w:val="24"/>
                <w:szCs w:val="24"/>
              </w:rPr>
              <w:t>Null model (I)</w:t>
            </w:r>
          </w:p>
        </w:tc>
        <w:tc>
          <w:tcPr>
            <w:tcW w:w="0" w:type="auto"/>
            <w:shd w:val="clear" w:color="auto" w:fill="auto"/>
            <w:hideMark/>
          </w:tcPr>
          <w:p w:rsidR="006564B8" w:rsidRPr="008F154C" w:rsidRDefault="006564B8"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8F154C">
              <w:rPr>
                <w:rFonts w:ascii="Times New Roman" w:eastAsia="Times New Roman" w:hAnsi="Times New Roman" w:cs="Times New Roman"/>
                <w:sz w:val="24"/>
                <w:szCs w:val="24"/>
              </w:rPr>
              <w:t>Individual (Model II)</w:t>
            </w:r>
          </w:p>
        </w:tc>
        <w:tc>
          <w:tcPr>
            <w:tcW w:w="0" w:type="auto"/>
            <w:shd w:val="clear" w:color="auto" w:fill="auto"/>
            <w:hideMark/>
          </w:tcPr>
          <w:p w:rsidR="006564B8" w:rsidRPr="008F154C" w:rsidRDefault="006564B8"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8F154C">
              <w:rPr>
                <w:rFonts w:ascii="Times New Roman" w:eastAsia="Times New Roman" w:hAnsi="Times New Roman" w:cs="Times New Roman"/>
                <w:sz w:val="24"/>
                <w:szCs w:val="24"/>
              </w:rPr>
              <w:t>Community (Model III)</w:t>
            </w:r>
          </w:p>
        </w:tc>
        <w:tc>
          <w:tcPr>
            <w:tcW w:w="0" w:type="auto"/>
            <w:shd w:val="clear" w:color="auto" w:fill="auto"/>
            <w:hideMark/>
          </w:tcPr>
          <w:p w:rsidR="006564B8" w:rsidRPr="008F154C" w:rsidRDefault="006564B8"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8F154C">
              <w:rPr>
                <w:rFonts w:ascii="Times New Roman" w:eastAsia="Times New Roman" w:hAnsi="Times New Roman" w:cs="Times New Roman"/>
                <w:sz w:val="24"/>
                <w:szCs w:val="24"/>
              </w:rPr>
              <w:t>Mixed (Model IV)</w:t>
            </w:r>
          </w:p>
        </w:tc>
      </w:tr>
      <w:tr w:rsidR="006564B8" w:rsidRPr="008F154C"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Community-level variance</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2.580</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1.591</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2.077</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1.539</w:t>
            </w:r>
          </w:p>
        </w:tc>
      </w:tr>
      <w:tr w:rsidR="006564B8" w:rsidRPr="008F154C"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ICC (%)</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43.9</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32.6</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38.7</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31.9</w:t>
            </w:r>
          </w:p>
        </w:tc>
      </w:tr>
      <w:tr w:rsidR="006564B8" w:rsidRPr="008F154C"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PCV (variance explained %)</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38.4</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19.4</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41.2</w:t>
            </w:r>
          </w:p>
        </w:tc>
      </w:tr>
      <w:tr w:rsidR="006564B8" w:rsidRPr="008F154C"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MOR</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4.62</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3.33</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3.96</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3.21</w:t>
            </w:r>
          </w:p>
        </w:tc>
      </w:tr>
      <w:tr w:rsidR="006564B8" w:rsidRPr="008F154C"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AIC</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277,359.5</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238,446.8</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271,633.8</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237,056.3</w:t>
            </w:r>
          </w:p>
        </w:tc>
      </w:tr>
      <w:tr w:rsidR="006564B8" w:rsidRPr="008F154C" w:rsidTr="007C38CD">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BIC</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277,380.4</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238,687.7</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271,696.6</w:t>
            </w:r>
          </w:p>
        </w:tc>
        <w:tc>
          <w:tcPr>
            <w:tcW w:w="0" w:type="auto"/>
            <w:shd w:val="clear" w:color="auto" w:fill="auto"/>
            <w:hideMark/>
          </w:tcPr>
          <w:p w:rsidR="006564B8" w:rsidRPr="008F154C" w:rsidRDefault="006564B8"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237,339.1</w:t>
            </w:r>
          </w:p>
        </w:tc>
      </w:tr>
      <w:tr w:rsidR="006564B8" w:rsidRPr="008F154C" w:rsidTr="007C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6564B8" w:rsidRPr="008F154C" w:rsidRDefault="006564B8" w:rsidP="004D3A8C">
            <w:pPr>
              <w:spacing w:line="360" w:lineRule="auto"/>
              <w:rPr>
                <w:rFonts w:ascii="Times New Roman" w:eastAsia="Times New Roman" w:hAnsi="Times New Roman" w:cs="Times New Roman"/>
                <w:b w:val="0"/>
                <w:sz w:val="24"/>
                <w:szCs w:val="24"/>
              </w:rPr>
            </w:pPr>
            <w:r w:rsidRPr="008F154C">
              <w:rPr>
                <w:rFonts w:ascii="Times New Roman" w:eastAsia="Times New Roman" w:hAnsi="Times New Roman" w:cs="Times New Roman"/>
                <w:b w:val="0"/>
                <w:sz w:val="24"/>
                <w:szCs w:val="24"/>
              </w:rPr>
              <w:t>Log-likelihood</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-138,677.8</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-119,200.4</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-135,810.9</w:t>
            </w:r>
          </w:p>
        </w:tc>
        <w:tc>
          <w:tcPr>
            <w:tcW w:w="0" w:type="auto"/>
            <w:shd w:val="clear" w:color="auto" w:fill="auto"/>
            <w:hideMark/>
          </w:tcPr>
          <w:p w:rsidR="006564B8" w:rsidRPr="008F154C" w:rsidRDefault="006564B8"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F154C">
              <w:rPr>
                <w:rFonts w:ascii="Times New Roman" w:eastAsia="Times New Roman" w:hAnsi="Times New Roman" w:cs="Times New Roman"/>
                <w:sz w:val="24"/>
                <w:szCs w:val="24"/>
              </w:rPr>
              <w:t>-118,501.2</w:t>
            </w:r>
          </w:p>
        </w:tc>
      </w:tr>
    </w:tbl>
    <w:p w:rsidR="006564B8" w:rsidRPr="00126C8F" w:rsidRDefault="006564B8" w:rsidP="006564B8">
      <w:pPr>
        <w:spacing w:after="120" w:line="360" w:lineRule="auto"/>
        <w:jc w:val="both"/>
        <w:rPr>
          <w:b/>
        </w:rPr>
      </w:pPr>
      <w:r w:rsidRPr="000D5C5C">
        <w:rPr>
          <w:rFonts w:ascii="Times New Roman" w:hAnsi="Times New Roman" w:cs="Times New Roman"/>
          <w:i/>
        </w:rPr>
        <w:t>Note: ICC = Intra-class Correlation Coefficient: MOR = Median Odds Ratio: PCV = Proportional Change in Variance</w:t>
      </w: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DB6E47" w:rsidRDefault="00DB6E47" w:rsidP="00DB6E47">
      <w:pPr>
        <w:pStyle w:val="NormalWeb"/>
        <w:spacing w:line="360" w:lineRule="auto"/>
        <w:jc w:val="both"/>
        <w:rPr>
          <w:b/>
        </w:rPr>
      </w:pPr>
    </w:p>
    <w:p w:rsidR="00BD1EA2" w:rsidRDefault="00BD1EA2" w:rsidP="00DB6E47">
      <w:pPr>
        <w:pStyle w:val="NormalWeb"/>
        <w:spacing w:line="360" w:lineRule="auto"/>
        <w:jc w:val="both"/>
      </w:pPr>
      <w:r w:rsidRPr="00BD1EA2">
        <w:rPr>
          <w:b/>
        </w:rPr>
        <w:lastRenderedPageBreak/>
        <w:t>Supplementary file</w:t>
      </w:r>
      <w:r>
        <w:rPr>
          <w:color w:val="000000" w:themeColor="text1"/>
        </w:rPr>
        <w:t xml:space="preserve"> </w:t>
      </w:r>
      <w:r>
        <w:t xml:space="preserve">9: </w:t>
      </w:r>
      <w:r w:rsidRPr="00BD1EA2">
        <w:t xml:space="preserve">Area under the ROC curve in accuracy measurement across the </w:t>
      </w:r>
      <w:r>
        <w:t>four</w:t>
      </w:r>
      <w:r w:rsidRPr="00BD1EA2">
        <w:t xml:space="preserve"> models</w:t>
      </w:r>
    </w:p>
    <w:p w:rsidR="00DB6E47" w:rsidRDefault="00DB6E47" w:rsidP="00DB6E47">
      <w:pPr>
        <w:pStyle w:val="NormalWeb"/>
        <w:spacing w:line="360" w:lineRule="auto"/>
        <w:jc w:val="both"/>
      </w:pPr>
      <w:r>
        <w:rPr>
          <w:noProof/>
        </w:rPr>
        <w:drawing>
          <wp:inline distT="0" distB="0" distL="0" distR="0">
            <wp:extent cx="5943600" cy="4218039"/>
            <wp:effectExtent l="0" t="0" r="0" b="0"/>
            <wp:docPr id="1" name="Picture 1" descr="E:\000outcome2\journallll\KEEPED LMICs(LANCET_PNC_SUMBITTED)\bmc pediatrics early PNC revision\ROC CURVE FI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000outcome2\journallll\KEEPED LMICs(LANCET_PNC_SUMBITTED)\bmc pediatrics early PNC revision\ROC CURVE FIG.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218039"/>
                    </a:xfrm>
                    <a:prstGeom prst="rect">
                      <a:avLst/>
                    </a:prstGeom>
                    <a:noFill/>
                    <a:ln>
                      <a:noFill/>
                    </a:ln>
                  </pic:spPr>
                </pic:pic>
              </a:graphicData>
            </a:graphic>
          </wp:inline>
        </w:drawing>
      </w:r>
    </w:p>
    <w:p w:rsidR="00BD1EA2" w:rsidRPr="00BD1EA2" w:rsidRDefault="00BD1EA2" w:rsidP="00BD1EA2">
      <w:pPr>
        <w:pStyle w:val="NormalWeb"/>
      </w:pPr>
    </w:p>
    <w:p w:rsidR="00890617" w:rsidRPr="00890617" w:rsidRDefault="00761334" w:rsidP="00AB3580">
      <w:pPr>
        <w:pStyle w:val="Heading1"/>
        <w:spacing w:before="0" w:after="120"/>
        <w:rPr>
          <w:rFonts w:ascii="Times New Roman" w:hAnsi="Times New Roman" w:cs="Times New Roman"/>
          <w:b w:val="0"/>
          <w:color w:val="000000" w:themeColor="text1"/>
          <w:sz w:val="24"/>
        </w:rPr>
      </w:pPr>
      <w:r w:rsidRPr="00761334">
        <w:rPr>
          <w:rFonts w:ascii="Times New Roman" w:hAnsi="Times New Roman" w:cs="Times New Roman"/>
          <w:color w:val="auto"/>
          <w:sz w:val="24"/>
          <w:szCs w:val="24"/>
        </w:rPr>
        <w:t>Supplementary file</w:t>
      </w:r>
      <w:r w:rsidR="00BD1EA2">
        <w:rPr>
          <w:rFonts w:ascii="Times New Roman" w:hAnsi="Times New Roman" w:cs="Times New Roman"/>
          <w:color w:val="000000" w:themeColor="text1"/>
          <w:sz w:val="24"/>
        </w:rPr>
        <w:t xml:space="preserve"> 10</w:t>
      </w:r>
      <w:r w:rsidR="00890617" w:rsidRPr="00890617">
        <w:rPr>
          <w:rFonts w:ascii="Times New Roman" w:hAnsi="Times New Roman" w:cs="Times New Roman"/>
          <w:color w:val="000000" w:themeColor="text1"/>
          <w:sz w:val="24"/>
        </w:rPr>
        <w:t xml:space="preserve">: </w:t>
      </w:r>
      <w:r w:rsidR="00890617" w:rsidRPr="00890617">
        <w:rPr>
          <w:rFonts w:ascii="Times New Roman" w:hAnsi="Times New Roman" w:cs="Times New Roman"/>
          <w:b w:val="0"/>
          <w:color w:val="000000" w:themeColor="text1"/>
          <w:sz w:val="24"/>
        </w:rPr>
        <w:t>Decomposition analysis</w:t>
      </w:r>
    </w:p>
    <w:p w:rsidR="007C38CD" w:rsidRPr="007C38CD" w:rsidRDefault="007C38CD" w:rsidP="00AB3580">
      <w:pPr>
        <w:spacing w:after="120" w:line="360" w:lineRule="auto"/>
        <w:jc w:val="both"/>
        <w:rPr>
          <w:rFonts w:ascii="Times New Roman" w:eastAsia="Times New Roman" w:hAnsi="Times New Roman" w:cs="Times New Roman"/>
          <w:sz w:val="24"/>
          <w:szCs w:val="24"/>
        </w:rPr>
      </w:pPr>
      <w:r w:rsidRPr="007C38CD">
        <w:rPr>
          <w:rFonts w:ascii="Times New Roman" w:eastAsia="Times New Roman" w:hAnsi="Times New Roman" w:cs="Times New Roman"/>
          <w:sz w:val="24"/>
          <w:szCs w:val="24"/>
        </w:rPr>
        <w:t xml:space="preserve">The decomposition analysis revealed significant urban–rural disparities in </w:t>
      </w:r>
      <w:r w:rsidRPr="007C38CD">
        <w:rPr>
          <w:rFonts w:ascii="Times New Roman" w:eastAsia="Times New Roman" w:hAnsi="Times New Roman" w:cs="Times New Roman"/>
          <w:bCs/>
          <w:sz w:val="24"/>
          <w:szCs w:val="24"/>
        </w:rPr>
        <w:t>early postnatal care (PNC) utilization among newborns</w:t>
      </w:r>
      <w:r w:rsidRPr="007C38CD">
        <w:rPr>
          <w:rFonts w:ascii="Times New Roman" w:eastAsia="Times New Roman" w:hAnsi="Times New Roman" w:cs="Times New Roman"/>
          <w:sz w:val="24"/>
          <w:szCs w:val="24"/>
        </w:rPr>
        <w:t xml:space="preserve"> in LMICs. Differences in characteristics (endowments, E) explained the majority of the gap, accounting for 97.28% of the disparity. Key contributors to higher early PNC utilization in urban areas included higher ANC attendance (1–3 visits: −0.023, −20%; ≥4 visits: 0.043, 36.9%), delivery in health facilities (0.039, 33.7%), greater maternal age at first birth (&gt;18 years: 0.004, 3.6%), increased maternal decision-making power (0.005, 4.0%), iron supplementation (0.004, 3.8%), lower distance barriers (0.007, 6.0%), and older maternal age (25–34 years: 0.002, 1.3%). Positive contributions reflect characteristics more prevalent in urban areas or associated with higher newborn PNC utilization, whereas negative contributions </w:t>
      </w:r>
      <w:r w:rsidRPr="007C38CD">
        <w:rPr>
          <w:rFonts w:ascii="Times New Roman" w:eastAsia="Times New Roman" w:hAnsi="Times New Roman" w:cs="Times New Roman"/>
          <w:sz w:val="24"/>
          <w:szCs w:val="24"/>
        </w:rPr>
        <w:lastRenderedPageBreak/>
        <w:t>(e.g., high community education: −0.005, −4.0%) indicate characteristics more common in rural settings or that reduce urban advantage.</w:t>
      </w:r>
    </w:p>
    <w:p w:rsidR="007C38CD" w:rsidRPr="007C38CD" w:rsidRDefault="007C38CD" w:rsidP="007C38CD">
      <w:pPr>
        <w:spacing w:before="100" w:beforeAutospacing="1" w:after="100" w:afterAutospacing="1" w:line="360" w:lineRule="auto"/>
        <w:jc w:val="both"/>
        <w:rPr>
          <w:rFonts w:ascii="Times New Roman" w:eastAsia="Times New Roman" w:hAnsi="Times New Roman" w:cs="Times New Roman"/>
          <w:sz w:val="24"/>
          <w:szCs w:val="24"/>
        </w:rPr>
      </w:pPr>
      <w:r w:rsidRPr="007C38CD">
        <w:rPr>
          <w:rFonts w:ascii="Times New Roman" w:eastAsia="Times New Roman" w:hAnsi="Times New Roman" w:cs="Times New Roman"/>
          <w:sz w:val="24"/>
          <w:szCs w:val="24"/>
        </w:rPr>
        <w:t xml:space="preserve">Differences in coefficients (C), reflecting disparities in how characteristics are associated with early PNC utilization, explained 2.72% of the gap. Negative coefficients were observed for community media exposure (−0.052, −44.8%), iron supplementation (−0.074, −63.3%), and ≥4 ANC visits (−0.010, −8.4%), suggesting that </w:t>
      </w:r>
      <w:r w:rsidRPr="007C38CD">
        <w:rPr>
          <w:rFonts w:ascii="Times New Roman" w:eastAsia="Times New Roman" w:hAnsi="Times New Roman" w:cs="Times New Roman"/>
          <w:bCs/>
          <w:sz w:val="24"/>
          <w:szCs w:val="24"/>
        </w:rPr>
        <w:t>newborns in rural areas with similar characteristics receive less early PNC than those in urban areas</w:t>
      </w:r>
      <w:r w:rsidRPr="007C38CD">
        <w:rPr>
          <w:rFonts w:ascii="Times New Roman" w:eastAsia="Times New Roman" w:hAnsi="Times New Roman" w:cs="Times New Roman"/>
          <w:sz w:val="24"/>
          <w:szCs w:val="24"/>
        </w:rPr>
        <w:t>. Positive coefficients, such as birth order (2–3: 0.002, 1.8%) and maternal age (25–34 years: 0.011, 9.3%), indicate factors that disproportionately favor urban newborns</w:t>
      </w:r>
      <w:r w:rsidR="00EF0379">
        <w:rPr>
          <w:rFonts w:ascii="Times New Roman" w:eastAsia="Times New Roman" w:hAnsi="Times New Roman" w:cs="Times New Roman"/>
          <w:sz w:val="24"/>
          <w:szCs w:val="24"/>
        </w:rPr>
        <w:t xml:space="preserve"> (</w:t>
      </w:r>
      <w:r w:rsidR="00EF0379" w:rsidRPr="00DF6410">
        <w:rPr>
          <w:rFonts w:ascii="Times New Roman" w:hAnsi="Times New Roman" w:cs="Times New Roman"/>
          <w:b/>
          <w:sz w:val="24"/>
        </w:rPr>
        <w:t xml:space="preserve">Table </w:t>
      </w:r>
      <w:r w:rsidR="00EF0379">
        <w:rPr>
          <w:rFonts w:ascii="Times New Roman" w:hAnsi="Times New Roman" w:cs="Times New Roman"/>
          <w:b/>
          <w:sz w:val="24"/>
        </w:rPr>
        <w:t>S</w:t>
      </w:r>
      <w:r w:rsidR="00EF0379">
        <w:rPr>
          <w:rFonts w:ascii="Times New Roman" w:hAnsi="Times New Roman" w:cs="Times New Roman"/>
          <w:b/>
          <w:sz w:val="24"/>
        </w:rPr>
        <w:t>1)</w:t>
      </w:r>
      <w:r w:rsidRPr="007C38CD">
        <w:rPr>
          <w:rFonts w:ascii="Times New Roman" w:eastAsia="Times New Roman" w:hAnsi="Times New Roman" w:cs="Times New Roman"/>
          <w:sz w:val="24"/>
          <w:szCs w:val="24"/>
        </w:rPr>
        <w:t>.</w:t>
      </w:r>
    </w:p>
    <w:p w:rsidR="007C38CD" w:rsidRPr="007C38CD" w:rsidRDefault="007C38CD" w:rsidP="007C38CD">
      <w:pPr>
        <w:spacing w:before="100" w:beforeAutospacing="1" w:after="100" w:afterAutospacing="1" w:line="360" w:lineRule="auto"/>
        <w:jc w:val="both"/>
        <w:rPr>
          <w:rFonts w:ascii="Times New Roman" w:eastAsia="Times New Roman" w:hAnsi="Times New Roman" w:cs="Times New Roman"/>
          <w:sz w:val="24"/>
          <w:szCs w:val="24"/>
        </w:rPr>
      </w:pPr>
      <w:r w:rsidRPr="007C38CD">
        <w:rPr>
          <w:rFonts w:ascii="Times New Roman" w:eastAsia="Times New Roman" w:hAnsi="Times New Roman" w:cs="Times New Roman"/>
          <w:sz w:val="24"/>
          <w:szCs w:val="24"/>
        </w:rPr>
        <w:t xml:space="preserve">Overall, these findings suggest that urban–rural disparities in </w:t>
      </w:r>
      <w:r w:rsidRPr="007C38CD">
        <w:rPr>
          <w:rFonts w:ascii="Times New Roman" w:eastAsia="Times New Roman" w:hAnsi="Times New Roman" w:cs="Times New Roman"/>
          <w:bCs/>
          <w:sz w:val="24"/>
          <w:szCs w:val="24"/>
        </w:rPr>
        <w:t>early postnatal care for newborns</w:t>
      </w:r>
      <w:r w:rsidRPr="007C38CD">
        <w:rPr>
          <w:rFonts w:ascii="Times New Roman" w:eastAsia="Times New Roman" w:hAnsi="Times New Roman" w:cs="Times New Roman"/>
          <w:sz w:val="24"/>
          <w:szCs w:val="24"/>
        </w:rPr>
        <w:t xml:space="preserve"> are largely driven by unequal distribution of key maternal and community-level characteristics, as well as differences in how these characteristics are associated with care utilization. Policies or programs aimed at improving access to ANC, facility-based delivery, maternal empowerment, and health education in rural areas </w:t>
      </w:r>
      <w:r w:rsidRPr="007C38CD">
        <w:rPr>
          <w:rFonts w:ascii="Times New Roman" w:eastAsia="Times New Roman" w:hAnsi="Times New Roman" w:cs="Times New Roman"/>
          <w:bCs/>
          <w:sz w:val="24"/>
          <w:szCs w:val="24"/>
        </w:rPr>
        <w:t>may help reduce these disparities</w:t>
      </w:r>
      <w:r w:rsidRPr="007C38CD">
        <w:rPr>
          <w:rFonts w:ascii="Times New Roman" w:eastAsia="Times New Roman" w:hAnsi="Times New Roman" w:cs="Times New Roman"/>
          <w:sz w:val="24"/>
          <w:szCs w:val="24"/>
        </w:rPr>
        <w:t>.</w:t>
      </w:r>
    </w:p>
    <w:p w:rsidR="007C38CD" w:rsidRDefault="007C38CD" w:rsidP="007C38CD">
      <w:pPr>
        <w:rPr>
          <w:rFonts w:ascii="Times New Roman" w:eastAsia="Times New Roman" w:hAnsi="Times New Roman" w:cs="Times New Roman"/>
          <w:sz w:val="24"/>
          <w:szCs w:val="24"/>
        </w:rPr>
      </w:pPr>
    </w:p>
    <w:p w:rsidR="007C38CD" w:rsidRDefault="007C38CD" w:rsidP="007C38CD">
      <w:pPr>
        <w:rPr>
          <w:rFonts w:ascii="Times New Roman" w:eastAsia="Times New Roman" w:hAnsi="Times New Roman" w:cs="Times New Roman"/>
          <w:sz w:val="24"/>
          <w:szCs w:val="24"/>
        </w:rPr>
      </w:pPr>
    </w:p>
    <w:p w:rsidR="00890617" w:rsidRPr="007C38CD" w:rsidRDefault="00890617" w:rsidP="007C38CD">
      <w:pPr>
        <w:rPr>
          <w:rFonts w:ascii="Times New Roman" w:eastAsia="Times New Roman" w:hAnsi="Times New Roman" w:cs="Times New Roman"/>
          <w:sz w:val="24"/>
          <w:szCs w:val="24"/>
        </w:rPr>
        <w:sectPr w:rsidR="00890617" w:rsidRPr="007C38CD">
          <w:pgSz w:w="12240" w:h="15840"/>
          <w:pgMar w:top="1440" w:right="1440" w:bottom="1440" w:left="1440" w:header="720" w:footer="720" w:gutter="0"/>
          <w:cols w:space="720"/>
          <w:docGrid w:linePitch="360"/>
        </w:sectPr>
      </w:pPr>
    </w:p>
    <w:p w:rsidR="00890617" w:rsidRPr="0025725B" w:rsidRDefault="00890617" w:rsidP="00890617">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5725B">
        <w:rPr>
          <w:rFonts w:ascii="Times New Roman" w:hAnsi="Times New Roman" w:cs="Times New Roman"/>
          <w:b/>
          <w:sz w:val="28"/>
        </w:rPr>
        <w:lastRenderedPageBreak/>
        <w:t xml:space="preserve">Table </w:t>
      </w:r>
      <w:r w:rsidR="005043F6">
        <w:rPr>
          <w:rFonts w:ascii="Times New Roman" w:hAnsi="Times New Roman" w:cs="Times New Roman"/>
          <w:b/>
          <w:sz w:val="28"/>
        </w:rPr>
        <w:t>S</w:t>
      </w:r>
      <w:r w:rsidRPr="0025725B">
        <w:rPr>
          <w:rFonts w:ascii="Times New Roman" w:hAnsi="Times New Roman" w:cs="Times New Roman"/>
          <w:b/>
          <w:sz w:val="28"/>
        </w:rPr>
        <w:t>1:</w:t>
      </w:r>
      <w:r w:rsidRPr="0025725B">
        <w:rPr>
          <w:rFonts w:ascii="Times New Roman" w:hAnsi="Times New Roman" w:cs="Times New Roman"/>
          <w:i/>
          <w:sz w:val="28"/>
        </w:rPr>
        <w:t xml:space="preserve"> </w:t>
      </w:r>
      <w:r w:rsidRPr="0025725B">
        <w:rPr>
          <w:rFonts w:ascii="Times New Roman" w:eastAsia="Times New Roman" w:hAnsi="Times New Roman" w:cs="Times New Roman"/>
          <w:bCs/>
          <w:sz w:val="24"/>
          <w:szCs w:val="24"/>
        </w:rPr>
        <w:t xml:space="preserve">Urban–Rural Disparities in Postnatal Care Utilization among </w:t>
      </w:r>
      <w:r>
        <w:rPr>
          <w:rFonts w:ascii="Times New Roman" w:eastAsia="Times New Roman" w:hAnsi="Times New Roman" w:cs="Times New Roman"/>
          <w:bCs/>
          <w:sz w:val="24"/>
          <w:szCs w:val="24"/>
        </w:rPr>
        <w:t>newborns</w:t>
      </w:r>
      <w:r w:rsidRPr="0025725B">
        <w:rPr>
          <w:rFonts w:ascii="Times New Roman" w:eastAsia="Times New Roman" w:hAnsi="Times New Roman" w:cs="Times New Roman"/>
          <w:bCs/>
          <w:sz w:val="24"/>
          <w:szCs w:val="24"/>
        </w:rPr>
        <w:t xml:space="preserve"> in LMICs, DHS 2015-2024</w:t>
      </w:r>
    </w:p>
    <w:tbl>
      <w:tblPr>
        <w:tblStyle w:val="LightShading"/>
        <w:tblW w:w="0" w:type="auto"/>
        <w:tblLayout w:type="fixed"/>
        <w:tblLook w:val="04A0" w:firstRow="1" w:lastRow="0" w:firstColumn="1" w:lastColumn="0" w:noHBand="0" w:noVBand="1"/>
      </w:tblPr>
      <w:tblGrid>
        <w:gridCol w:w="1818"/>
        <w:gridCol w:w="1350"/>
        <w:gridCol w:w="3330"/>
        <w:gridCol w:w="900"/>
        <w:gridCol w:w="900"/>
        <w:gridCol w:w="3240"/>
        <w:gridCol w:w="802"/>
        <w:gridCol w:w="836"/>
      </w:tblGrid>
      <w:tr w:rsidR="00890617" w:rsidRPr="004D3A8C" w:rsidTr="004D3A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jc w:val="center"/>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Variables</w:t>
            </w:r>
          </w:p>
        </w:tc>
        <w:tc>
          <w:tcPr>
            <w:tcW w:w="1350"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Categories</w:t>
            </w:r>
          </w:p>
        </w:tc>
        <w:tc>
          <w:tcPr>
            <w:tcW w:w="3330"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Difference due to Endowments (E) Coefficient (95% CI)</w:t>
            </w:r>
          </w:p>
        </w:tc>
        <w:tc>
          <w:tcPr>
            <w:tcW w:w="900"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Pct.</w:t>
            </w:r>
          </w:p>
        </w:tc>
        <w:tc>
          <w:tcPr>
            <w:tcW w:w="900"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P-value</w:t>
            </w:r>
          </w:p>
        </w:tc>
        <w:tc>
          <w:tcPr>
            <w:tcW w:w="3240"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Difference due to Coefficients (C) Coefficient (95% CI)</w:t>
            </w:r>
          </w:p>
        </w:tc>
        <w:tc>
          <w:tcPr>
            <w:tcW w:w="802"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Pct.</w:t>
            </w:r>
          </w:p>
        </w:tc>
        <w:tc>
          <w:tcPr>
            <w:tcW w:w="836" w:type="dxa"/>
            <w:shd w:val="clear" w:color="auto" w:fill="auto"/>
            <w:hideMark/>
          </w:tcPr>
          <w:p w:rsidR="00890617" w:rsidRPr="004D3A8C" w:rsidRDefault="00890617" w:rsidP="004D3A8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4D3A8C">
              <w:rPr>
                <w:rFonts w:ascii="Times New Roman" w:eastAsia="Times New Roman" w:hAnsi="Times New Roman" w:cs="Times New Roman"/>
                <w:bCs w:val="0"/>
                <w:sz w:val="24"/>
                <w:szCs w:val="24"/>
              </w:rPr>
              <w:t>P-value</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Wealth index</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Poor</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Middle</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−0.00006 (−0.00055, 0.00043)</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−0.05</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0.807</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0.01026 (−0.02468, 0.04519)</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8.79</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0.565</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Rich</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−0.00183 (−0.00646, 0.00281)</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−1.57</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0.440</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0.01128 (−0.02709, 0.04965)</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9.67</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0.564</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ANC visits</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No ANC</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1–3 visits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−0.02332 (−0.02489, −0.02174)</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−19.99</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0.00238 (−0.01324, 0.01801)</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2.04</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0.765</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≥4 visits</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0.04298 (0.04099, 0.04497)</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36.85</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−0.00983 (−0.04578, 0.02611)</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−8.43</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0.592</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Place of delivery</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Home</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bookmarkStart w:id="0" w:name="_GoBack"/>
            <w:bookmarkEnd w:id="0"/>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Health facility</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0.03936 (0.03811, 0.04061)</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33.74</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−0.18427 (−0.76052, 0.39198)</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−157.97</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0.531</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Age of respondent</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15-24 years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25–34 years</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0.00154 (0.00091, 0.00218)</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1.32</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0.01088 (−0.02564, 0.04740)</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9.33</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0.559</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≥35 years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0.00028 (0.00010, 0.00047)</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0.24</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0.00573 (−0.01323, 0.02469)</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4.91</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0.554</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Age at first birth</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≤18 years</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&gt;18 years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0.00419 (0.00348, 0.00491)</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3.59</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0.01277 (−0.02945, 0.05499)</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10.95</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0.553</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lastRenderedPageBreak/>
              <w:t>Decision-making power</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Has problem</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No problem</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0.00472 (0.00384, 0.00560)</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4.04</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0.00618 (−0.01609, 0.02845)</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5.30</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0.587</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Cesarean delivery</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No</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Yes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0.00372 (0.00281, 0.00462)</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3.19</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−0.00903 (−0.03774, 0.01968)</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−7.74</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0.538</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Iron supplementation</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No</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Yes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0.00437 (0.00356, 0.00518)</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3.75</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−0.07387 (−0.30553, 0.15779)</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−63.33</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0.532</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Birth interval</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≥24 months</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&lt;24 months</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−0.00007 (−0.00032, 0.00017)</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−0.06</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0.545</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−0.00346 (−0.01513, 0.00821)</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−2.96</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0.561</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Birth order</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4+</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−0.00016 (−0.00049, 0.00017)</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−0.14</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0.341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0.01022 (−0.02399, 0.04442)</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8.76</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0.558</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2–3</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0.00377 (0.00287, 0.00467)</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3.23</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0.00212 (−0.01126, 0.01549)</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1.81</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0.757</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Ovulatory cycle knowledge</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No knowledge</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Incorrect timing</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−0.00390 (−0.00461, −0.00319)</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−3.34</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0.03248 (−0.07037, 0.13533)</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27.84</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0.536</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Correct knowledge</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0.00588 (0.00504, 0.00672)</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5.04</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0.02247 (−0.04816, 0.09309)</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19.26</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0.533</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Contraceptive intention/use</w:t>
            </w: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No intention</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Current user</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0.00341 (0.00287, 0.00394)</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2.92</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−0.00386 (−0.01956, 0.01183)</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−3.31</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0.629</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Intends later</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0.00002 (−0.00003, 0.00006)</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0.480</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−0.00292 (−0.01375, 0.00792)</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−2.50</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0.597</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Distance barrier</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High barrier</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Low barrier</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0.00700 (0.00507, 0.00893)</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6.00</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0.00160 (−0.01105, 0.01426)</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1.38</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0.804</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Community media exposure</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Low</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High</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0.02622 (0.02342, 0.02903)</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22.48</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−0.05230 (−0.21458, 0.10998)</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−44.83</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0.528</w:t>
            </w:r>
          </w:p>
        </w:tc>
      </w:tr>
      <w:tr w:rsidR="004D3A8C" w:rsidRPr="004D3A8C" w:rsidTr="004D3A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r w:rsidRPr="004D3A8C">
              <w:rPr>
                <w:rFonts w:ascii="Times New Roman" w:eastAsia="Times New Roman" w:hAnsi="Times New Roman" w:cs="Times New Roman"/>
                <w:b w:val="0"/>
                <w:bCs w:val="0"/>
                <w:sz w:val="24"/>
                <w:szCs w:val="24"/>
              </w:rPr>
              <w:t>Community education</w:t>
            </w:r>
          </w:p>
        </w:tc>
        <w:tc>
          <w:tcPr>
            <w:tcW w:w="135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Low</w:t>
            </w:r>
          </w:p>
        </w:tc>
        <w:tc>
          <w:tcPr>
            <w:tcW w:w="333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90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3240"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Ref</w:t>
            </w:r>
          </w:p>
        </w:tc>
        <w:tc>
          <w:tcPr>
            <w:tcW w:w="802"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c>
          <w:tcPr>
            <w:tcW w:w="836" w:type="dxa"/>
            <w:shd w:val="clear" w:color="auto" w:fill="auto"/>
            <w:hideMark/>
          </w:tcPr>
          <w:p w:rsidR="00890617" w:rsidRPr="004D3A8C" w:rsidRDefault="00890617" w:rsidP="004D3A8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w:t>
            </w:r>
          </w:p>
        </w:tc>
      </w:tr>
      <w:tr w:rsidR="00890617" w:rsidRPr="004D3A8C" w:rsidTr="004D3A8C">
        <w:tc>
          <w:tcPr>
            <w:cnfStyle w:val="001000000000" w:firstRow="0" w:lastRow="0" w:firstColumn="1" w:lastColumn="0" w:oddVBand="0" w:evenVBand="0" w:oddHBand="0" w:evenHBand="0" w:firstRowFirstColumn="0" w:firstRowLastColumn="0" w:lastRowFirstColumn="0" w:lastRowLastColumn="0"/>
            <w:tcW w:w="1818" w:type="dxa"/>
            <w:shd w:val="clear" w:color="auto" w:fill="auto"/>
            <w:hideMark/>
          </w:tcPr>
          <w:p w:rsidR="00890617" w:rsidRPr="004D3A8C" w:rsidRDefault="00890617" w:rsidP="004D3A8C">
            <w:pPr>
              <w:spacing w:line="360" w:lineRule="auto"/>
              <w:rPr>
                <w:rFonts w:ascii="Times New Roman" w:eastAsia="Times New Roman" w:hAnsi="Times New Roman" w:cs="Times New Roman"/>
                <w:b w:val="0"/>
                <w:sz w:val="24"/>
                <w:szCs w:val="24"/>
              </w:rPr>
            </w:pPr>
          </w:p>
        </w:tc>
        <w:tc>
          <w:tcPr>
            <w:tcW w:w="135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High</w:t>
            </w:r>
          </w:p>
        </w:tc>
        <w:tc>
          <w:tcPr>
            <w:tcW w:w="333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−0.00464 (−0.00634, −0.00294)</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−3.98</w:t>
            </w:r>
          </w:p>
        </w:tc>
        <w:tc>
          <w:tcPr>
            <w:tcW w:w="90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&lt;0.001</w:t>
            </w:r>
          </w:p>
        </w:tc>
        <w:tc>
          <w:tcPr>
            <w:tcW w:w="3240"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−0.01626 (−0.06793, 0.03540)</w:t>
            </w:r>
          </w:p>
        </w:tc>
        <w:tc>
          <w:tcPr>
            <w:tcW w:w="802"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−13.94</w:t>
            </w:r>
          </w:p>
        </w:tc>
        <w:tc>
          <w:tcPr>
            <w:tcW w:w="836" w:type="dxa"/>
            <w:shd w:val="clear" w:color="auto" w:fill="auto"/>
            <w:hideMark/>
          </w:tcPr>
          <w:p w:rsidR="00890617" w:rsidRPr="004D3A8C" w:rsidRDefault="00890617" w:rsidP="004D3A8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D3A8C">
              <w:rPr>
                <w:rFonts w:ascii="Times New Roman" w:eastAsia="Times New Roman" w:hAnsi="Times New Roman" w:cs="Times New Roman"/>
                <w:sz w:val="24"/>
                <w:szCs w:val="24"/>
              </w:rPr>
              <w:t>0.537</w:t>
            </w:r>
          </w:p>
        </w:tc>
      </w:tr>
    </w:tbl>
    <w:p w:rsidR="00890617" w:rsidRDefault="00890617" w:rsidP="00890617">
      <w:pPr>
        <w:spacing w:after="120" w:line="360" w:lineRule="auto"/>
        <w:jc w:val="both"/>
        <w:rPr>
          <w:rFonts w:ascii="Times New Roman" w:hAnsi="Times New Roman" w:cs="Times New Roman"/>
          <w:i/>
          <w:sz w:val="24"/>
        </w:rPr>
        <w:sectPr w:rsidR="00890617" w:rsidSect="007C38CD">
          <w:pgSz w:w="15840" w:h="12240" w:orient="landscape"/>
          <w:pgMar w:top="1440" w:right="1440" w:bottom="1440" w:left="1440" w:header="720" w:footer="720" w:gutter="0"/>
          <w:cols w:space="720"/>
          <w:docGrid w:linePitch="360"/>
        </w:sectPr>
      </w:pPr>
    </w:p>
    <w:p w:rsidR="00A512EF" w:rsidRPr="00D95BAB" w:rsidRDefault="00A512EF" w:rsidP="003E6349">
      <w:pPr>
        <w:spacing w:line="360" w:lineRule="auto"/>
        <w:rPr>
          <w:rFonts w:ascii="Times New Roman" w:hAnsi="Times New Roman" w:cs="Times New Roman"/>
          <w:color w:val="000000" w:themeColor="text1"/>
          <w:sz w:val="24"/>
        </w:rPr>
      </w:pPr>
    </w:p>
    <w:sectPr w:rsidR="00A512EF" w:rsidRPr="00D95B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449B"/>
      </v:shape>
    </w:pict>
  </w:numPicBullet>
  <w:abstractNum w:abstractNumId="0">
    <w:nsid w:val="08461CEF"/>
    <w:multiLevelType w:val="hybridMultilevel"/>
    <w:tmpl w:val="4B34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681732"/>
    <w:multiLevelType w:val="hybridMultilevel"/>
    <w:tmpl w:val="DF6C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F76498"/>
    <w:multiLevelType w:val="multilevel"/>
    <w:tmpl w:val="E696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4C54E1"/>
    <w:multiLevelType w:val="multilevel"/>
    <w:tmpl w:val="117E7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577A3E"/>
    <w:multiLevelType w:val="multilevel"/>
    <w:tmpl w:val="CD8E5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CAB0984"/>
    <w:multiLevelType w:val="multilevel"/>
    <w:tmpl w:val="6ED8C7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ECE40A7"/>
    <w:multiLevelType w:val="multilevel"/>
    <w:tmpl w:val="2272E4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B9776E"/>
    <w:multiLevelType w:val="multilevel"/>
    <w:tmpl w:val="2480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1AC45AA"/>
    <w:multiLevelType w:val="hybridMultilevel"/>
    <w:tmpl w:val="BD60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B22DCA"/>
    <w:multiLevelType w:val="hybridMultilevel"/>
    <w:tmpl w:val="D87479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F50669"/>
    <w:multiLevelType w:val="multilevel"/>
    <w:tmpl w:val="1D3CC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EA7524"/>
    <w:multiLevelType w:val="multilevel"/>
    <w:tmpl w:val="8B8AC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4"/>
  </w:num>
  <w:num w:numId="4">
    <w:abstractNumId w:val="6"/>
  </w:num>
  <w:num w:numId="5">
    <w:abstractNumId w:val="5"/>
  </w:num>
  <w:num w:numId="6">
    <w:abstractNumId w:val="1"/>
  </w:num>
  <w:num w:numId="7">
    <w:abstractNumId w:val="0"/>
  </w:num>
  <w:num w:numId="8">
    <w:abstractNumId w:val="10"/>
  </w:num>
  <w:num w:numId="9">
    <w:abstractNumId w:val="8"/>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E13"/>
    <w:rsid w:val="0014341E"/>
    <w:rsid w:val="001E4FA9"/>
    <w:rsid w:val="001F0FAC"/>
    <w:rsid w:val="00230C34"/>
    <w:rsid w:val="002C14FB"/>
    <w:rsid w:val="0037708D"/>
    <w:rsid w:val="003D7FAF"/>
    <w:rsid w:val="003E6349"/>
    <w:rsid w:val="00406196"/>
    <w:rsid w:val="004D1581"/>
    <w:rsid w:val="004D3A8C"/>
    <w:rsid w:val="004E74BB"/>
    <w:rsid w:val="005043F6"/>
    <w:rsid w:val="005145D7"/>
    <w:rsid w:val="00525508"/>
    <w:rsid w:val="00545BAD"/>
    <w:rsid w:val="00551294"/>
    <w:rsid w:val="005C15FC"/>
    <w:rsid w:val="0062107B"/>
    <w:rsid w:val="0064707B"/>
    <w:rsid w:val="006564B8"/>
    <w:rsid w:val="006B7B7D"/>
    <w:rsid w:val="006D03C2"/>
    <w:rsid w:val="00705D13"/>
    <w:rsid w:val="0071069B"/>
    <w:rsid w:val="00761334"/>
    <w:rsid w:val="0076619C"/>
    <w:rsid w:val="007C38CD"/>
    <w:rsid w:val="00866E06"/>
    <w:rsid w:val="00890617"/>
    <w:rsid w:val="008B22FA"/>
    <w:rsid w:val="00933BE3"/>
    <w:rsid w:val="00942A87"/>
    <w:rsid w:val="00957EE0"/>
    <w:rsid w:val="00A11813"/>
    <w:rsid w:val="00A512EF"/>
    <w:rsid w:val="00A9406C"/>
    <w:rsid w:val="00AA02D6"/>
    <w:rsid w:val="00AB3580"/>
    <w:rsid w:val="00B047C1"/>
    <w:rsid w:val="00B64D64"/>
    <w:rsid w:val="00B77AD3"/>
    <w:rsid w:val="00B868DD"/>
    <w:rsid w:val="00BB3E13"/>
    <w:rsid w:val="00BC1162"/>
    <w:rsid w:val="00BD19A4"/>
    <w:rsid w:val="00BD1EA2"/>
    <w:rsid w:val="00BD3F6C"/>
    <w:rsid w:val="00C11333"/>
    <w:rsid w:val="00CA7629"/>
    <w:rsid w:val="00CB6A99"/>
    <w:rsid w:val="00D059A1"/>
    <w:rsid w:val="00D17823"/>
    <w:rsid w:val="00D2203A"/>
    <w:rsid w:val="00D81E05"/>
    <w:rsid w:val="00D95BAB"/>
    <w:rsid w:val="00DB6E47"/>
    <w:rsid w:val="00DD325D"/>
    <w:rsid w:val="00E517DF"/>
    <w:rsid w:val="00E618C5"/>
    <w:rsid w:val="00EB2E14"/>
    <w:rsid w:val="00EB3036"/>
    <w:rsid w:val="00EF0379"/>
    <w:rsid w:val="00F75E18"/>
    <w:rsid w:val="00FF0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7C1"/>
  </w:style>
  <w:style w:type="paragraph" w:styleId="Heading1">
    <w:name w:val="heading 1"/>
    <w:basedOn w:val="Normal"/>
    <w:next w:val="Normal"/>
    <w:link w:val="Heading1Char"/>
    <w:uiPriority w:val="9"/>
    <w:qFormat/>
    <w:rsid w:val="00B047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68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D32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7C1"/>
    <w:rPr>
      <w:rFonts w:asciiTheme="majorHAnsi" w:eastAsiaTheme="majorEastAsia" w:hAnsiTheme="majorHAnsi" w:cstheme="majorBidi"/>
      <w:b/>
      <w:bCs/>
      <w:color w:val="365F91" w:themeColor="accent1" w:themeShade="BF"/>
      <w:sz w:val="28"/>
      <w:szCs w:val="28"/>
    </w:rPr>
  </w:style>
  <w:style w:type="table" w:styleId="LightShading">
    <w:name w:val="Light Shading"/>
    <w:basedOn w:val="TableNormal"/>
    <w:uiPriority w:val="60"/>
    <w:rsid w:val="00B64D6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EB3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036"/>
    <w:rPr>
      <w:rFonts w:ascii="Tahoma" w:hAnsi="Tahoma" w:cs="Tahoma"/>
      <w:sz w:val="16"/>
      <w:szCs w:val="16"/>
    </w:rPr>
  </w:style>
  <w:style w:type="character" w:styleId="Strong">
    <w:name w:val="Strong"/>
    <w:basedOn w:val="DefaultParagraphFont"/>
    <w:uiPriority w:val="22"/>
    <w:qFormat/>
    <w:rsid w:val="00D95BAB"/>
    <w:rPr>
      <w:b/>
      <w:bCs/>
    </w:rPr>
  </w:style>
  <w:style w:type="paragraph" w:styleId="NormalWeb">
    <w:name w:val="Normal (Web)"/>
    <w:basedOn w:val="Normal"/>
    <w:link w:val="NormalWebChar"/>
    <w:uiPriority w:val="99"/>
    <w:unhideWhenUsed/>
    <w:rsid w:val="003770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locked/>
    <w:rsid w:val="0037708D"/>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37708D"/>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semiHidden/>
    <w:rsid w:val="00DD325D"/>
    <w:rPr>
      <w:rFonts w:asciiTheme="majorHAnsi" w:eastAsiaTheme="majorEastAsia" w:hAnsiTheme="majorHAnsi" w:cstheme="majorBidi"/>
      <w:b/>
      <w:bCs/>
      <w:color w:val="4F81BD" w:themeColor="accent1"/>
    </w:rPr>
  </w:style>
  <w:style w:type="paragraph" w:styleId="HTMLPreformatted">
    <w:name w:val="HTML Preformatted"/>
    <w:basedOn w:val="Normal"/>
    <w:link w:val="HTMLPreformattedChar"/>
    <w:uiPriority w:val="99"/>
    <w:semiHidden/>
    <w:unhideWhenUsed/>
    <w:rsid w:val="00621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2107B"/>
    <w:rPr>
      <w:rFonts w:ascii="Courier New" w:eastAsia="Times New Roman" w:hAnsi="Courier New" w:cs="Courier New"/>
      <w:sz w:val="20"/>
      <w:szCs w:val="20"/>
    </w:rPr>
  </w:style>
  <w:style w:type="table" w:styleId="TableGrid">
    <w:name w:val="Table Grid"/>
    <w:basedOn w:val="TableNormal"/>
    <w:uiPriority w:val="59"/>
    <w:rsid w:val="006D03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F0AED"/>
    <w:pPr>
      <w:ind w:left="720"/>
      <w:contextualSpacing/>
    </w:pPr>
  </w:style>
  <w:style w:type="character" w:styleId="Emphasis">
    <w:name w:val="Emphasis"/>
    <w:basedOn w:val="DefaultParagraphFont"/>
    <w:uiPriority w:val="20"/>
    <w:qFormat/>
    <w:rsid w:val="006B7B7D"/>
    <w:rPr>
      <w:i/>
      <w:iCs/>
    </w:rPr>
  </w:style>
  <w:style w:type="character" w:customStyle="1" w:styleId="Heading2Char">
    <w:name w:val="Heading 2 Char"/>
    <w:basedOn w:val="DefaultParagraphFont"/>
    <w:link w:val="Heading2"/>
    <w:uiPriority w:val="9"/>
    <w:rsid w:val="00B868DD"/>
    <w:rPr>
      <w:rFonts w:asciiTheme="majorHAnsi" w:eastAsiaTheme="majorEastAsia" w:hAnsiTheme="majorHAnsi" w:cstheme="majorBidi"/>
      <w:b/>
      <w:bCs/>
      <w:color w:val="4F81BD" w:themeColor="accent1"/>
      <w:sz w:val="26"/>
      <w:szCs w:val="26"/>
    </w:rPr>
  </w:style>
  <w:style w:type="table" w:customStyle="1" w:styleId="ListTable6Colorful1">
    <w:name w:val="List Table 6 Colorful1"/>
    <w:basedOn w:val="TableNormal"/>
    <w:uiPriority w:val="51"/>
    <w:rsid w:val="00CA7629"/>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7C1"/>
  </w:style>
  <w:style w:type="paragraph" w:styleId="Heading1">
    <w:name w:val="heading 1"/>
    <w:basedOn w:val="Normal"/>
    <w:next w:val="Normal"/>
    <w:link w:val="Heading1Char"/>
    <w:uiPriority w:val="9"/>
    <w:qFormat/>
    <w:rsid w:val="00B047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68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D32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7C1"/>
    <w:rPr>
      <w:rFonts w:asciiTheme="majorHAnsi" w:eastAsiaTheme="majorEastAsia" w:hAnsiTheme="majorHAnsi" w:cstheme="majorBidi"/>
      <w:b/>
      <w:bCs/>
      <w:color w:val="365F91" w:themeColor="accent1" w:themeShade="BF"/>
      <w:sz w:val="28"/>
      <w:szCs w:val="28"/>
    </w:rPr>
  </w:style>
  <w:style w:type="table" w:styleId="LightShading">
    <w:name w:val="Light Shading"/>
    <w:basedOn w:val="TableNormal"/>
    <w:uiPriority w:val="60"/>
    <w:rsid w:val="00B64D6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EB3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036"/>
    <w:rPr>
      <w:rFonts w:ascii="Tahoma" w:hAnsi="Tahoma" w:cs="Tahoma"/>
      <w:sz w:val="16"/>
      <w:szCs w:val="16"/>
    </w:rPr>
  </w:style>
  <w:style w:type="character" w:styleId="Strong">
    <w:name w:val="Strong"/>
    <w:basedOn w:val="DefaultParagraphFont"/>
    <w:uiPriority w:val="22"/>
    <w:qFormat/>
    <w:rsid w:val="00D95BAB"/>
    <w:rPr>
      <w:b/>
      <w:bCs/>
    </w:rPr>
  </w:style>
  <w:style w:type="paragraph" w:styleId="NormalWeb">
    <w:name w:val="Normal (Web)"/>
    <w:basedOn w:val="Normal"/>
    <w:link w:val="NormalWebChar"/>
    <w:uiPriority w:val="99"/>
    <w:unhideWhenUsed/>
    <w:rsid w:val="003770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locked/>
    <w:rsid w:val="0037708D"/>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37708D"/>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semiHidden/>
    <w:rsid w:val="00DD325D"/>
    <w:rPr>
      <w:rFonts w:asciiTheme="majorHAnsi" w:eastAsiaTheme="majorEastAsia" w:hAnsiTheme="majorHAnsi" w:cstheme="majorBidi"/>
      <w:b/>
      <w:bCs/>
      <w:color w:val="4F81BD" w:themeColor="accent1"/>
    </w:rPr>
  </w:style>
  <w:style w:type="paragraph" w:styleId="HTMLPreformatted">
    <w:name w:val="HTML Preformatted"/>
    <w:basedOn w:val="Normal"/>
    <w:link w:val="HTMLPreformattedChar"/>
    <w:uiPriority w:val="99"/>
    <w:semiHidden/>
    <w:unhideWhenUsed/>
    <w:rsid w:val="00621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2107B"/>
    <w:rPr>
      <w:rFonts w:ascii="Courier New" w:eastAsia="Times New Roman" w:hAnsi="Courier New" w:cs="Courier New"/>
      <w:sz w:val="20"/>
      <w:szCs w:val="20"/>
    </w:rPr>
  </w:style>
  <w:style w:type="table" w:styleId="TableGrid">
    <w:name w:val="Table Grid"/>
    <w:basedOn w:val="TableNormal"/>
    <w:uiPriority w:val="59"/>
    <w:rsid w:val="006D03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F0AED"/>
    <w:pPr>
      <w:ind w:left="720"/>
      <w:contextualSpacing/>
    </w:pPr>
  </w:style>
  <w:style w:type="character" w:styleId="Emphasis">
    <w:name w:val="Emphasis"/>
    <w:basedOn w:val="DefaultParagraphFont"/>
    <w:uiPriority w:val="20"/>
    <w:qFormat/>
    <w:rsid w:val="006B7B7D"/>
    <w:rPr>
      <w:i/>
      <w:iCs/>
    </w:rPr>
  </w:style>
  <w:style w:type="character" w:customStyle="1" w:styleId="Heading2Char">
    <w:name w:val="Heading 2 Char"/>
    <w:basedOn w:val="DefaultParagraphFont"/>
    <w:link w:val="Heading2"/>
    <w:uiPriority w:val="9"/>
    <w:rsid w:val="00B868DD"/>
    <w:rPr>
      <w:rFonts w:asciiTheme="majorHAnsi" w:eastAsiaTheme="majorEastAsia" w:hAnsiTheme="majorHAnsi" w:cstheme="majorBidi"/>
      <w:b/>
      <w:bCs/>
      <w:color w:val="4F81BD" w:themeColor="accent1"/>
      <w:sz w:val="26"/>
      <w:szCs w:val="26"/>
    </w:rPr>
  </w:style>
  <w:style w:type="table" w:customStyle="1" w:styleId="ListTable6Colorful1">
    <w:name w:val="List Table 6 Colorful1"/>
    <w:basedOn w:val="TableNormal"/>
    <w:uiPriority w:val="51"/>
    <w:rsid w:val="00CA7629"/>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40851">
      <w:bodyDiv w:val="1"/>
      <w:marLeft w:val="0"/>
      <w:marRight w:val="0"/>
      <w:marTop w:val="0"/>
      <w:marBottom w:val="0"/>
      <w:divBdr>
        <w:top w:val="none" w:sz="0" w:space="0" w:color="auto"/>
        <w:left w:val="none" w:sz="0" w:space="0" w:color="auto"/>
        <w:bottom w:val="none" w:sz="0" w:space="0" w:color="auto"/>
        <w:right w:val="none" w:sz="0" w:space="0" w:color="auto"/>
      </w:divBdr>
    </w:div>
    <w:div w:id="189733041">
      <w:bodyDiv w:val="1"/>
      <w:marLeft w:val="0"/>
      <w:marRight w:val="0"/>
      <w:marTop w:val="0"/>
      <w:marBottom w:val="0"/>
      <w:divBdr>
        <w:top w:val="none" w:sz="0" w:space="0" w:color="auto"/>
        <w:left w:val="none" w:sz="0" w:space="0" w:color="auto"/>
        <w:bottom w:val="none" w:sz="0" w:space="0" w:color="auto"/>
        <w:right w:val="none" w:sz="0" w:space="0" w:color="auto"/>
      </w:divBdr>
    </w:div>
    <w:div w:id="224532122">
      <w:bodyDiv w:val="1"/>
      <w:marLeft w:val="0"/>
      <w:marRight w:val="0"/>
      <w:marTop w:val="0"/>
      <w:marBottom w:val="0"/>
      <w:divBdr>
        <w:top w:val="none" w:sz="0" w:space="0" w:color="auto"/>
        <w:left w:val="none" w:sz="0" w:space="0" w:color="auto"/>
        <w:bottom w:val="none" w:sz="0" w:space="0" w:color="auto"/>
        <w:right w:val="none" w:sz="0" w:space="0" w:color="auto"/>
      </w:divBdr>
    </w:div>
    <w:div w:id="234241421">
      <w:bodyDiv w:val="1"/>
      <w:marLeft w:val="0"/>
      <w:marRight w:val="0"/>
      <w:marTop w:val="0"/>
      <w:marBottom w:val="0"/>
      <w:divBdr>
        <w:top w:val="none" w:sz="0" w:space="0" w:color="auto"/>
        <w:left w:val="none" w:sz="0" w:space="0" w:color="auto"/>
        <w:bottom w:val="none" w:sz="0" w:space="0" w:color="auto"/>
        <w:right w:val="none" w:sz="0" w:space="0" w:color="auto"/>
      </w:divBdr>
    </w:div>
    <w:div w:id="347562937">
      <w:bodyDiv w:val="1"/>
      <w:marLeft w:val="0"/>
      <w:marRight w:val="0"/>
      <w:marTop w:val="0"/>
      <w:marBottom w:val="0"/>
      <w:divBdr>
        <w:top w:val="none" w:sz="0" w:space="0" w:color="auto"/>
        <w:left w:val="none" w:sz="0" w:space="0" w:color="auto"/>
        <w:bottom w:val="none" w:sz="0" w:space="0" w:color="auto"/>
        <w:right w:val="none" w:sz="0" w:space="0" w:color="auto"/>
      </w:divBdr>
    </w:div>
    <w:div w:id="444151882">
      <w:bodyDiv w:val="1"/>
      <w:marLeft w:val="0"/>
      <w:marRight w:val="0"/>
      <w:marTop w:val="0"/>
      <w:marBottom w:val="0"/>
      <w:divBdr>
        <w:top w:val="none" w:sz="0" w:space="0" w:color="auto"/>
        <w:left w:val="none" w:sz="0" w:space="0" w:color="auto"/>
        <w:bottom w:val="none" w:sz="0" w:space="0" w:color="auto"/>
        <w:right w:val="none" w:sz="0" w:space="0" w:color="auto"/>
      </w:divBdr>
    </w:div>
    <w:div w:id="503132440">
      <w:bodyDiv w:val="1"/>
      <w:marLeft w:val="0"/>
      <w:marRight w:val="0"/>
      <w:marTop w:val="0"/>
      <w:marBottom w:val="0"/>
      <w:divBdr>
        <w:top w:val="none" w:sz="0" w:space="0" w:color="auto"/>
        <w:left w:val="none" w:sz="0" w:space="0" w:color="auto"/>
        <w:bottom w:val="none" w:sz="0" w:space="0" w:color="auto"/>
        <w:right w:val="none" w:sz="0" w:space="0" w:color="auto"/>
      </w:divBdr>
    </w:div>
    <w:div w:id="655305783">
      <w:bodyDiv w:val="1"/>
      <w:marLeft w:val="0"/>
      <w:marRight w:val="0"/>
      <w:marTop w:val="0"/>
      <w:marBottom w:val="0"/>
      <w:divBdr>
        <w:top w:val="none" w:sz="0" w:space="0" w:color="auto"/>
        <w:left w:val="none" w:sz="0" w:space="0" w:color="auto"/>
        <w:bottom w:val="none" w:sz="0" w:space="0" w:color="auto"/>
        <w:right w:val="none" w:sz="0" w:space="0" w:color="auto"/>
      </w:divBdr>
    </w:div>
    <w:div w:id="656303852">
      <w:bodyDiv w:val="1"/>
      <w:marLeft w:val="0"/>
      <w:marRight w:val="0"/>
      <w:marTop w:val="0"/>
      <w:marBottom w:val="0"/>
      <w:divBdr>
        <w:top w:val="none" w:sz="0" w:space="0" w:color="auto"/>
        <w:left w:val="none" w:sz="0" w:space="0" w:color="auto"/>
        <w:bottom w:val="none" w:sz="0" w:space="0" w:color="auto"/>
        <w:right w:val="none" w:sz="0" w:space="0" w:color="auto"/>
      </w:divBdr>
    </w:div>
    <w:div w:id="733088518">
      <w:bodyDiv w:val="1"/>
      <w:marLeft w:val="0"/>
      <w:marRight w:val="0"/>
      <w:marTop w:val="0"/>
      <w:marBottom w:val="0"/>
      <w:divBdr>
        <w:top w:val="none" w:sz="0" w:space="0" w:color="auto"/>
        <w:left w:val="none" w:sz="0" w:space="0" w:color="auto"/>
        <w:bottom w:val="none" w:sz="0" w:space="0" w:color="auto"/>
        <w:right w:val="none" w:sz="0" w:space="0" w:color="auto"/>
      </w:divBdr>
    </w:div>
    <w:div w:id="944263212">
      <w:bodyDiv w:val="1"/>
      <w:marLeft w:val="0"/>
      <w:marRight w:val="0"/>
      <w:marTop w:val="0"/>
      <w:marBottom w:val="0"/>
      <w:divBdr>
        <w:top w:val="none" w:sz="0" w:space="0" w:color="auto"/>
        <w:left w:val="none" w:sz="0" w:space="0" w:color="auto"/>
        <w:bottom w:val="none" w:sz="0" w:space="0" w:color="auto"/>
        <w:right w:val="none" w:sz="0" w:space="0" w:color="auto"/>
      </w:divBdr>
    </w:div>
    <w:div w:id="1028022009">
      <w:bodyDiv w:val="1"/>
      <w:marLeft w:val="0"/>
      <w:marRight w:val="0"/>
      <w:marTop w:val="0"/>
      <w:marBottom w:val="0"/>
      <w:divBdr>
        <w:top w:val="none" w:sz="0" w:space="0" w:color="auto"/>
        <w:left w:val="none" w:sz="0" w:space="0" w:color="auto"/>
        <w:bottom w:val="none" w:sz="0" w:space="0" w:color="auto"/>
        <w:right w:val="none" w:sz="0" w:space="0" w:color="auto"/>
      </w:divBdr>
    </w:div>
    <w:div w:id="1050769040">
      <w:bodyDiv w:val="1"/>
      <w:marLeft w:val="0"/>
      <w:marRight w:val="0"/>
      <w:marTop w:val="0"/>
      <w:marBottom w:val="0"/>
      <w:divBdr>
        <w:top w:val="none" w:sz="0" w:space="0" w:color="auto"/>
        <w:left w:val="none" w:sz="0" w:space="0" w:color="auto"/>
        <w:bottom w:val="none" w:sz="0" w:space="0" w:color="auto"/>
        <w:right w:val="none" w:sz="0" w:space="0" w:color="auto"/>
      </w:divBdr>
    </w:div>
    <w:div w:id="1053891008">
      <w:bodyDiv w:val="1"/>
      <w:marLeft w:val="0"/>
      <w:marRight w:val="0"/>
      <w:marTop w:val="0"/>
      <w:marBottom w:val="0"/>
      <w:divBdr>
        <w:top w:val="none" w:sz="0" w:space="0" w:color="auto"/>
        <w:left w:val="none" w:sz="0" w:space="0" w:color="auto"/>
        <w:bottom w:val="none" w:sz="0" w:space="0" w:color="auto"/>
        <w:right w:val="none" w:sz="0" w:space="0" w:color="auto"/>
      </w:divBdr>
    </w:div>
    <w:div w:id="1092897789">
      <w:bodyDiv w:val="1"/>
      <w:marLeft w:val="0"/>
      <w:marRight w:val="0"/>
      <w:marTop w:val="0"/>
      <w:marBottom w:val="0"/>
      <w:divBdr>
        <w:top w:val="none" w:sz="0" w:space="0" w:color="auto"/>
        <w:left w:val="none" w:sz="0" w:space="0" w:color="auto"/>
        <w:bottom w:val="none" w:sz="0" w:space="0" w:color="auto"/>
        <w:right w:val="none" w:sz="0" w:space="0" w:color="auto"/>
      </w:divBdr>
    </w:div>
    <w:div w:id="1340426723">
      <w:bodyDiv w:val="1"/>
      <w:marLeft w:val="0"/>
      <w:marRight w:val="0"/>
      <w:marTop w:val="0"/>
      <w:marBottom w:val="0"/>
      <w:divBdr>
        <w:top w:val="none" w:sz="0" w:space="0" w:color="auto"/>
        <w:left w:val="none" w:sz="0" w:space="0" w:color="auto"/>
        <w:bottom w:val="none" w:sz="0" w:space="0" w:color="auto"/>
        <w:right w:val="none" w:sz="0" w:space="0" w:color="auto"/>
      </w:divBdr>
    </w:div>
    <w:div w:id="2033220876">
      <w:bodyDiv w:val="1"/>
      <w:marLeft w:val="0"/>
      <w:marRight w:val="0"/>
      <w:marTop w:val="0"/>
      <w:marBottom w:val="0"/>
      <w:divBdr>
        <w:top w:val="none" w:sz="0" w:space="0" w:color="auto"/>
        <w:left w:val="none" w:sz="0" w:space="0" w:color="auto"/>
        <w:bottom w:val="none" w:sz="0" w:space="0" w:color="auto"/>
        <w:right w:val="none" w:sz="0" w:space="0" w:color="auto"/>
      </w:divBdr>
    </w:div>
    <w:div w:id="209631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26</Pages>
  <Words>4329</Words>
  <Characters>24681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57</cp:revision>
  <dcterms:created xsi:type="dcterms:W3CDTF">2026-03-27T07:42:00Z</dcterms:created>
  <dcterms:modified xsi:type="dcterms:W3CDTF">2026-06-28T13:03:00Z</dcterms:modified>
</cp:coreProperties>
</file>