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B44116">
      <w:pPr>
        <w:keepNext w:val="0"/>
        <w:keepLines w:val="0"/>
        <w:pageBreakBefore w:val="0"/>
        <w:widowControl w:val="0"/>
        <w:kinsoku/>
        <w:wordWrap/>
        <w:overflowPunct/>
        <w:topLinePunct w:val="0"/>
        <w:autoSpaceDE/>
        <w:autoSpaceDN/>
        <w:bidi w:val="0"/>
        <w:adjustRightInd/>
        <w:snapToGrid/>
        <w:spacing w:after="120" w:line="360" w:lineRule="auto"/>
        <w:jc w:val="center"/>
        <w:textAlignment w:val="auto"/>
        <w:rPr>
          <w:rStyle w:val="6"/>
          <w:rFonts w:hint="default" w:ascii="Times New Roman" w:hAnsi="Times New Roman" w:eastAsia="Helvetica" w:cs="Times New Roman"/>
          <w:b/>
          <w:bCs/>
          <w:i w:val="0"/>
          <w:iCs w:val="0"/>
          <w:caps w:val="0"/>
          <w:spacing w:val="2"/>
          <w:sz w:val="28"/>
          <w:szCs w:val="28"/>
          <w:shd w:val="clear" w:fill="FFFFFF"/>
        </w:rPr>
      </w:pPr>
      <w:r>
        <w:rPr>
          <w:rStyle w:val="6"/>
          <w:rFonts w:hint="default" w:ascii="Times New Roman" w:hAnsi="Times New Roman" w:eastAsia="Helvetica" w:cs="Times New Roman"/>
          <w:b/>
          <w:bCs/>
          <w:i w:val="0"/>
          <w:iCs w:val="0"/>
          <w:caps w:val="0"/>
          <w:spacing w:val="2"/>
          <w:sz w:val="28"/>
          <w:szCs w:val="28"/>
          <w:shd w:val="clear" w:fill="FFFFFF"/>
        </w:rPr>
        <w:t>GRADE evidence profile</w:t>
      </w:r>
    </w:p>
    <w:p w14:paraId="674F3419">
      <w:pPr>
        <w:keepNext w:val="0"/>
        <w:keepLines w:val="0"/>
        <w:pageBreakBefore w:val="0"/>
        <w:widowControl w:val="0"/>
        <w:kinsoku/>
        <w:wordWrap/>
        <w:overflowPunct/>
        <w:topLinePunct w:val="0"/>
        <w:autoSpaceDE/>
        <w:autoSpaceDN/>
        <w:bidi w:val="0"/>
        <w:adjustRightInd/>
        <w:snapToGrid/>
        <w:spacing w:after="200" w:line="240" w:lineRule="auto"/>
        <w:jc w:val="center"/>
        <w:textAlignment w:val="auto"/>
        <w:rPr>
          <w:rStyle w:val="6"/>
          <w:rFonts w:hint="default" w:ascii="Times New Roman" w:hAnsi="Times New Roman" w:eastAsia="Helvetica" w:cs="Times New Roman"/>
          <w:b w:val="0"/>
          <w:bCs w:val="0"/>
          <w:i w:val="0"/>
          <w:iCs w:val="0"/>
          <w:caps w:val="0"/>
          <w:spacing w:val="2"/>
          <w:sz w:val="22"/>
          <w:szCs w:val="22"/>
          <w:shd w:val="clear" w:fill="FFFFFF"/>
        </w:rPr>
      </w:pPr>
      <w:r>
        <w:rPr>
          <w:rStyle w:val="6"/>
          <w:rFonts w:hint="default" w:ascii="Times New Roman" w:hAnsi="Times New Roman" w:eastAsia="Helvetica" w:cs="Times New Roman"/>
          <w:b w:val="0"/>
          <w:bCs w:val="0"/>
          <w:i w:val="0"/>
          <w:iCs w:val="0"/>
          <w:caps w:val="0"/>
          <w:spacing w:val="2"/>
          <w:sz w:val="22"/>
          <w:szCs w:val="22"/>
          <w:shd w:val="clear" w:fill="FFFFFF"/>
        </w:rPr>
        <w:t>Association of Hyperchloremia with Mortality and Acute Kidney Injury in Critically Ill Children: A Systematic Review and Meta-analysis</w:t>
      </w:r>
    </w:p>
    <w:p w14:paraId="759CD9A1">
      <w:pPr>
        <w:keepNext w:val="0"/>
        <w:keepLines w:val="0"/>
        <w:pageBreakBefore w:val="0"/>
        <w:widowControl w:val="0"/>
        <w:kinsoku/>
        <w:wordWrap/>
        <w:overflowPunct/>
        <w:topLinePunct w:val="0"/>
        <w:autoSpaceDE/>
        <w:autoSpaceDN/>
        <w:bidi w:val="0"/>
        <w:adjustRightInd/>
        <w:snapToGrid/>
        <w:spacing w:after="200" w:line="240" w:lineRule="auto"/>
        <w:jc w:val="center"/>
        <w:textAlignment w:val="auto"/>
        <w:rPr>
          <w:rStyle w:val="6"/>
          <w:rFonts w:hint="default" w:ascii="Times New Roman" w:hAnsi="Times New Roman" w:eastAsia="Helvetica" w:cs="Times New Roman"/>
          <w:b/>
          <w:bCs/>
          <w:i w:val="0"/>
          <w:iCs w:val="0"/>
          <w:caps w:val="0"/>
          <w:spacing w:val="2"/>
          <w:sz w:val="20"/>
          <w:szCs w:val="20"/>
          <w:shd w:val="clear" w:fill="FFFFFF"/>
        </w:rPr>
      </w:pPr>
      <w:r>
        <w:rPr>
          <w:rStyle w:val="6"/>
          <w:rFonts w:hint="default" w:ascii="Times New Roman" w:hAnsi="Times New Roman" w:eastAsia="Helvetica" w:cs="Times New Roman"/>
          <w:b/>
          <w:bCs/>
          <w:i w:val="0"/>
          <w:iCs w:val="0"/>
          <w:caps w:val="0"/>
          <w:spacing w:val="2"/>
          <w:sz w:val="20"/>
          <w:szCs w:val="20"/>
          <w:shd w:val="clear" w:fill="FFFFFF"/>
        </w:rPr>
        <w:t xml:space="preserve">Table 1. GRADE </w:t>
      </w:r>
      <w:r>
        <w:rPr>
          <w:rStyle w:val="6"/>
          <w:rFonts w:hint="default" w:ascii="Times New Roman" w:hAnsi="Times New Roman" w:eastAsia="Helvetica" w:cs="Times New Roman"/>
          <w:b w:val="0"/>
          <w:bCs w:val="0"/>
          <w:i w:val="0"/>
          <w:iCs w:val="0"/>
          <w:caps w:val="0"/>
          <w:spacing w:val="2"/>
          <w:sz w:val="20"/>
          <w:szCs w:val="20"/>
          <w:shd w:val="clear" w:fill="FFFFFF"/>
        </w:rPr>
        <w:t>assessment of the certainty of evidence</w:t>
      </w:r>
    </w:p>
    <w:tbl>
      <w:tblPr>
        <w:tblStyle w:val="4"/>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left w:w="108" w:type="dxa"/>
          <w:right w:w="108" w:type="dxa"/>
        </w:tblCellMar>
      </w:tblPr>
      <w:tblGrid>
        <w:gridCol w:w="1885"/>
        <w:gridCol w:w="1596"/>
        <w:gridCol w:w="1452"/>
        <w:gridCol w:w="1356"/>
        <w:gridCol w:w="1512"/>
        <w:gridCol w:w="1368"/>
        <w:gridCol w:w="1344"/>
        <w:gridCol w:w="1680"/>
        <w:gridCol w:w="2148"/>
        <w:gridCol w:w="1164"/>
      </w:tblGrid>
      <w:tr w14:paraId="668703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left w:w="108" w:type="dxa"/>
            <w:right w:w="108" w:type="dxa"/>
          </w:tblCellMar>
        </w:tblPrEx>
        <w:trPr>
          <w:cantSplit/>
          <w:tblHeader/>
        </w:trPr>
        <w:tc>
          <w:tcPr>
            <w:tcW w:w="1885" w:type="dxa"/>
            <w:tcBorders>
              <w:bottom w:val="single" w:color="auto" w:sz="4" w:space="0"/>
            </w:tcBorders>
            <w:vAlign w:val="center"/>
          </w:tcPr>
          <w:p w14:paraId="6B0A00CF">
            <w:pPr>
              <w:keepNext w:val="0"/>
              <w:keepLines w:val="0"/>
              <w:pageBreakBefore w:val="0"/>
              <w:widowControl/>
              <w:suppressLineNumbers w:val="0"/>
              <w:kinsoku/>
              <w:wordWrap/>
              <w:overflowPunct/>
              <w:topLinePunct w:val="0"/>
              <w:autoSpaceDE/>
              <w:autoSpaceDN/>
              <w:bidi w:val="0"/>
              <w:adjustRightInd/>
              <w:snapToGrid/>
              <w:spacing w:beforeAutospacing="0" w:afterAutospacing="0" w:line="14" w:lineRule="atLeast"/>
              <w:jc w:val="center"/>
              <w:textAlignment w:val="auto"/>
              <w:rPr>
                <w:rStyle w:val="6"/>
                <w:rFonts w:hint="default" w:ascii="Times New Roman" w:hAnsi="Times New Roman" w:eastAsia="Helvetica" w:cs="Times New Roman"/>
                <w:b w:val="0"/>
                <w:bCs w:val="0"/>
                <w:i w:val="0"/>
                <w:iCs w:val="0"/>
                <w:caps w:val="0"/>
                <w:spacing w:val="2"/>
                <w:sz w:val="18"/>
                <w:szCs w:val="18"/>
                <w:shd w:val="clear" w:fill="FFFFFF"/>
                <w:vertAlign w:val="baseline"/>
              </w:rPr>
            </w:pPr>
            <w:r>
              <w:rPr>
                <w:rFonts w:hint="default" w:ascii="Arial" w:hAnsi="Arial" w:eastAsia="宋体" w:cs="Arial"/>
                <w:b/>
                <w:bCs/>
                <w:i w:val="0"/>
                <w:iCs w:val="0"/>
                <w:caps w:val="0"/>
                <w:color w:val="333333"/>
                <w:spacing w:val="2"/>
                <w:kern w:val="0"/>
                <w:sz w:val="18"/>
                <w:szCs w:val="18"/>
                <w:lang w:val="en-US" w:eastAsia="zh-CN" w:bidi="ar"/>
              </w:rPr>
              <w:t>Outcome</w:t>
            </w:r>
          </w:p>
        </w:tc>
        <w:tc>
          <w:tcPr>
            <w:tcW w:w="1596" w:type="dxa"/>
            <w:tcBorders>
              <w:bottom w:val="single" w:color="auto" w:sz="4" w:space="0"/>
            </w:tcBorders>
            <w:vAlign w:val="center"/>
          </w:tcPr>
          <w:p w14:paraId="599B0244">
            <w:pPr>
              <w:keepNext w:val="0"/>
              <w:keepLines w:val="0"/>
              <w:pageBreakBefore w:val="0"/>
              <w:widowControl/>
              <w:suppressLineNumbers w:val="0"/>
              <w:kinsoku/>
              <w:wordWrap/>
              <w:overflowPunct/>
              <w:topLinePunct w:val="0"/>
              <w:autoSpaceDE/>
              <w:autoSpaceDN/>
              <w:bidi w:val="0"/>
              <w:adjustRightInd/>
              <w:snapToGrid/>
              <w:spacing w:beforeAutospacing="0" w:afterAutospacing="0" w:line="14" w:lineRule="atLeast"/>
              <w:jc w:val="center"/>
              <w:textAlignment w:val="auto"/>
              <w:rPr>
                <w:rFonts w:hint="default" w:ascii="Arial" w:hAnsi="Arial" w:eastAsia="宋体" w:cs="Arial"/>
                <w:b/>
                <w:bCs/>
                <w:i w:val="0"/>
                <w:iCs w:val="0"/>
                <w:caps w:val="0"/>
                <w:color w:val="333333"/>
                <w:spacing w:val="2"/>
                <w:kern w:val="0"/>
                <w:sz w:val="18"/>
                <w:szCs w:val="18"/>
                <w:lang w:val="en-US" w:eastAsia="zh-CN" w:bidi="ar"/>
              </w:rPr>
            </w:pPr>
            <w:r>
              <w:rPr>
                <w:rFonts w:hint="default" w:ascii="Arial" w:hAnsi="Arial" w:eastAsia="宋体" w:cs="Arial"/>
                <w:b/>
                <w:bCs/>
                <w:i w:val="0"/>
                <w:iCs w:val="0"/>
                <w:caps w:val="0"/>
                <w:color w:val="333333"/>
                <w:spacing w:val="2"/>
                <w:kern w:val="0"/>
                <w:sz w:val="18"/>
                <w:szCs w:val="18"/>
                <w:lang w:val="en-US" w:eastAsia="zh-CN" w:bidi="ar"/>
              </w:rPr>
              <w:t>Studies</w:t>
            </w:r>
          </w:p>
          <w:p w14:paraId="72E5B7F6">
            <w:pPr>
              <w:keepNext w:val="0"/>
              <w:keepLines w:val="0"/>
              <w:pageBreakBefore w:val="0"/>
              <w:widowControl/>
              <w:suppressLineNumbers w:val="0"/>
              <w:kinsoku/>
              <w:wordWrap/>
              <w:overflowPunct/>
              <w:topLinePunct w:val="0"/>
              <w:autoSpaceDE/>
              <w:autoSpaceDN/>
              <w:bidi w:val="0"/>
              <w:adjustRightInd/>
              <w:snapToGrid/>
              <w:spacing w:beforeAutospacing="0" w:afterAutospacing="0" w:line="14" w:lineRule="atLeast"/>
              <w:jc w:val="center"/>
              <w:textAlignment w:val="auto"/>
              <w:rPr>
                <w:rStyle w:val="6"/>
                <w:rFonts w:hint="default" w:ascii="Times New Roman" w:hAnsi="Times New Roman" w:eastAsia="Helvetica" w:cs="Times New Roman"/>
                <w:b w:val="0"/>
                <w:bCs w:val="0"/>
                <w:i w:val="0"/>
                <w:iCs w:val="0"/>
                <w:caps w:val="0"/>
                <w:spacing w:val="2"/>
                <w:sz w:val="18"/>
                <w:szCs w:val="18"/>
                <w:shd w:val="clear" w:fill="FFFFFF"/>
                <w:vertAlign w:val="baseline"/>
              </w:rPr>
            </w:pPr>
            <w:r>
              <w:rPr>
                <w:rFonts w:hint="default" w:ascii="Arial" w:hAnsi="Arial" w:eastAsia="宋体" w:cs="Arial"/>
                <w:b/>
                <w:bCs/>
                <w:i w:val="0"/>
                <w:iCs w:val="0"/>
                <w:caps w:val="0"/>
                <w:color w:val="333333"/>
                <w:spacing w:val="2"/>
                <w:kern w:val="0"/>
                <w:sz w:val="18"/>
                <w:szCs w:val="18"/>
                <w:lang w:val="en-US" w:eastAsia="zh-CN" w:bidi="ar"/>
              </w:rPr>
              <w:t xml:space="preserve"> (independent cohorts)</w:t>
            </w:r>
          </w:p>
        </w:tc>
        <w:tc>
          <w:tcPr>
            <w:tcW w:w="1452" w:type="dxa"/>
            <w:tcBorders>
              <w:bottom w:val="single" w:color="auto" w:sz="4" w:space="0"/>
            </w:tcBorders>
            <w:vAlign w:val="center"/>
          </w:tcPr>
          <w:p w14:paraId="0097A849">
            <w:pPr>
              <w:keepNext w:val="0"/>
              <w:keepLines w:val="0"/>
              <w:pageBreakBefore w:val="0"/>
              <w:widowControl/>
              <w:suppressLineNumbers w:val="0"/>
              <w:kinsoku/>
              <w:wordWrap/>
              <w:overflowPunct/>
              <w:topLinePunct w:val="0"/>
              <w:autoSpaceDE/>
              <w:autoSpaceDN/>
              <w:bidi w:val="0"/>
              <w:adjustRightInd/>
              <w:snapToGrid/>
              <w:spacing w:beforeAutospacing="0" w:afterAutospacing="0" w:line="14" w:lineRule="atLeast"/>
              <w:jc w:val="center"/>
              <w:textAlignment w:val="auto"/>
              <w:rPr>
                <w:rStyle w:val="6"/>
                <w:rFonts w:hint="default" w:ascii="Times New Roman" w:hAnsi="Times New Roman" w:eastAsia="Helvetica" w:cs="Times New Roman"/>
                <w:b w:val="0"/>
                <w:bCs w:val="0"/>
                <w:i w:val="0"/>
                <w:iCs w:val="0"/>
                <w:caps w:val="0"/>
                <w:spacing w:val="2"/>
                <w:sz w:val="18"/>
                <w:szCs w:val="18"/>
                <w:shd w:val="clear" w:fill="FFFFFF"/>
                <w:vertAlign w:val="baseline"/>
              </w:rPr>
            </w:pPr>
            <w:r>
              <w:rPr>
                <w:rFonts w:hint="default" w:ascii="Arial" w:hAnsi="Arial" w:eastAsia="宋体" w:cs="Arial"/>
                <w:b/>
                <w:bCs/>
                <w:i w:val="0"/>
                <w:iCs w:val="0"/>
                <w:caps w:val="0"/>
                <w:color w:val="333333"/>
                <w:spacing w:val="2"/>
                <w:kern w:val="0"/>
                <w:sz w:val="18"/>
                <w:szCs w:val="18"/>
                <w:lang w:val="en-US" w:eastAsia="zh-CN" w:bidi="ar"/>
              </w:rPr>
              <w:t>Study design</w:t>
            </w:r>
          </w:p>
        </w:tc>
        <w:tc>
          <w:tcPr>
            <w:tcW w:w="1356" w:type="dxa"/>
            <w:tcBorders>
              <w:bottom w:val="single" w:color="auto" w:sz="4" w:space="0"/>
            </w:tcBorders>
            <w:vAlign w:val="center"/>
          </w:tcPr>
          <w:p w14:paraId="13730E0F">
            <w:pPr>
              <w:keepNext w:val="0"/>
              <w:keepLines w:val="0"/>
              <w:pageBreakBefore w:val="0"/>
              <w:widowControl/>
              <w:suppressLineNumbers w:val="0"/>
              <w:kinsoku/>
              <w:wordWrap/>
              <w:overflowPunct/>
              <w:topLinePunct w:val="0"/>
              <w:autoSpaceDE/>
              <w:autoSpaceDN/>
              <w:bidi w:val="0"/>
              <w:adjustRightInd/>
              <w:snapToGrid/>
              <w:spacing w:beforeAutospacing="0" w:afterAutospacing="0" w:line="14" w:lineRule="atLeast"/>
              <w:jc w:val="center"/>
              <w:textAlignment w:val="auto"/>
              <w:rPr>
                <w:rStyle w:val="6"/>
                <w:rFonts w:hint="default" w:ascii="Times New Roman" w:hAnsi="Times New Roman" w:eastAsia="Helvetica" w:cs="Times New Roman"/>
                <w:b w:val="0"/>
                <w:bCs w:val="0"/>
                <w:i w:val="0"/>
                <w:iCs w:val="0"/>
                <w:caps w:val="0"/>
                <w:spacing w:val="2"/>
                <w:sz w:val="18"/>
                <w:szCs w:val="18"/>
                <w:shd w:val="clear" w:fill="FFFFFF"/>
                <w:vertAlign w:val="baseline"/>
              </w:rPr>
            </w:pPr>
            <w:r>
              <w:rPr>
                <w:rFonts w:hint="default" w:ascii="Arial" w:hAnsi="Arial" w:eastAsia="宋体" w:cs="Arial"/>
                <w:b/>
                <w:bCs/>
                <w:i w:val="0"/>
                <w:iCs w:val="0"/>
                <w:caps w:val="0"/>
                <w:color w:val="333333"/>
                <w:spacing w:val="2"/>
                <w:kern w:val="0"/>
                <w:sz w:val="18"/>
                <w:szCs w:val="18"/>
                <w:lang w:val="en-US" w:eastAsia="zh-CN" w:bidi="ar"/>
              </w:rPr>
              <w:t>Risk of bias</w:t>
            </w:r>
          </w:p>
        </w:tc>
        <w:tc>
          <w:tcPr>
            <w:tcW w:w="1512" w:type="dxa"/>
            <w:tcBorders>
              <w:bottom w:val="single" w:color="auto" w:sz="4" w:space="0"/>
            </w:tcBorders>
            <w:vAlign w:val="center"/>
          </w:tcPr>
          <w:p w14:paraId="5FE5F3B7">
            <w:pPr>
              <w:keepNext w:val="0"/>
              <w:keepLines w:val="0"/>
              <w:pageBreakBefore w:val="0"/>
              <w:widowControl/>
              <w:suppressLineNumbers w:val="0"/>
              <w:kinsoku/>
              <w:wordWrap/>
              <w:overflowPunct/>
              <w:topLinePunct w:val="0"/>
              <w:autoSpaceDE/>
              <w:autoSpaceDN/>
              <w:bidi w:val="0"/>
              <w:adjustRightInd/>
              <w:snapToGrid/>
              <w:spacing w:beforeAutospacing="0" w:afterAutospacing="0" w:line="14" w:lineRule="atLeast"/>
              <w:jc w:val="center"/>
              <w:textAlignment w:val="auto"/>
              <w:rPr>
                <w:rStyle w:val="6"/>
                <w:rFonts w:hint="default" w:ascii="Times New Roman" w:hAnsi="Times New Roman" w:eastAsia="Helvetica" w:cs="Times New Roman"/>
                <w:b w:val="0"/>
                <w:bCs w:val="0"/>
                <w:i w:val="0"/>
                <w:iCs w:val="0"/>
                <w:caps w:val="0"/>
                <w:spacing w:val="2"/>
                <w:sz w:val="18"/>
                <w:szCs w:val="18"/>
                <w:shd w:val="clear" w:fill="FFFFFF"/>
                <w:vertAlign w:val="baseline"/>
              </w:rPr>
            </w:pPr>
            <w:r>
              <w:rPr>
                <w:rFonts w:hint="default" w:ascii="Arial" w:hAnsi="Arial" w:eastAsia="宋体" w:cs="Arial"/>
                <w:b/>
                <w:bCs/>
                <w:i w:val="0"/>
                <w:iCs w:val="0"/>
                <w:caps w:val="0"/>
                <w:color w:val="333333"/>
                <w:spacing w:val="2"/>
                <w:kern w:val="0"/>
                <w:sz w:val="18"/>
                <w:szCs w:val="18"/>
                <w:lang w:val="en-US" w:eastAsia="zh-CN" w:bidi="ar"/>
              </w:rPr>
              <w:t>Inconsistency</w:t>
            </w:r>
          </w:p>
        </w:tc>
        <w:tc>
          <w:tcPr>
            <w:tcW w:w="1368" w:type="dxa"/>
            <w:tcBorders>
              <w:bottom w:val="single" w:color="auto" w:sz="4" w:space="0"/>
            </w:tcBorders>
            <w:vAlign w:val="center"/>
          </w:tcPr>
          <w:p w14:paraId="7CF39B2C">
            <w:pPr>
              <w:keepNext w:val="0"/>
              <w:keepLines w:val="0"/>
              <w:pageBreakBefore w:val="0"/>
              <w:widowControl/>
              <w:suppressLineNumbers w:val="0"/>
              <w:kinsoku/>
              <w:wordWrap/>
              <w:overflowPunct/>
              <w:topLinePunct w:val="0"/>
              <w:autoSpaceDE/>
              <w:autoSpaceDN/>
              <w:bidi w:val="0"/>
              <w:adjustRightInd/>
              <w:snapToGrid/>
              <w:spacing w:beforeAutospacing="0" w:afterAutospacing="0" w:line="14" w:lineRule="atLeast"/>
              <w:jc w:val="center"/>
              <w:textAlignment w:val="auto"/>
              <w:rPr>
                <w:rStyle w:val="6"/>
                <w:rFonts w:hint="default" w:ascii="Times New Roman" w:hAnsi="Times New Roman" w:eastAsia="Helvetica" w:cs="Times New Roman"/>
                <w:b w:val="0"/>
                <w:bCs w:val="0"/>
                <w:i w:val="0"/>
                <w:iCs w:val="0"/>
                <w:caps w:val="0"/>
                <w:spacing w:val="2"/>
                <w:sz w:val="18"/>
                <w:szCs w:val="18"/>
                <w:shd w:val="clear" w:fill="FFFFFF"/>
                <w:vertAlign w:val="baseline"/>
              </w:rPr>
            </w:pPr>
            <w:r>
              <w:rPr>
                <w:rFonts w:hint="default" w:ascii="Arial" w:hAnsi="Arial" w:eastAsia="宋体" w:cs="Arial"/>
                <w:b/>
                <w:bCs/>
                <w:i w:val="0"/>
                <w:iCs w:val="0"/>
                <w:caps w:val="0"/>
                <w:color w:val="333333"/>
                <w:spacing w:val="2"/>
                <w:kern w:val="0"/>
                <w:sz w:val="18"/>
                <w:szCs w:val="18"/>
                <w:lang w:val="en-US" w:eastAsia="zh-CN" w:bidi="ar"/>
              </w:rPr>
              <w:t>Indirectness</w:t>
            </w:r>
          </w:p>
        </w:tc>
        <w:tc>
          <w:tcPr>
            <w:tcW w:w="1344" w:type="dxa"/>
            <w:tcBorders>
              <w:bottom w:val="single" w:color="auto" w:sz="4" w:space="0"/>
            </w:tcBorders>
            <w:vAlign w:val="center"/>
          </w:tcPr>
          <w:p w14:paraId="4CBD5B4A">
            <w:pPr>
              <w:keepNext w:val="0"/>
              <w:keepLines w:val="0"/>
              <w:pageBreakBefore w:val="0"/>
              <w:widowControl/>
              <w:suppressLineNumbers w:val="0"/>
              <w:kinsoku/>
              <w:wordWrap/>
              <w:overflowPunct/>
              <w:topLinePunct w:val="0"/>
              <w:autoSpaceDE/>
              <w:autoSpaceDN/>
              <w:bidi w:val="0"/>
              <w:adjustRightInd/>
              <w:snapToGrid/>
              <w:spacing w:beforeAutospacing="0" w:afterAutospacing="0" w:line="14" w:lineRule="atLeast"/>
              <w:jc w:val="center"/>
              <w:textAlignment w:val="auto"/>
              <w:rPr>
                <w:rStyle w:val="6"/>
                <w:rFonts w:hint="default" w:ascii="Times New Roman" w:hAnsi="Times New Roman" w:eastAsia="Helvetica" w:cs="Times New Roman"/>
                <w:b w:val="0"/>
                <w:bCs w:val="0"/>
                <w:i w:val="0"/>
                <w:iCs w:val="0"/>
                <w:caps w:val="0"/>
                <w:spacing w:val="2"/>
                <w:sz w:val="18"/>
                <w:szCs w:val="18"/>
                <w:shd w:val="clear" w:fill="FFFFFF"/>
                <w:vertAlign w:val="baseline"/>
              </w:rPr>
            </w:pPr>
            <w:r>
              <w:rPr>
                <w:rFonts w:hint="default" w:ascii="Arial" w:hAnsi="Arial" w:eastAsia="宋体" w:cs="Arial"/>
                <w:b/>
                <w:bCs/>
                <w:i w:val="0"/>
                <w:iCs w:val="0"/>
                <w:caps w:val="0"/>
                <w:color w:val="333333"/>
                <w:spacing w:val="2"/>
                <w:kern w:val="0"/>
                <w:sz w:val="18"/>
                <w:szCs w:val="18"/>
                <w:lang w:val="en-US" w:eastAsia="zh-CN" w:bidi="ar"/>
              </w:rPr>
              <w:t>Imprecision</w:t>
            </w:r>
          </w:p>
        </w:tc>
        <w:tc>
          <w:tcPr>
            <w:tcW w:w="1680" w:type="dxa"/>
            <w:tcBorders>
              <w:bottom w:val="single" w:color="auto" w:sz="4" w:space="0"/>
            </w:tcBorders>
            <w:vAlign w:val="center"/>
          </w:tcPr>
          <w:p w14:paraId="365380FD">
            <w:pPr>
              <w:keepNext w:val="0"/>
              <w:keepLines w:val="0"/>
              <w:pageBreakBefore w:val="0"/>
              <w:widowControl/>
              <w:suppressLineNumbers w:val="0"/>
              <w:kinsoku/>
              <w:wordWrap/>
              <w:overflowPunct/>
              <w:topLinePunct w:val="0"/>
              <w:autoSpaceDE/>
              <w:autoSpaceDN/>
              <w:bidi w:val="0"/>
              <w:adjustRightInd/>
              <w:snapToGrid/>
              <w:spacing w:beforeAutospacing="0" w:afterAutospacing="0" w:line="14" w:lineRule="atLeast"/>
              <w:jc w:val="center"/>
              <w:textAlignment w:val="auto"/>
              <w:rPr>
                <w:rStyle w:val="6"/>
                <w:rFonts w:hint="default" w:ascii="Times New Roman" w:hAnsi="Times New Roman" w:eastAsia="Helvetica" w:cs="Times New Roman"/>
                <w:b w:val="0"/>
                <w:bCs w:val="0"/>
                <w:i w:val="0"/>
                <w:iCs w:val="0"/>
                <w:caps w:val="0"/>
                <w:spacing w:val="2"/>
                <w:sz w:val="18"/>
                <w:szCs w:val="18"/>
                <w:shd w:val="clear" w:fill="FFFFFF"/>
                <w:vertAlign w:val="baseline"/>
              </w:rPr>
            </w:pPr>
            <w:r>
              <w:rPr>
                <w:rFonts w:hint="default" w:ascii="Arial" w:hAnsi="Arial" w:eastAsia="宋体" w:cs="Arial"/>
                <w:b/>
                <w:bCs/>
                <w:i w:val="0"/>
                <w:iCs w:val="0"/>
                <w:caps w:val="0"/>
                <w:color w:val="333333"/>
                <w:spacing w:val="2"/>
                <w:kern w:val="0"/>
                <w:sz w:val="18"/>
                <w:szCs w:val="18"/>
                <w:lang w:val="en-US" w:eastAsia="zh-CN" w:bidi="ar"/>
              </w:rPr>
              <w:t>Other considerations</w:t>
            </w:r>
          </w:p>
        </w:tc>
        <w:tc>
          <w:tcPr>
            <w:tcW w:w="2148" w:type="dxa"/>
            <w:tcBorders>
              <w:bottom w:val="single" w:color="auto" w:sz="4" w:space="0"/>
            </w:tcBorders>
            <w:vAlign w:val="center"/>
          </w:tcPr>
          <w:p w14:paraId="2F785F2E">
            <w:pPr>
              <w:keepNext w:val="0"/>
              <w:keepLines w:val="0"/>
              <w:pageBreakBefore w:val="0"/>
              <w:widowControl/>
              <w:suppressLineNumbers w:val="0"/>
              <w:kinsoku/>
              <w:wordWrap/>
              <w:overflowPunct/>
              <w:topLinePunct w:val="0"/>
              <w:autoSpaceDE/>
              <w:autoSpaceDN/>
              <w:bidi w:val="0"/>
              <w:adjustRightInd/>
              <w:snapToGrid/>
              <w:spacing w:beforeAutospacing="0" w:afterAutospacing="0" w:line="14" w:lineRule="atLeast"/>
              <w:jc w:val="center"/>
              <w:textAlignment w:val="auto"/>
              <w:rPr>
                <w:rStyle w:val="6"/>
                <w:rFonts w:hint="default" w:ascii="Times New Roman" w:hAnsi="Times New Roman" w:eastAsia="Helvetica" w:cs="Times New Roman"/>
                <w:b w:val="0"/>
                <w:bCs w:val="0"/>
                <w:i w:val="0"/>
                <w:iCs w:val="0"/>
                <w:caps w:val="0"/>
                <w:spacing w:val="2"/>
                <w:sz w:val="18"/>
                <w:szCs w:val="18"/>
                <w:shd w:val="clear" w:fill="FFFFFF"/>
                <w:vertAlign w:val="baseline"/>
              </w:rPr>
            </w:pPr>
            <w:r>
              <w:rPr>
                <w:rFonts w:hint="default" w:ascii="Arial" w:hAnsi="Arial" w:eastAsia="宋体" w:cs="Arial"/>
                <w:b/>
                <w:bCs/>
                <w:i w:val="0"/>
                <w:iCs w:val="0"/>
                <w:caps w:val="0"/>
                <w:color w:val="333333"/>
                <w:spacing w:val="2"/>
                <w:kern w:val="0"/>
                <w:sz w:val="18"/>
                <w:szCs w:val="18"/>
                <w:lang w:val="en-US" w:eastAsia="zh-CN" w:bidi="ar"/>
              </w:rPr>
              <w:t>Effect estimate (95% CI)</w:t>
            </w:r>
          </w:p>
        </w:tc>
        <w:tc>
          <w:tcPr>
            <w:tcW w:w="1164" w:type="dxa"/>
            <w:tcBorders>
              <w:bottom w:val="single" w:color="auto" w:sz="4" w:space="0"/>
            </w:tcBorders>
            <w:vAlign w:val="center"/>
          </w:tcPr>
          <w:p w14:paraId="3921F79E">
            <w:pPr>
              <w:keepNext w:val="0"/>
              <w:keepLines w:val="0"/>
              <w:pageBreakBefore w:val="0"/>
              <w:widowControl/>
              <w:suppressLineNumbers w:val="0"/>
              <w:kinsoku/>
              <w:wordWrap/>
              <w:overflowPunct/>
              <w:topLinePunct w:val="0"/>
              <w:autoSpaceDE/>
              <w:autoSpaceDN/>
              <w:bidi w:val="0"/>
              <w:adjustRightInd/>
              <w:snapToGrid/>
              <w:spacing w:beforeAutospacing="0" w:afterAutospacing="0" w:line="14" w:lineRule="atLeast"/>
              <w:jc w:val="center"/>
              <w:textAlignment w:val="auto"/>
              <w:rPr>
                <w:rFonts w:hint="default" w:ascii="Arial" w:hAnsi="Arial" w:eastAsia="宋体" w:cs="Arial"/>
                <w:b/>
                <w:bCs/>
                <w:i w:val="0"/>
                <w:iCs w:val="0"/>
                <w:caps w:val="0"/>
                <w:color w:val="333333"/>
                <w:spacing w:val="2"/>
                <w:kern w:val="0"/>
                <w:sz w:val="18"/>
                <w:szCs w:val="18"/>
                <w:lang w:val="en-US" w:eastAsia="zh-CN" w:bidi="ar"/>
              </w:rPr>
            </w:pPr>
            <w:r>
              <w:rPr>
                <w:rFonts w:hint="default" w:ascii="Arial" w:hAnsi="Arial" w:eastAsia="宋体" w:cs="Arial"/>
                <w:b/>
                <w:bCs/>
                <w:i w:val="0"/>
                <w:iCs w:val="0"/>
                <w:caps w:val="0"/>
                <w:color w:val="333333"/>
                <w:spacing w:val="2"/>
                <w:kern w:val="0"/>
                <w:sz w:val="18"/>
                <w:szCs w:val="18"/>
                <w:lang w:val="en-US" w:eastAsia="zh-CN" w:bidi="ar"/>
              </w:rPr>
              <w:t>Certainty</w:t>
            </w:r>
          </w:p>
        </w:tc>
      </w:tr>
      <w:tr w14:paraId="357F420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left w:w="108" w:type="dxa"/>
            <w:right w:w="108" w:type="dxa"/>
          </w:tblCellMar>
        </w:tblPrEx>
        <w:trPr>
          <w:cantSplit/>
          <w:tblHeader/>
        </w:trPr>
        <w:tc>
          <w:tcPr>
            <w:tcW w:w="1885" w:type="dxa"/>
            <w:tcBorders>
              <w:top w:val="single" w:color="auto" w:sz="4" w:space="0"/>
            </w:tcBorders>
          </w:tcPr>
          <w:p w14:paraId="0B83AE92">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Style w:val="6"/>
                <w:rFonts w:hint="default" w:ascii="Times New Roman" w:hAnsi="Times New Roman" w:eastAsia="Helvetica" w:cs="Times New Roman"/>
                <w:b w:val="0"/>
                <w:bCs w:val="0"/>
                <w:i w:val="0"/>
                <w:iCs w:val="0"/>
                <w:caps w:val="0"/>
                <w:spacing w:val="2"/>
                <w:sz w:val="18"/>
                <w:szCs w:val="18"/>
                <w:shd w:val="clear" w:fill="FFFFFF"/>
                <w:vertAlign w:val="baseline"/>
              </w:rPr>
            </w:pPr>
            <w:r>
              <w:rPr>
                <w:rFonts w:hint="default" w:ascii="Times New Roman" w:hAnsi="Times New Roman" w:eastAsia="Helvetica" w:cs="Times New Roman"/>
                <w:i w:val="0"/>
                <w:iCs w:val="0"/>
                <w:caps w:val="0"/>
                <w:spacing w:val="2"/>
                <w:sz w:val="18"/>
                <w:szCs w:val="18"/>
                <w:shd w:val="clear" w:fill="FFFFFF"/>
              </w:rPr>
              <w:t>Short-term mortality—seven-day mean chloride</w:t>
            </w:r>
          </w:p>
        </w:tc>
        <w:tc>
          <w:tcPr>
            <w:tcW w:w="1596" w:type="dxa"/>
            <w:tcBorders>
              <w:top w:val="single" w:color="auto" w:sz="4" w:space="0"/>
            </w:tcBorders>
          </w:tcPr>
          <w:p w14:paraId="78F7920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2 (2)</w:t>
            </w:r>
          </w:p>
        </w:tc>
        <w:tc>
          <w:tcPr>
            <w:tcW w:w="1452" w:type="dxa"/>
            <w:tcBorders>
              <w:top w:val="single" w:color="auto" w:sz="4" w:space="0"/>
            </w:tcBorders>
          </w:tcPr>
          <w:p w14:paraId="7B65E58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Observational cohorts</w:t>
            </w:r>
          </w:p>
        </w:tc>
        <w:tc>
          <w:tcPr>
            <w:tcW w:w="1356" w:type="dxa"/>
            <w:tcBorders>
              <w:top w:val="single" w:color="auto" w:sz="4" w:space="0"/>
            </w:tcBorders>
          </w:tcPr>
          <w:p w14:paraId="3466CE8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Not seriousᵃ</w:t>
            </w:r>
          </w:p>
        </w:tc>
        <w:tc>
          <w:tcPr>
            <w:tcW w:w="1512" w:type="dxa"/>
            <w:tcBorders>
              <w:top w:val="single" w:color="auto" w:sz="4" w:space="0"/>
            </w:tcBorders>
          </w:tcPr>
          <w:p w14:paraId="14B0FF2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Not seriousᵇ</w:t>
            </w:r>
          </w:p>
        </w:tc>
        <w:tc>
          <w:tcPr>
            <w:tcW w:w="1368" w:type="dxa"/>
            <w:tcBorders>
              <w:top w:val="single" w:color="auto" w:sz="4" w:space="0"/>
            </w:tcBorders>
          </w:tcPr>
          <w:p w14:paraId="4345CC6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Not seriousᶜ</w:t>
            </w:r>
          </w:p>
        </w:tc>
        <w:tc>
          <w:tcPr>
            <w:tcW w:w="1344" w:type="dxa"/>
            <w:tcBorders>
              <w:top w:val="single" w:color="auto" w:sz="4" w:space="0"/>
            </w:tcBorders>
          </w:tcPr>
          <w:p w14:paraId="6BD7611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Not seriousᵈ</w:t>
            </w:r>
          </w:p>
        </w:tc>
        <w:tc>
          <w:tcPr>
            <w:tcW w:w="1680" w:type="dxa"/>
            <w:tcBorders>
              <w:top w:val="single" w:color="auto" w:sz="4" w:space="0"/>
            </w:tcBorders>
          </w:tcPr>
          <w:p w14:paraId="44D7078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None</w:t>
            </w:r>
          </w:p>
        </w:tc>
        <w:tc>
          <w:tcPr>
            <w:tcW w:w="2148" w:type="dxa"/>
            <w:tcBorders>
              <w:top w:val="single" w:color="auto" w:sz="4" w:space="0"/>
            </w:tcBorders>
          </w:tcPr>
          <w:p w14:paraId="6C7ACF5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aOR</w:t>
            </w:r>
            <w:r>
              <w:rPr>
                <w:rFonts w:hint="default" w:ascii="Times New Roman" w:hAnsi="Times New Roman" w:eastAsia="Helvetica" w:cs="Times New Roman"/>
                <w:i w:val="0"/>
                <w:iCs w:val="0"/>
                <w:caps w:val="0"/>
                <w:spacing w:val="2"/>
                <w:sz w:val="18"/>
                <w:szCs w:val="18"/>
                <w:shd w:val="clear" w:fill="FFFFFF"/>
                <w:lang w:val="en-US" w:eastAsia="zh-CN"/>
              </w:rPr>
              <w:t xml:space="preserve"> </w:t>
            </w:r>
            <w:r>
              <w:rPr>
                <w:rFonts w:hint="default" w:ascii="Times New Roman" w:hAnsi="Times New Roman" w:eastAsia="Helvetica" w:cs="Times New Roman"/>
                <w:i w:val="0"/>
                <w:iCs w:val="0"/>
                <w:caps w:val="0"/>
                <w:spacing w:val="2"/>
                <w:sz w:val="18"/>
                <w:szCs w:val="18"/>
                <w:shd w:val="clear" w:fill="FFFFFF"/>
              </w:rPr>
              <w:t>2.34 (1.57–3.48)</w:t>
            </w:r>
          </w:p>
        </w:tc>
        <w:tc>
          <w:tcPr>
            <w:tcW w:w="1164" w:type="dxa"/>
            <w:tcBorders>
              <w:top w:val="single" w:color="auto" w:sz="4" w:space="0"/>
            </w:tcBorders>
          </w:tcPr>
          <w:p w14:paraId="7E2F002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w:t>
            </w:r>
          </w:p>
          <w:p w14:paraId="107C878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eastAsia" w:ascii="Times New Roman" w:hAnsi="Times New Roman" w:eastAsia="宋体" w:cs="Times New Roman"/>
                <w:i w:val="0"/>
                <w:iCs w:val="0"/>
                <w:caps w:val="0"/>
                <w:spacing w:val="2"/>
                <w:sz w:val="18"/>
                <w:szCs w:val="18"/>
                <w:shd w:val="clear" w:fill="FFFFFF"/>
                <w:lang w:val="en-US" w:eastAsia="zh-CN"/>
              </w:rPr>
              <w:t>L</w:t>
            </w:r>
            <w:r>
              <w:rPr>
                <w:rFonts w:hint="default" w:ascii="Times New Roman" w:hAnsi="Times New Roman" w:eastAsia="Helvetica" w:cs="Times New Roman"/>
                <w:i w:val="0"/>
                <w:iCs w:val="0"/>
                <w:caps w:val="0"/>
                <w:spacing w:val="2"/>
                <w:sz w:val="18"/>
                <w:szCs w:val="18"/>
                <w:shd w:val="clear" w:fill="FFFFFF"/>
              </w:rPr>
              <w:t xml:space="preserve">ow </w:t>
            </w:r>
          </w:p>
        </w:tc>
      </w:tr>
      <w:tr w14:paraId="2D9C293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left w:w="108" w:type="dxa"/>
            <w:right w:w="108" w:type="dxa"/>
          </w:tblCellMar>
        </w:tblPrEx>
        <w:trPr>
          <w:cantSplit/>
          <w:tblHeader/>
        </w:trPr>
        <w:tc>
          <w:tcPr>
            <w:tcW w:w="1885" w:type="dxa"/>
          </w:tcPr>
          <w:p w14:paraId="5D02FC8F">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Style w:val="6"/>
                <w:rFonts w:hint="default" w:ascii="Times New Roman" w:hAnsi="Times New Roman" w:eastAsia="Helvetica" w:cs="Times New Roman"/>
                <w:b w:val="0"/>
                <w:bCs w:val="0"/>
                <w:i w:val="0"/>
                <w:iCs w:val="0"/>
                <w:caps w:val="0"/>
                <w:spacing w:val="2"/>
                <w:sz w:val="18"/>
                <w:szCs w:val="18"/>
                <w:shd w:val="clear" w:fill="FFFFFF"/>
                <w:vertAlign w:val="baseline"/>
              </w:rPr>
            </w:pPr>
            <w:r>
              <w:rPr>
                <w:rFonts w:hint="default" w:ascii="Helvetica" w:hAnsi="Helvetica" w:eastAsia="Helvetica" w:cs="Helvetica"/>
                <w:i w:val="0"/>
                <w:iCs w:val="0"/>
                <w:caps w:val="0"/>
                <w:spacing w:val="2"/>
                <w:sz w:val="18"/>
                <w:szCs w:val="18"/>
                <w:shd w:val="clear" w:fill="FFFFFF"/>
              </w:rPr>
              <w:t>Acute kidney injury—ICU-period chloride measures</w:t>
            </w:r>
          </w:p>
        </w:tc>
        <w:tc>
          <w:tcPr>
            <w:tcW w:w="1596" w:type="dxa"/>
          </w:tcPr>
          <w:p w14:paraId="58B2683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3 (3)</w:t>
            </w:r>
          </w:p>
        </w:tc>
        <w:tc>
          <w:tcPr>
            <w:tcW w:w="1452" w:type="dxa"/>
          </w:tcPr>
          <w:p w14:paraId="5F94991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Observational cohorts</w:t>
            </w:r>
          </w:p>
        </w:tc>
        <w:tc>
          <w:tcPr>
            <w:tcW w:w="1356" w:type="dxa"/>
          </w:tcPr>
          <w:p w14:paraId="6FA0BDA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Seriousᵉ</w:t>
            </w:r>
          </w:p>
        </w:tc>
        <w:tc>
          <w:tcPr>
            <w:tcW w:w="1512" w:type="dxa"/>
          </w:tcPr>
          <w:p w14:paraId="583BED6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Not seriousᶠ</w:t>
            </w:r>
          </w:p>
        </w:tc>
        <w:tc>
          <w:tcPr>
            <w:tcW w:w="1368" w:type="dxa"/>
          </w:tcPr>
          <w:p w14:paraId="4E105F8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Not seriousᵍ</w:t>
            </w:r>
          </w:p>
        </w:tc>
        <w:tc>
          <w:tcPr>
            <w:tcW w:w="1344" w:type="dxa"/>
          </w:tcPr>
          <w:p w14:paraId="05A58BC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Not seriousʰ</w:t>
            </w:r>
          </w:p>
        </w:tc>
        <w:tc>
          <w:tcPr>
            <w:tcW w:w="1680" w:type="dxa"/>
          </w:tcPr>
          <w:p w14:paraId="37BE01E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None</w:t>
            </w:r>
          </w:p>
        </w:tc>
        <w:tc>
          <w:tcPr>
            <w:tcW w:w="2148" w:type="dxa"/>
          </w:tcPr>
          <w:p w14:paraId="131F871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aOR 2.10 (1.58–2.79)</w:t>
            </w:r>
          </w:p>
        </w:tc>
        <w:tc>
          <w:tcPr>
            <w:tcW w:w="1164" w:type="dxa"/>
          </w:tcPr>
          <w:p w14:paraId="3292D6F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w:t>
            </w:r>
          </w:p>
          <w:p w14:paraId="0DD64D5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Very low</w:t>
            </w:r>
          </w:p>
        </w:tc>
      </w:tr>
      <w:tr w14:paraId="5EE0FA4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left w:w="108" w:type="dxa"/>
            <w:right w:w="108" w:type="dxa"/>
          </w:tblCellMar>
        </w:tblPrEx>
        <w:trPr>
          <w:cantSplit/>
          <w:tblHeader/>
        </w:trPr>
        <w:tc>
          <w:tcPr>
            <w:tcW w:w="1885" w:type="dxa"/>
          </w:tcPr>
          <w:p w14:paraId="51338CAE">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Style w:val="6"/>
                <w:rFonts w:hint="default" w:ascii="Times New Roman" w:hAnsi="Times New Roman" w:eastAsia="Helvetica" w:cs="Times New Roman"/>
                <w:b w:val="0"/>
                <w:bCs w:val="0"/>
                <w:i w:val="0"/>
                <w:iCs w:val="0"/>
                <w:caps w:val="0"/>
                <w:spacing w:val="2"/>
                <w:sz w:val="18"/>
                <w:szCs w:val="18"/>
                <w:shd w:val="clear" w:fill="FFFFFF"/>
                <w:vertAlign w:val="baseline"/>
              </w:rPr>
            </w:pPr>
            <w:r>
              <w:rPr>
                <w:rFonts w:hint="default" w:ascii="Helvetica" w:hAnsi="Helvetica" w:eastAsia="Helvetica" w:cs="Helvetica"/>
                <w:i w:val="0"/>
                <w:iCs w:val="0"/>
                <w:caps w:val="0"/>
                <w:spacing w:val="2"/>
                <w:sz w:val="18"/>
                <w:szCs w:val="18"/>
                <w:shd w:val="clear" w:fill="FFFFFF"/>
              </w:rPr>
              <w:t>Renal replacement therapy</w:t>
            </w:r>
          </w:p>
        </w:tc>
        <w:tc>
          <w:tcPr>
            <w:tcW w:w="1596" w:type="dxa"/>
          </w:tcPr>
          <w:p w14:paraId="336DA7C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2 (2)</w:t>
            </w:r>
          </w:p>
        </w:tc>
        <w:tc>
          <w:tcPr>
            <w:tcW w:w="1452" w:type="dxa"/>
          </w:tcPr>
          <w:p w14:paraId="7CDDD8D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Observational cohorts</w:t>
            </w:r>
          </w:p>
        </w:tc>
        <w:tc>
          <w:tcPr>
            <w:tcW w:w="1356" w:type="dxa"/>
          </w:tcPr>
          <w:p w14:paraId="0609B16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Not seriousⁱ</w:t>
            </w:r>
          </w:p>
        </w:tc>
        <w:tc>
          <w:tcPr>
            <w:tcW w:w="1512" w:type="dxa"/>
          </w:tcPr>
          <w:p w14:paraId="3A237BC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Seriousʲ</w:t>
            </w:r>
          </w:p>
        </w:tc>
        <w:tc>
          <w:tcPr>
            <w:tcW w:w="1368" w:type="dxa"/>
          </w:tcPr>
          <w:p w14:paraId="70B4F54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Not seriousᵏ</w:t>
            </w:r>
          </w:p>
        </w:tc>
        <w:tc>
          <w:tcPr>
            <w:tcW w:w="1344" w:type="dxa"/>
          </w:tcPr>
          <w:p w14:paraId="0785481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Seriousˡ</w:t>
            </w:r>
          </w:p>
        </w:tc>
        <w:tc>
          <w:tcPr>
            <w:tcW w:w="1680" w:type="dxa"/>
          </w:tcPr>
          <w:p w14:paraId="7C0EEDC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None</w:t>
            </w:r>
          </w:p>
        </w:tc>
        <w:tc>
          <w:tcPr>
            <w:tcW w:w="2148" w:type="dxa"/>
          </w:tcPr>
          <w:p w14:paraId="1AF3FC9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Mitting 2023: aOR 1.6 (1.0–2.5), P=0.07; Barhight 2021: aOR 0.10 (0.02–0.54). Not pooled.</w:t>
            </w:r>
          </w:p>
        </w:tc>
        <w:tc>
          <w:tcPr>
            <w:tcW w:w="1164" w:type="dxa"/>
          </w:tcPr>
          <w:p w14:paraId="241C49E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w:t>
            </w:r>
          </w:p>
          <w:p w14:paraId="52533C48">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Style w:val="6"/>
                <w:rFonts w:hint="default" w:ascii="Times New Roman" w:hAnsi="Times New Roman" w:eastAsia="Helvetica" w:cs="Times New Roman"/>
                <w:b w:val="0"/>
                <w:bCs w:val="0"/>
                <w:i w:val="0"/>
                <w:iCs w:val="0"/>
                <w:caps w:val="0"/>
                <w:spacing w:val="2"/>
                <w:sz w:val="18"/>
                <w:szCs w:val="18"/>
                <w:shd w:val="clear" w:fill="FFFFFF"/>
                <w:vertAlign w:val="baseline"/>
              </w:rPr>
            </w:pPr>
            <w:r>
              <w:rPr>
                <w:rFonts w:hint="default" w:ascii="Times New Roman" w:hAnsi="Times New Roman" w:eastAsia="Helvetica" w:cs="Times New Roman"/>
                <w:i w:val="0"/>
                <w:iCs w:val="0"/>
                <w:caps w:val="0"/>
                <w:spacing w:val="2"/>
                <w:sz w:val="18"/>
                <w:szCs w:val="18"/>
                <w:shd w:val="clear" w:fill="FFFFFF"/>
              </w:rPr>
              <w:t>Very low</w:t>
            </w:r>
          </w:p>
        </w:tc>
      </w:tr>
    </w:tbl>
    <w:p w14:paraId="114B9EE2">
      <w:pPr>
        <w:rPr>
          <w:rStyle w:val="6"/>
          <w:rFonts w:hint="eastAsia" w:ascii="Times New Roman" w:hAnsi="Times New Roman" w:eastAsia="宋体" w:cs="Times New Roman"/>
          <w:b/>
          <w:bCs/>
          <w:i w:val="0"/>
          <w:iCs w:val="0"/>
          <w:caps w:val="0"/>
          <w:spacing w:val="2"/>
          <w:sz w:val="18"/>
          <w:szCs w:val="18"/>
          <w:shd w:val="clear" w:fill="FFFFFF"/>
          <w:lang w:val="en-US" w:eastAsia="zh-CN"/>
        </w:rPr>
      </w:pPr>
      <w:r>
        <w:rPr>
          <w:rStyle w:val="6"/>
          <w:rFonts w:hint="eastAsia" w:ascii="Times New Roman" w:hAnsi="Times New Roman" w:eastAsia="宋体" w:cs="Times New Roman"/>
          <w:b/>
          <w:bCs/>
          <w:i w:val="0"/>
          <w:iCs w:val="0"/>
          <w:caps w:val="0"/>
          <w:spacing w:val="2"/>
          <w:sz w:val="18"/>
          <w:szCs w:val="18"/>
          <w:shd w:val="clear" w:fill="FFFFFF"/>
          <w:lang w:val="en-US" w:eastAsia="zh-CN"/>
        </w:rPr>
        <w:br w:type="page"/>
      </w:r>
    </w:p>
    <w:p w14:paraId="33B3C850">
      <w:pPr>
        <w:keepNext w:val="0"/>
        <w:keepLines w:val="0"/>
        <w:pageBreakBefore w:val="0"/>
        <w:widowControl w:val="0"/>
        <w:kinsoku/>
        <w:wordWrap/>
        <w:overflowPunct/>
        <w:topLinePunct w:val="0"/>
        <w:autoSpaceDE/>
        <w:autoSpaceDN/>
        <w:bidi w:val="0"/>
        <w:adjustRightInd/>
        <w:snapToGrid/>
        <w:spacing w:after="200" w:line="240" w:lineRule="auto"/>
        <w:jc w:val="center"/>
        <w:textAlignment w:val="auto"/>
        <w:rPr>
          <w:rStyle w:val="6"/>
          <w:rFonts w:hint="eastAsia" w:ascii="Times New Roman" w:hAnsi="Times New Roman" w:eastAsia="Helvetica" w:cs="Times New Roman"/>
          <w:b w:val="0"/>
          <w:bCs w:val="0"/>
          <w:i w:val="0"/>
          <w:iCs w:val="0"/>
          <w:caps w:val="0"/>
          <w:spacing w:val="2"/>
          <w:sz w:val="20"/>
          <w:szCs w:val="20"/>
          <w:shd w:val="clear" w:fill="FFFFFF"/>
          <w:lang w:val="en-US" w:eastAsia="zh-CN"/>
        </w:rPr>
      </w:pPr>
      <w:r>
        <w:rPr>
          <w:rStyle w:val="6"/>
          <w:rFonts w:hint="default" w:ascii="Times New Roman" w:hAnsi="Times New Roman" w:eastAsia="Helvetica" w:cs="Times New Roman"/>
          <w:b/>
          <w:bCs/>
          <w:i w:val="0"/>
          <w:iCs w:val="0"/>
          <w:caps w:val="0"/>
          <w:spacing w:val="2"/>
          <w:sz w:val="20"/>
          <w:szCs w:val="20"/>
          <w:shd w:val="clear" w:fill="FFFFFF"/>
        </w:rPr>
        <w:t>Table 1.</w:t>
      </w:r>
      <w:r>
        <w:rPr>
          <w:rStyle w:val="6"/>
          <w:rFonts w:hint="default" w:ascii="Times New Roman" w:hAnsi="Times New Roman" w:eastAsia="Helvetica" w:cs="Times New Roman"/>
          <w:b w:val="0"/>
          <w:bCs w:val="0"/>
          <w:i w:val="0"/>
          <w:iCs w:val="0"/>
          <w:caps w:val="0"/>
          <w:spacing w:val="2"/>
          <w:sz w:val="20"/>
          <w:szCs w:val="20"/>
          <w:shd w:val="clear" w:fill="FFFFFF"/>
        </w:rPr>
        <w:t xml:space="preserve"> Continued</w:t>
      </w:r>
    </w:p>
    <w:tbl>
      <w:tblPr>
        <w:tblStyle w:val="4"/>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85"/>
        <w:gridCol w:w="1596"/>
        <w:gridCol w:w="1452"/>
        <w:gridCol w:w="1356"/>
        <w:gridCol w:w="1512"/>
        <w:gridCol w:w="1368"/>
        <w:gridCol w:w="1344"/>
        <w:gridCol w:w="1680"/>
        <w:gridCol w:w="2148"/>
        <w:gridCol w:w="1164"/>
      </w:tblGrid>
      <w:tr w14:paraId="378146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1885" w:type="dxa"/>
            <w:tcBorders>
              <w:bottom w:val="single" w:color="auto" w:sz="4" w:space="0"/>
            </w:tcBorders>
            <w:vAlign w:val="center"/>
          </w:tcPr>
          <w:p w14:paraId="72FA6C76">
            <w:pPr>
              <w:keepNext w:val="0"/>
              <w:keepLines w:val="0"/>
              <w:pageBreakBefore w:val="0"/>
              <w:widowControl/>
              <w:suppressLineNumbers w:val="0"/>
              <w:kinsoku/>
              <w:wordWrap/>
              <w:overflowPunct/>
              <w:topLinePunct w:val="0"/>
              <w:autoSpaceDE/>
              <w:autoSpaceDN/>
              <w:bidi w:val="0"/>
              <w:adjustRightInd/>
              <w:snapToGrid/>
              <w:spacing w:beforeAutospacing="0" w:afterAutospacing="0" w:line="14" w:lineRule="atLeast"/>
              <w:jc w:val="center"/>
              <w:textAlignment w:val="auto"/>
              <w:rPr>
                <w:rStyle w:val="6"/>
                <w:rFonts w:hint="default" w:ascii="Times New Roman" w:hAnsi="Times New Roman" w:eastAsia="Helvetica" w:cs="Times New Roman"/>
                <w:b w:val="0"/>
                <w:bCs w:val="0"/>
                <w:i w:val="0"/>
                <w:iCs w:val="0"/>
                <w:caps w:val="0"/>
                <w:spacing w:val="2"/>
                <w:sz w:val="18"/>
                <w:szCs w:val="18"/>
                <w:shd w:val="clear" w:fill="FFFFFF"/>
                <w:vertAlign w:val="baseline"/>
              </w:rPr>
            </w:pPr>
            <w:r>
              <w:rPr>
                <w:rFonts w:hint="default" w:ascii="Arial" w:hAnsi="Arial" w:eastAsia="宋体" w:cs="Arial"/>
                <w:b/>
                <w:bCs/>
                <w:i w:val="0"/>
                <w:iCs w:val="0"/>
                <w:caps w:val="0"/>
                <w:color w:val="333333"/>
                <w:spacing w:val="2"/>
                <w:kern w:val="0"/>
                <w:sz w:val="18"/>
                <w:szCs w:val="18"/>
                <w:lang w:val="en-US" w:eastAsia="zh-CN" w:bidi="ar"/>
              </w:rPr>
              <w:t>Outcome</w:t>
            </w:r>
          </w:p>
        </w:tc>
        <w:tc>
          <w:tcPr>
            <w:tcW w:w="1596" w:type="dxa"/>
            <w:tcBorders>
              <w:bottom w:val="single" w:color="auto" w:sz="4" w:space="0"/>
            </w:tcBorders>
            <w:vAlign w:val="center"/>
          </w:tcPr>
          <w:p w14:paraId="072C9245">
            <w:pPr>
              <w:keepNext w:val="0"/>
              <w:keepLines w:val="0"/>
              <w:pageBreakBefore w:val="0"/>
              <w:widowControl/>
              <w:suppressLineNumbers w:val="0"/>
              <w:kinsoku/>
              <w:wordWrap/>
              <w:overflowPunct/>
              <w:topLinePunct w:val="0"/>
              <w:autoSpaceDE/>
              <w:autoSpaceDN/>
              <w:bidi w:val="0"/>
              <w:adjustRightInd/>
              <w:snapToGrid/>
              <w:spacing w:beforeAutospacing="0" w:afterAutospacing="0" w:line="14" w:lineRule="atLeast"/>
              <w:jc w:val="center"/>
              <w:textAlignment w:val="auto"/>
              <w:rPr>
                <w:rFonts w:hint="default" w:ascii="Arial" w:hAnsi="Arial" w:eastAsia="宋体" w:cs="Arial"/>
                <w:b/>
                <w:bCs/>
                <w:i w:val="0"/>
                <w:iCs w:val="0"/>
                <w:caps w:val="0"/>
                <w:color w:val="333333"/>
                <w:spacing w:val="2"/>
                <w:kern w:val="0"/>
                <w:sz w:val="18"/>
                <w:szCs w:val="18"/>
                <w:lang w:val="en-US" w:eastAsia="zh-CN" w:bidi="ar"/>
              </w:rPr>
            </w:pPr>
            <w:r>
              <w:rPr>
                <w:rFonts w:hint="default" w:ascii="Arial" w:hAnsi="Arial" w:eastAsia="宋体" w:cs="Arial"/>
                <w:b/>
                <w:bCs/>
                <w:i w:val="0"/>
                <w:iCs w:val="0"/>
                <w:caps w:val="0"/>
                <w:color w:val="333333"/>
                <w:spacing w:val="2"/>
                <w:kern w:val="0"/>
                <w:sz w:val="18"/>
                <w:szCs w:val="18"/>
                <w:lang w:val="en-US" w:eastAsia="zh-CN" w:bidi="ar"/>
              </w:rPr>
              <w:t>Studies</w:t>
            </w:r>
          </w:p>
          <w:p w14:paraId="213979B7">
            <w:pPr>
              <w:keepNext w:val="0"/>
              <w:keepLines w:val="0"/>
              <w:pageBreakBefore w:val="0"/>
              <w:widowControl/>
              <w:suppressLineNumbers w:val="0"/>
              <w:kinsoku/>
              <w:wordWrap/>
              <w:overflowPunct/>
              <w:topLinePunct w:val="0"/>
              <w:autoSpaceDE/>
              <w:autoSpaceDN/>
              <w:bidi w:val="0"/>
              <w:adjustRightInd/>
              <w:snapToGrid/>
              <w:spacing w:beforeAutospacing="0" w:afterAutospacing="0" w:line="14" w:lineRule="atLeast"/>
              <w:jc w:val="center"/>
              <w:textAlignment w:val="auto"/>
              <w:rPr>
                <w:rStyle w:val="6"/>
                <w:rFonts w:hint="default" w:ascii="Times New Roman" w:hAnsi="Times New Roman" w:eastAsia="Helvetica" w:cs="Times New Roman"/>
                <w:b w:val="0"/>
                <w:bCs w:val="0"/>
                <w:i w:val="0"/>
                <w:iCs w:val="0"/>
                <w:caps w:val="0"/>
                <w:spacing w:val="2"/>
                <w:sz w:val="18"/>
                <w:szCs w:val="18"/>
                <w:shd w:val="clear" w:fill="FFFFFF"/>
                <w:vertAlign w:val="baseline"/>
              </w:rPr>
            </w:pPr>
            <w:r>
              <w:rPr>
                <w:rFonts w:hint="default" w:ascii="Arial" w:hAnsi="Arial" w:eastAsia="宋体" w:cs="Arial"/>
                <w:b/>
                <w:bCs/>
                <w:i w:val="0"/>
                <w:iCs w:val="0"/>
                <w:caps w:val="0"/>
                <w:color w:val="333333"/>
                <w:spacing w:val="2"/>
                <w:kern w:val="0"/>
                <w:sz w:val="18"/>
                <w:szCs w:val="18"/>
                <w:lang w:val="en-US" w:eastAsia="zh-CN" w:bidi="ar"/>
              </w:rPr>
              <w:t xml:space="preserve"> (independent cohorts)</w:t>
            </w:r>
          </w:p>
        </w:tc>
        <w:tc>
          <w:tcPr>
            <w:tcW w:w="1452" w:type="dxa"/>
            <w:tcBorders>
              <w:bottom w:val="single" w:color="auto" w:sz="4" w:space="0"/>
            </w:tcBorders>
            <w:vAlign w:val="center"/>
          </w:tcPr>
          <w:p w14:paraId="5D61F12C">
            <w:pPr>
              <w:keepNext w:val="0"/>
              <w:keepLines w:val="0"/>
              <w:pageBreakBefore w:val="0"/>
              <w:widowControl/>
              <w:suppressLineNumbers w:val="0"/>
              <w:kinsoku/>
              <w:wordWrap/>
              <w:overflowPunct/>
              <w:topLinePunct w:val="0"/>
              <w:autoSpaceDE/>
              <w:autoSpaceDN/>
              <w:bidi w:val="0"/>
              <w:adjustRightInd/>
              <w:snapToGrid/>
              <w:spacing w:beforeAutospacing="0" w:afterAutospacing="0" w:line="14" w:lineRule="atLeast"/>
              <w:jc w:val="center"/>
              <w:textAlignment w:val="auto"/>
              <w:rPr>
                <w:rStyle w:val="6"/>
                <w:rFonts w:hint="default" w:ascii="Times New Roman" w:hAnsi="Times New Roman" w:eastAsia="Helvetica" w:cs="Times New Roman"/>
                <w:b w:val="0"/>
                <w:bCs w:val="0"/>
                <w:i w:val="0"/>
                <w:iCs w:val="0"/>
                <w:caps w:val="0"/>
                <w:spacing w:val="2"/>
                <w:sz w:val="18"/>
                <w:szCs w:val="18"/>
                <w:shd w:val="clear" w:fill="FFFFFF"/>
                <w:vertAlign w:val="baseline"/>
              </w:rPr>
            </w:pPr>
            <w:r>
              <w:rPr>
                <w:rFonts w:hint="default" w:ascii="Arial" w:hAnsi="Arial" w:eastAsia="宋体" w:cs="Arial"/>
                <w:b/>
                <w:bCs/>
                <w:i w:val="0"/>
                <w:iCs w:val="0"/>
                <w:caps w:val="0"/>
                <w:color w:val="333333"/>
                <w:spacing w:val="2"/>
                <w:kern w:val="0"/>
                <w:sz w:val="18"/>
                <w:szCs w:val="18"/>
                <w:lang w:val="en-US" w:eastAsia="zh-CN" w:bidi="ar"/>
              </w:rPr>
              <w:t>Study design</w:t>
            </w:r>
          </w:p>
        </w:tc>
        <w:tc>
          <w:tcPr>
            <w:tcW w:w="1356" w:type="dxa"/>
            <w:tcBorders>
              <w:bottom w:val="single" w:color="auto" w:sz="4" w:space="0"/>
            </w:tcBorders>
            <w:vAlign w:val="center"/>
          </w:tcPr>
          <w:p w14:paraId="2290E537">
            <w:pPr>
              <w:keepNext w:val="0"/>
              <w:keepLines w:val="0"/>
              <w:pageBreakBefore w:val="0"/>
              <w:widowControl/>
              <w:suppressLineNumbers w:val="0"/>
              <w:kinsoku/>
              <w:wordWrap/>
              <w:overflowPunct/>
              <w:topLinePunct w:val="0"/>
              <w:autoSpaceDE/>
              <w:autoSpaceDN/>
              <w:bidi w:val="0"/>
              <w:adjustRightInd/>
              <w:snapToGrid/>
              <w:spacing w:beforeAutospacing="0" w:afterAutospacing="0" w:line="14" w:lineRule="atLeast"/>
              <w:jc w:val="center"/>
              <w:textAlignment w:val="auto"/>
              <w:rPr>
                <w:rStyle w:val="6"/>
                <w:rFonts w:hint="default" w:ascii="Times New Roman" w:hAnsi="Times New Roman" w:eastAsia="Helvetica" w:cs="Times New Roman"/>
                <w:b w:val="0"/>
                <w:bCs w:val="0"/>
                <w:i w:val="0"/>
                <w:iCs w:val="0"/>
                <w:caps w:val="0"/>
                <w:spacing w:val="2"/>
                <w:sz w:val="18"/>
                <w:szCs w:val="18"/>
                <w:shd w:val="clear" w:fill="FFFFFF"/>
                <w:vertAlign w:val="baseline"/>
              </w:rPr>
            </w:pPr>
            <w:r>
              <w:rPr>
                <w:rFonts w:hint="default" w:ascii="Arial" w:hAnsi="Arial" w:eastAsia="宋体" w:cs="Arial"/>
                <w:b/>
                <w:bCs/>
                <w:i w:val="0"/>
                <w:iCs w:val="0"/>
                <w:caps w:val="0"/>
                <w:color w:val="333333"/>
                <w:spacing w:val="2"/>
                <w:kern w:val="0"/>
                <w:sz w:val="18"/>
                <w:szCs w:val="18"/>
                <w:lang w:val="en-US" w:eastAsia="zh-CN" w:bidi="ar"/>
              </w:rPr>
              <w:t>Risk of bias</w:t>
            </w:r>
          </w:p>
        </w:tc>
        <w:tc>
          <w:tcPr>
            <w:tcW w:w="1512" w:type="dxa"/>
            <w:tcBorders>
              <w:bottom w:val="single" w:color="auto" w:sz="4" w:space="0"/>
            </w:tcBorders>
            <w:vAlign w:val="center"/>
          </w:tcPr>
          <w:p w14:paraId="4AD7C7BE">
            <w:pPr>
              <w:keepNext w:val="0"/>
              <w:keepLines w:val="0"/>
              <w:pageBreakBefore w:val="0"/>
              <w:widowControl/>
              <w:suppressLineNumbers w:val="0"/>
              <w:kinsoku/>
              <w:wordWrap/>
              <w:overflowPunct/>
              <w:topLinePunct w:val="0"/>
              <w:autoSpaceDE/>
              <w:autoSpaceDN/>
              <w:bidi w:val="0"/>
              <w:adjustRightInd/>
              <w:snapToGrid/>
              <w:spacing w:beforeAutospacing="0" w:afterAutospacing="0" w:line="14" w:lineRule="atLeast"/>
              <w:jc w:val="center"/>
              <w:textAlignment w:val="auto"/>
              <w:rPr>
                <w:rStyle w:val="6"/>
                <w:rFonts w:hint="default" w:ascii="Times New Roman" w:hAnsi="Times New Roman" w:eastAsia="Helvetica" w:cs="Times New Roman"/>
                <w:b w:val="0"/>
                <w:bCs w:val="0"/>
                <w:i w:val="0"/>
                <w:iCs w:val="0"/>
                <w:caps w:val="0"/>
                <w:spacing w:val="2"/>
                <w:sz w:val="18"/>
                <w:szCs w:val="18"/>
                <w:shd w:val="clear" w:fill="FFFFFF"/>
                <w:vertAlign w:val="baseline"/>
              </w:rPr>
            </w:pPr>
            <w:r>
              <w:rPr>
                <w:rFonts w:hint="default" w:ascii="Arial" w:hAnsi="Arial" w:eastAsia="宋体" w:cs="Arial"/>
                <w:b/>
                <w:bCs/>
                <w:i w:val="0"/>
                <w:iCs w:val="0"/>
                <w:caps w:val="0"/>
                <w:color w:val="333333"/>
                <w:spacing w:val="2"/>
                <w:kern w:val="0"/>
                <w:sz w:val="18"/>
                <w:szCs w:val="18"/>
                <w:lang w:val="en-US" w:eastAsia="zh-CN" w:bidi="ar"/>
              </w:rPr>
              <w:t>Inconsistency</w:t>
            </w:r>
          </w:p>
        </w:tc>
        <w:tc>
          <w:tcPr>
            <w:tcW w:w="1368" w:type="dxa"/>
            <w:tcBorders>
              <w:bottom w:val="single" w:color="auto" w:sz="4" w:space="0"/>
            </w:tcBorders>
            <w:vAlign w:val="center"/>
          </w:tcPr>
          <w:p w14:paraId="3CDA3F07">
            <w:pPr>
              <w:keepNext w:val="0"/>
              <w:keepLines w:val="0"/>
              <w:pageBreakBefore w:val="0"/>
              <w:widowControl/>
              <w:suppressLineNumbers w:val="0"/>
              <w:kinsoku/>
              <w:wordWrap/>
              <w:overflowPunct/>
              <w:topLinePunct w:val="0"/>
              <w:autoSpaceDE/>
              <w:autoSpaceDN/>
              <w:bidi w:val="0"/>
              <w:adjustRightInd/>
              <w:snapToGrid/>
              <w:spacing w:beforeAutospacing="0" w:afterAutospacing="0" w:line="14" w:lineRule="atLeast"/>
              <w:jc w:val="center"/>
              <w:textAlignment w:val="auto"/>
              <w:rPr>
                <w:rStyle w:val="6"/>
                <w:rFonts w:hint="default" w:ascii="Times New Roman" w:hAnsi="Times New Roman" w:eastAsia="Helvetica" w:cs="Times New Roman"/>
                <w:b w:val="0"/>
                <w:bCs w:val="0"/>
                <w:i w:val="0"/>
                <w:iCs w:val="0"/>
                <w:caps w:val="0"/>
                <w:spacing w:val="2"/>
                <w:sz w:val="18"/>
                <w:szCs w:val="18"/>
                <w:shd w:val="clear" w:fill="FFFFFF"/>
                <w:vertAlign w:val="baseline"/>
              </w:rPr>
            </w:pPr>
            <w:r>
              <w:rPr>
                <w:rFonts w:hint="default" w:ascii="Arial" w:hAnsi="Arial" w:eastAsia="宋体" w:cs="Arial"/>
                <w:b/>
                <w:bCs/>
                <w:i w:val="0"/>
                <w:iCs w:val="0"/>
                <w:caps w:val="0"/>
                <w:color w:val="333333"/>
                <w:spacing w:val="2"/>
                <w:kern w:val="0"/>
                <w:sz w:val="18"/>
                <w:szCs w:val="18"/>
                <w:lang w:val="en-US" w:eastAsia="zh-CN" w:bidi="ar"/>
              </w:rPr>
              <w:t>Indirectness</w:t>
            </w:r>
          </w:p>
        </w:tc>
        <w:tc>
          <w:tcPr>
            <w:tcW w:w="1344" w:type="dxa"/>
            <w:tcBorders>
              <w:bottom w:val="single" w:color="auto" w:sz="4" w:space="0"/>
            </w:tcBorders>
            <w:vAlign w:val="center"/>
          </w:tcPr>
          <w:p w14:paraId="4B9E5EB3">
            <w:pPr>
              <w:keepNext w:val="0"/>
              <w:keepLines w:val="0"/>
              <w:pageBreakBefore w:val="0"/>
              <w:widowControl/>
              <w:suppressLineNumbers w:val="0"/>
              <w:kinsoku/>
              <w:wordWrap/>
              <w:overflowPunct/>
              <w:topLinePunct w:val="0"/>
              <w:autoSpaceDE/>
              <w:autoSpaceDN/>
              <w:bidi w:val="0"/>
              <w:adjustRightInd/>
              <w:snapToGrid/>
              <w:spacing w:beforeAutospacing="0" w:afterAutospacing="0" w:line="14" w:lineRule="atLeast"/>
              <w:jc w:val="center"/>
              <w:textAlignment w:val="auto"/>
              <w:rPr>
                <w:rStyle w:val="6"/>
                <w:rFonts w:hint="default" w:ascii="Times New Roman" w:hAnsi="Times New Roman" w:eastAsia="Helvetica" w:cs="Times New Roman"/>
                <w:b w:val="0"/>
                <w:bCs w:val="0"/>
                <w:i w:val="0"/>
                <w:iCs w:val="0"/>
                <w:caps w:val="0"/>
                <w:spacing w:val="2"/>
                <w:sz w:val="18"/>
                <w:szCs w:val="18"/>
                <w:shd w:val="clear" w:fill="FFFFFF"/>
                <w:vertAlign w:val="baseline"/>
              </w:rPr>
            </w:pPr>
            <w:r>
              <w:rPr>
                <w:rFonts w:hint="default" w:ascii="Arial" w:hAnsi="Arial" w:eastAsia="宋体" w:cs="Arial"/>
                <w:b/>
                <w:bCs/>
                <w:i w:val="0"/>
                <w:iCs w:val="0"/>
                <w:caps w:val="0"/>
                <w:color w:val="333333"/>
                <w:spacing w:val="2"/>
                <w:kern w:val="0"/>
                <w:sz w:val="18"/>
                <w:szCs w:val="18"/>
                <w:lang w:val="en-US" w:eastAsia="zh-CN" w:bidi="ar"/>
              </w:rPr>
              <w:t>Imprecision</w:t>
            </w:r>
          </w:p>
        </w:tc>
        <w:tc>
          <w:tcPr>
            <w:tcW w:w="1680" w:type="dxa"/>
            <w:tcBorders>
              <w:bottom w:val="single" w:color="auto" w:sz="4" w:space="0"/>
            </w:tcBorders>
            <w:vAlign w:val="center"/>
          </w:tcPr>
          <w:p w14:paraId="09E51A9B">
            <w:pPr>
              <w:keepNext w:val="0"/>
              <w:keepLines w:val="0"/>
              <w:pageBreakBefore w:val="0"/>
              <w:widowControl/>
              <w:suppressLineNumbers w:val="0"/>
              <w:kinsoku/>
              <w:wordWrap/>
              <w:overflowPunct/>
              <w:topLinePunct w:val="0"/>
              <w:autoSpaceDE/>
              <w:autoSpaceDN/>
              <w:bidi w:val="0"/>
              <w:adjustRightInd/>
              <w:snapToGrid/>
              <w:spacing w:beforeAutospacing="0" w:afterAutospacing="0" w:line="14" w:lineRule="atLeast"/>
              <w:jc w:val="center"/>
              <w:textAlignment w:val="auto"/>
              <w:rPr>
                <w:rStyle w:val="6"/>
                <w:rFonts w:hint="default" w:ascii="Times New Roman" w:hAnsi="Times New Roman" w:eastAsia="Helvetica" w:cs="Times New Roman"/>
                <w:b w:val="0"/>
                <w:bCs w:val="0"/>
                <w:i w:val="0"/>
                <w:iCs w:val="0"/>
                <w:caps w:val="0"/>
                <w:spacing w:val="2"/>
                <w:sz w:val="18"/>
                <w:szCs w:val="18"/>
                <w:shd w:val="clear" w:fill="FFFFFF"/>
                <w:vertAlign w:val="baseline"/>
              </w:rPr>
            </w:pPr>
            <w:r>
              <w:rPr>
                <w:rFonts w:hint="default" w:ascii="Arial" w:hAnsi="Arial" w:eastAsia="宋体" w:cs="Arial"/>
                <w:b/>
                <w:bCs/>
                <w:i w:val="0"/>
                <w:iCs w:val="0"/>
                <w:caps w:val="0"/>
                <w:color w:val="333333"/>
                <w:spacing w:val="2"/>
                <w:kern w:val="0"/>
                <w:sz w:val="18"/>
                <w:szCs w:val="18"/>
                <w:lang w:val="en-US" w:eastAsia="zh-CN" w:bidi="ar"/>
              </w:rPr>
              <w:t>Other considerations</w:t>
            </w:r>
          </w:p>
        </w:tc>
        <w:tc>
          <w:tcPr>
            <w:tcW w:w="2148" w:type="dxa"/>
            <w:tcBorders>
              <w:bottom w:val="single" w:color="auto" w:sz="4" w:space="0"/>
            </w:tcBorders>
            <w:vAlign w:val="center"/>
          </w:tcPr>
          <w:p w14:paraId="4F72C239">
            <w:pPr>
              <w:keepNext w:val="0"/>
              <w:keepLines w:val="0"/>
              <w:pageBreakBefore w:val="0"/>
              <w:widowControl/>
              <w:suppressLineNumbers w:val="0"/>
              <w:kinsoku/>
              <w:wordWrap/>
              <w:overflowPunct/>
              <w:topLinePunct w:val="0"/>
              <w:autoSpaceDE/>
              <w:autoSpaceDN/>
              <w:bidi w:val="0"/>
              <w:adjustRightInd/>
              <w:snapToGrid/>
              <w:spacing w:beforeAutospacing="0" w:afterAutospacing="0" w:line="14" w:lineRule="atLeast"/>
              <w:jc w:val="center"/>
              <w:textAlignment w:val="auto"/>
              <w:rPr>
                <w:rStyle w:val="6"/>
                <w:rFonts w:hint="default" w:ascii="Times New Roman" w:hAnsi="Times New Roman" w:eastAsia="Helvetica" w:cs="Times New Roman"/>
                <w:b w:val="0"/>
                <w:bCs w:val="0"/>
                <w:i w:val="0"/>
                <w:iCs w:val="0"/>
                <w:caps w:val="0"/>
                <w:spacing w:val="2"/>
                <w:sz w:val="18"/>
                <w:szCs w:val="18"/>
                <w:shd w:val="clear" w:fill="FFFFFF"/>
                <w:vertAlign w:val="baseline"/>
              </w:rPr>
            </w:pPr>
            <w:r>
              <w:rPr>
                <w:rFonts w:hint="default" w:ascii="Arial" w:hAnsi="Arial" w:eastAsia="宋体" w:cs="Arial"/>
                <w:b/>
                <w:bCs/>
                <w:i w:val="0"/>
                <w:iCs w:val="0"/>
                <w:caps w:val="0"/>
                <w:color w:val="333333"/>
                <w:spacing w:val="2"/>
                <w:kern w:val="0"/>
                <w:sz w:val="18"/>
                <w:szCs w:val="18"/>
                <w:lang w:val="en-US" w:eastAsia="zh-CN" w:bidi="ar"/>
              </w:rPr>
              <w:t>Effect estimate (95% CI)</w:t>
            </w:r>
          </w:p>
        </w:tc>
        <w:tc>
          <w:tcPr>
            <w:tcW w:w="1164" w:type="dxa"/>
            <w:tcBorders>
              <w:bottom w:val="single" w:color="auto" w:sz="4" w:space="0"/>
            </w:tcBorders>
            <w:vAlign w:val="center"/>
          </w:tcPr>
          <w:p w14:paraId="613DF356">
            <w:pPr>
              <w:keepNext w:val="0"/>
              <w:keepLines w:val="0"/>
              <w:pageBreakBefore w:val="0"/>
              <w:widowControl/>
              <w:suppressLineNumbers w:val="0"/>
              <w:kinsoku/>
              <w:wordWrap/>
              <w:overflowPunct/>
              <w:topLinePunct w:val="0"/>
              <w:autoSpaceDE/>
              <w:autoSpaceDN/>
              <w:bidi w:val="0"/>
              <w:adjustRightInd/>
              <w:snapToGrid/>
              <w:spacing w:beforeAutospacing="0" w:afterAutospacing="0" w:line="14" w:lineRule="atLeast"/>
              <w:jc w:val="center"/>
              <w:textAlignment w:val="auto"/>
              <w:rPr>
                <w:rFonts w:hint="default" w:ascii="Arial" w:hAnsi="Arial" w:eastAsia="宋体" w:cs="Arial"/>
                <w:b/>
                <w:bCs/>
                <w:i w:val="0"/>
                <w:iCs w:val="0"/>
                <w:caps w:val="0"/>
                <w:color w:val="333333"/>
                <w:spacing w:val="2"/>
                <w:kern w:val="0"/>
                <w:sz w:val="18"/>
                <w:szCs w:val="18"/>
                <w:lang w:val="en-US" w:eastAsia="zh-CN" w:bidi="ar"/>
              </w:rPr>
            </w:pPr>
            <w:r>
              <w:rPr>
                <w:rFonts w:hint="default" w:ascii="Arial" w:hAnsi="Arial" w:eastAsia="宋体" w:cs="Arial"/>
                <w:b/>
                <w:bCs/>
                <w:i w:val="0"/>
                <w:iCs w:val="0"/>
                <w:caps w:val="0"/>
                <w:color w:val="333333"/>
                <w:spacing w:val="2"/>
                <w:kern w:val="0"/>
                <w:sz w:val="18"/>
                <w:szCs w:val="18"/>
                <w:lang w:val="en-US" w:eastAsia="zh-CN" w:bidi="ar"/>
              </w:rPr>
              <w:t>Certainty</w:t>
            </w:r>
          </w:p>
        </w:tc>
      </w:tr>
      <w:tr w14:paraId="035626E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1885" w:type="dxa"/>
          </w:tcPr>
          <w:p w14:paraId="13298CF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Helvetica" w:hAnsi="Helvetica" w:eastAsia="Helvetica" w:cs="Helvetica"/>
                <w:i w:val="0"/>
                <w:iCs w:val="0"/>
                <w:caps w:val="0"/>
                <w:spacing w:val="2"/>
                <w:sz w:val="18"/>
                <w:szCs w:val="18"/>
                <w:shd w:val="clear" w:fill="FFFFFF"/>
              </w:rPr>
            </w:pPr>
            <w:r>
              <w:rPr>
                <w:rFonts w:ascii="Helvetica" w:hAnsi="Helvetica" w:eastAsia="Helvetica" w:cs="Helvetica"/>
                <w:i w:val="0"/>
                <w:iCs w:val="0"/>
                <w:caps w:val="0"/>
                <w:spacing w:val="2"/>
                <w:sz w:val="18"/>
                <w:szCs w:val="18"/>
                <w:shd w:val="clear" w:fill="FFFFFF"/>
              </w:rPr>
              <w:t>Duration of mechanical ventilation</w:t>
            </w:r>
          </w:p>
        </w:tc>
        <w:tc>
          <w:tcPr>
            <w:tcW w:w="1596" w:type="dxa"/>
          </w:tcPr>
          <w:p w14:paraId="24CAF12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1 (1)</w:t>
            </w:r>
          </w:p>
        </w:tc>
        <w:tc>
          <w:tcPr>
            <w:tcW w:w="1452" w:type="dxa"/>
          </w:tcPr>
          <w:p w14:paraId="639BCA6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Observational cohort</w:t>
            </w:r>
          </w:p>
        </w:tc>
        <w:tc>
          <w:tcPr>
            <w:tcW w:w="1356" w:type="dxa"/>
          </w:tcPr>
          <w:p w14:paraId="0D37460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Not seriousᵐ</w:t>
            </w:r>
          </w:p>
        </w:tc>
        <w:tc>
          <w:tcPr>
            <w:tcW w:w="1512" w:type="dxa"/>
          </w:tcPr>
          <w:p w14:paraId="1FE7A2C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Not assessedⁿ</w:t>
            </w:r>
          </w:p>
        </w:tc>
        <w:tc>
          <w:tcPr>
            <w:tcW w:w="1368" w:type="dxa"/>
          </w:tcPr>
          <w:p w14:paraId="77231B3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Not seriousᵒ</w:t>
            </w:r>
          </w:p>
        </w:tc>
        <w:tc>
          <w:tcPr>
            <w:tcW w:w="1344" w:type="dxa"/>
          </w:tcPr>
          <w:p w14:paraId="7122264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Seriousᵖ</w:t>
            </w:r>
          </w:p>
        </w:tc>
        <w:tc>
          <w:tcPr>
            <w:tcW w:w="1680" w:type="dxa"/>
          </w:tcPr>
          <w:p w14:paraId="6B660BA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None</w:t>
            </w:r>
          </w:p>
        </w:tc>
        <w:tc>
          <w:tcPr>
            <w:tcW w:w="2148" w:type="dxa"/>
          </w:tcPr>
          <w:p w14:paraId="1CC5D85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Invasive ventilation: adjusted conditional MD −1.76 days (−4.17 to 0.64), P=0.15; invasive plus non-invasive ventilation: −2.19 days (−5.09 to 0.71), P=0.14. Not pooled.</w:t>
            </w:r>
          </w:p>
        </w:tc>
        <w:tc>
          <w:tcPr>
            <w:tcW w:w="1164" w:type="dxa"/>
          </w:tcPr>
          <w:p w14:paraId="139203B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Helvetica" w:cs="Times New Roman"/>
                <w:i w:val="0"/>
                <w:iCs w:val="0"/>
                <w:caps w:val="0"/>
                <w:spacing w:val="2"/>
                <w:sz w:val="18"/>
                <w:szCs w:val="18"/>
                <w:shd w:val="clear" w:fill="FFFFFF"/>
              </w:rPr>
            </w:pPr>
            <w:r>
              <w:rPr>
                <w:rFonts w:hint="default" w:ascii="Times New Roman" w:hAnsi="Times New Roman" w:eastAsia="Helvetica" w:cs="Times New Roman"/>
                <w:i w:val="0"/>
                <w:iCs w:val="0"/>
                <w:caps w:val="0"/>
                <w:spacing w:val="2"/>
                <w:sz w:val="18"/>
                <w:szCs w:val="18"/>
                <w:shd w:val="clear" w:fill="FFFFFF"/>
              </w:rPr>
              <w:t>⨁◯◯◯</w:t>
            </w:r>
          </w:p>
          <w:p w14:paraId="504CF999">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Style w:val="6"/>
                <w:rFonts w:hint="default" w:ascii="Times New Roman" w:hAnsi="Times New Roman" w:eastAsia="Helvetica" w:cs="Times New Roman"/>
                <w:b w:val="0"/>
                <w:bCs w:val="0"/>
                <w:i w:val="0"/>
                <w:iCs w:val="0"/>
                <w:caps w:val="0"/>
                <w:spacing w:val="2"/>
                <w:sz w:val="18"/>
                <w:szCs w:val="18"/>
                <w:shd w:val="clear" w:fill="FFFFFF"/>
                <w:vertAlign w:val="baseline"/>
              </w:rPr>
            </w:pPr>
            <w:r>
              <w:rPr>
                <w:rFonts w:hint="default" w:ascii="Times New Roman" w:hAnsi="Times New Roman" w:eastAsia="Helvetica" w:cs="Times New Roman"/>
                <w:i w:val="0"/>
                <w:iCs w:val="0"/>
                <w:caps w:val="0"/>
                <w:spacing w:val="2"/>
                <w:sz w:val="18"/>
                <w:szCs w:val="18"/>
                <w:shd w:val="clear" w:fill="FFFFFF"/>
              </w:rPr>
              <w:t>Very low</w:t>
            </w:r>
          </w:p>
        </w:tc>
      </w:tr>
    </w:tbl>
    <w:p w14:paraId="534C02CC">
      <w:pPr>
        <w:numPr>
          <w:numId w:val="0"/>
        </w:numPr>
        <w:spacing w:line="360" w:lineRule="auto"/>
        <w:rPr>
          <w:rStyle w:val="6"/>
          <w:rFonts w:hint="default" w:ascii="Times New Roman" w:hAnsi="Times New Roman" w:eastAsia="Helvetica" w:cs="Times New Roman"/>
          <w:b w:val="0"/>
          <w:bCs w:val="0"/>
          <w:i w:val="0"/>
          <w:iCs w:val="0"/>
          <w:caps w:val="0"/>
          <w:spacing w:val="2"/>
          <w:sz w:val="18"/>
          <w:szCs w:val="18"/>
          <w:shd w:val="clear" w:fill="FFFFFF"/>
        </w:rPr>
      </w:pPr>
      <w:bookmarkStart w:id="0" w:name="_GoBack"/>
      <w:bookmarkEnd w:id="0"/>
      <w:r>
        <w:rPr>
          <w:rStyle w:val="6"/>
          <w:rFonts w:hint="eastAsia" w:ascii="Times New Roman" w:hAnsi="Times New Roman" w:eastAsia="宋体" w:cs="Times New Roman"/>
          <w:b/>
          <w:bCs/>
          <w:i w:val="0"/>
          <w:iCs w:val="0"/>
          <w:caps w:val="0"/>
          <w:spacing w:val="2"/>
          <w:sz w:val="18"/>
          <w:szCs w:val="18"/>
          <w:shd w:val="clear" w:fill="FFFFFF"/>
          <w:lang w:val="en-US" w:eastAsia="zh-CN"/>
        </w:rPr>
        <w:t xml:space="preserve">a. </w:t>
      </w:r>
      <w:r>
        <w:rPr>
          <w:rStyle w:val="6"/>
          <w:rFonts w:hint="default" w:ascii="Times New Roman" w:hAnsi="Times New Roman" w:eastAsia="Helvetica" w:cs="Times New Roman"/>
          <w:b w:val="0"/>
          <w:bCs w:val="0"/>
          <w:i w:val="0"/>
          <w:iCs w:val="0"/>
          <w:caps w:val="0"/>
          <w:spacing w:val="2"/>
          <w:sz w:val="18"/>
          <w:szCs w:val="18"/>
          <w:shd w:val="clear" w:fill="FFFFFF"/>
        </w:rPr>
        <w:t>The contributing cohorts scored 8–9 stars on the Newcastle–Ottawa Scale and reported multivariable-adjusted estimates. Risk of bias was not judged serious, although residual and unmeasured confounding cannot be excluded and causal inference remains unwarranted.</w:t>
      </w:r>
    </w:p>
    <w:p w14:paraId="6D387C76">
      <w:pPr>
        <w:numPr>
          <w:numId w:val="0"/>
        </w:numPr>
        <w:spacing w:line="360" w:lineRule="auto"/>
        <w:rPr>
          <w:rFonts w:hint="default" w:ascii="Times New Roman" w:hAnsi="Times New Roman" w:eastAsia="Helvetica" w:cs="Times New Roman"/>
          <w:i w:val="0"/>
          <w:iCs w:val="0"/>
          <w:caps w:val="0"/>
          <w:spacing w:val="2"/>
          <w:sz w:val="18"/>
          <w:szCs w:val="18"/>
          <w:shd w:val="clear" w:fill="FFFFFF"/>
        </w:rPr>
      </w:pPr>
      <w:r>
        <w:rPr>
          <w:rStyle w:val="6"/>
          <w:rFonts w:hint="default" w:ascii="Times New Roman" w:hAnsi="Times New Roman" w:eastAsia="Helvetica" w:cs="Times New Roman"/>
          <w:b/>
          <w:bCs/>
          <w:i w:val="0"/>
          <w:iCs w:val="0"/>
          <w:caps w:val="0"/>
          <w:spacing w:val="2"/>
          <w:sz w:val="18"/>
          <w:szCs w:val="18"/>
          <w:shd w:val="clear" w:fill="FFFFFF"/>
        </w:rPr>
        <w:t>b.</w:t>
      </w:r>
      <w:r>
        <w:rPr>
          <w:rFonts w:hint="default" w:ascii="Times New Roman" w:hAnsi="Times New Roman" w:eastAsia="Helvetica" w:cs="Times New Roman"/>
          <w:i w:val="0"/>
          <w:iCs w:val="0"/>
          <w:caps w:val="0"/>
          <w:spacing w:val="2"/>
          <w:sz w:val="18"/>
          <w:szCs w:val="18"/>
          <w:shd w:val="clear" w:fill="FFFFFF"/>
        </w:rPr>
        <w:t> The two estimates were directionally consistent, and statistical heterogeneity was not detected (I²=0%); however, this does not establish clinical or methodological homogeneity.</w:t>
      </w:r>
    </w:p>
    <w:p w14:paraId="150586B2">
      <w:pPr>
        <w:numPr>
          <w:numId w:val="0"/>
        </w:numPr>
        <w:spacing w:line="360" w:lineRule="auto"/>
        <w:rPr>
          <w:rFonts w:hint="default" w:ascii="Times New Roman" w:hAnsi="Times New Roman" w:eastAsia="Helvetica" w:cs="Times New Roman"/>
          <w:i w:val="0"/>
          <w:iCs w:val="0"/>
          <w:caps w:val="0"/>
          <w:spacing w:val="2"/>
          <w:sz w:val="18"/>
          <w:szCs w:val="18"/>
          <w:shd w:val="clear" w:fill="FFFFFF"/>
        </w:rPr>
      </w:pPr>
      <w:r>
        <w:rPr>
          <w:rStyle w:val="6"/>
          <w:rFonts w:hint="default" w:ascii="Times New Roman" w:hAnsi="Times New Roman" w:eastAsia="Helvetica" w:cs="Times New Roman"/>
          <w:b/>
          <w:bCs/>
          <w:i w:val="0"/>
          <w:iCs w:val="0"/>
          <w:caps w:val="0"/>
          <w:spacing w:val="2"/>
          <w:sz w:val="18"/>
          <w:szCs w:val="18"/>
          <w:shd w:val="clear" w:fill="FFFFFF"/>
        </w:rPr>
        <w:t>c.</w:t>
      </w:r>
      <w:r>
        <w:rPr>
          <w:rStyle w:val="6"/>
          <w:rFonts w:hint="eastAsia" w:ascii="Times New Roman" w:hAnsi="Times New Roman" w:eastAsia="宋体" w:cs="Times New Roman"/>
          <w:b/>
          <w:bCs/>
          <w:i w:val="0"/>
          <w:iCs w:val="0"/>
          <w:caps w:val="0"/>
          <w:spacing w:val="2"/>
          <w:sz w:val="18"/>
          <w:szCs w:val="18"/>
          <w:shd w:val="clear" w:fill="FFFFFF"/>
          <w:lang w:val="en-US" w:eastAsia="zh-CN"/>
        </w:rPr>
        <w:t xml:space="preserve"> </w:t>
      </w:r>
      <w:r>
        <w:rPr>
          <w:rFonts w:hint="default" w:ascii="Times New Roman" w:hAnsi="Times New Roman" w:eastAsia="Helvetica" w:cs="Times New Roman"/>
          <w:i w:val="0"/>
          <w:iCs w:val="0"/>
          <w:caps w:val="0"/>
          <w:spacing w:val="2"/>
          <w:sz w:val="18"/>
          <w:szCs w:val="18"/>
          <w:shd w:val="clear" w:fill="FFFFFF"/>
        </w:rPr>
        <w:t>The evidence directly addressed critically ill children, mean chloride during the first seven PICU days, and short-term mortality. Its applicability is limited to this exposure construct and should not be extended to all ICU-period chloride measures. </w:t>
      </w:r>
    </w:p>
    <w:p w14:paraId="7932B9BD">
      <w:pPr>
        <w:numPr>
          <w:numId w:val="0"/>
        </w:numPr>
        <w:spacing w:line="360" w:lineRule="auto"/>
        <w:rPr>
          <w:rFonts w:hint="default" w:ascii="Times New Roman" w:hAnsi="Times New Roman" w:eastAsia="Helvetica" w:cs="Times New Roman"/>
          <w:i w:val="0"/>
          <w:iCs w:val="0"/>
          <w:caps w:val="0"/>
          <w:spacing w:val="2"/>
          <w:sz w:val="18"/>
          <w:szCs w:val="18"/>
          <w:shd w:val="clear" w:fill="FFFFFF"/>
        </w:rPr>
      </w:pPr>
      <w:r>
        <w:rPr>
          <w:rStyle w:val="6"/>
          <w:rFonts w:hint="default" w:ascii="Times New Roman" w:hAnsi="Times New Roman" w:eastAsia="Helvetica" w:cs="Times New Roman"/>
          <w:b/>
          <w:bCs/>
          <w:i w:val="0"/>
          <w:iCs w:val="0"/>
          <w:caps w:val="0"/>
          <w:spacing w:val="2"/>
          <w:sz w:val="18"/>
          <w:szCs w:val="18"/>
          <w:shd w:val="clear" w:fill="FFFFFF"/>
        </w:rPr>
        <w:t>d.</w:t>
      </w:r>
      <w:r>
        <w:rPr>
          <w:rFonts w:hint="default" w:ascii="Times New Roman" w:hAnsi="Times New Roman" w:eastAsia="Helvetica" w:cs="Times New Roman"/>
          <w:i w:val="0"/>
          <w:iCs w:val="0"/>
          <w:caps w:val="0"/>
          <w:spacing w:val="2"/>
          <w:sz w:val="18"/>
          <w:szCs w:val="18"/>
          <w:shd w:val="clear" w:fill="FFFFFF"/>
        </w:rPr>
        <w:t> The confidence interval excluded the null and supported higher odds of mortality throughout, although uncertainty remained regarding the magnitude of the association.</w:t>
      </w:r>
    </w:p>
    <w:p w14:paraId="5DFEC87E">
      <w:pPr>
        <w:numPr>
          <w:ilvl w:val="0"/>
          <w:numId w:val="0"/>
        </w:numPr>
        <w:spacing w:line="360" w:lineRule="auto"/>
        <w:rPr>
          <w:rFonts w:hint="default" w:ascii="Times New Roman" w:hAnsi="Times New Roman" w:eastAsia="Helvetica" w:cs="Times New Roman"/>
          <w:i w:val="0"/>
          <w:iCs w:val="0"/>
          <w:caps w:val="0"/>
          <w:spacing w:val="2"/>
          <w:sz w:val="18"/>
          <w:szCs w:val="18"/>
          <w:shd w:val="clear" w:fill="FFFFFF"/>
        </w:rPr>
      </w:pPr>
      <w:r>
        <w:rPr>
          <w:rStyle w:val="6"/>
          <w:rFonts w:hint="default" w:ascii="Times New Roman" w:hAnsi="Times New Roman" w:eastAsia="Helvetica" w:cs="Times New Roman"/>
          <w:b/>
          <w:bCs/>
          <w:i w:val="0"/>
          <w:iCs w:val="0"/>
          <w:caps w:val="0"/>
          <w:spacing w:val="2"/>
          <w:sz w:val="18"/>
          <w:szCs w:val="18"/>
          <w:shd w:val="clear" w:fill="FFFFFF"/>
        </w:rPr>
        <w:t>e. </w:t>
      </w:r>
      <w:r>
        <w:rPr>
          <w:rFonts w:hint="default" w:ascii="Times New Roman" w:hAnsi="Times New Roman" w:eastAsia="Helvetica" w:cs="Times New Roman"/>
          <w:i w:val="0"/>
          <w:iCs w:val="0"/>
          <w:caps w:val="0"/>
          <w:spacing w:val="2"/>
          <w:sz w:val="18"/>
          <w:szCs w:val="18"/>
          <w:shd w:val="clear" w:fill="FFFFFF"/>
        </w:rPr>
        <w:t>Although the contributing cohorts scored 8 stars on the Newcastle–Ottawa Scale, the overlap between chloride exposure and AKI ascertainment windows limited confidence in the temporal sequence of the association, and residual time-dependent confounding could not be excluded.</w:t>
      </w:r>
    </w:p>
    <w:p w14:paraId="5735EF63">
      <w:pPr>
        <w:numPr>
          <w:ilvl w:val="0"/>
          <w:numId w:val="0"/>
        </w:numPr>
        <w:spacing w:line="360" w:lineRule="auto"/>
        <w:rPr>
          <w:rStyle w:val="6"/>
          <w:rFonts w:hint="default" w:ascii="Times New Roman" w:hAnsi="Times New Roman" w:eastAsia="Helvetica" w:cs="Times New Roman"/>
          <w:b w:val="0"/>
          <w:bCs w:val="0"/>
          <w:i w:val="0"/>
          <w:iCs w:val="0"/>
          <w:caps w:val="0"/>
          <w:spacing w:val="2"/>
          <w:sz w:val="18"/>
          <w:szCs w:val="18"/>
          <w:shd w:val="clear" w:fill="FFFFFF"/>
        </w:rPr>
      </w:pPr>
      <w:r>
        <w:rPr>
          <w:rStyle w:val="6"/>
          <w:rFonts w:hint="default" w:ascii="Times New Roman" w:hAnsi="Times New Roman" w:eastAsia="Helvetica" w:cs="Times New Roman"/>
          <w:b/>
          <w:bCs/>
          <w:i w:val="0"/>
          <w:iCs w:val="0"/>
          <w:caps w:val="0"/>
          <w:spacing w:val="2"/>
          <w:sz w:val="18"/>
          <w:szCs w:val="18"/>
          <w:shd w:val="clear" w:fill="FFFFFF"/>
        </w:rPr>
        <w:t>f. </w:t>
      </w:r>
      <w:r>
        <w:rPr>
          <w:rStyle w:val="6"/>
          <w:rFonts w:hint="default" w:ascii="Times New Roman" w:hAnsi="Times New Roman" w:eastAsia="Helvetica" w:cs="Times New Roman"/>
          <w:b w:val="0"/>
          <w:bCs w:val="0"/>
          <w:i w:val="0"/>
          <w:iCs w:val="0"/>
          <w:caps w:val="0"/>
          <w:spacing w:val="2"/>
          <w:sz w:val="18"/>
          <w:szCs w:val="18"/>
          <w:shd w:val="clear" w:fill="FFFFFF"/>
        </w:rPr>
        <w:t>The three estimates were directionally consistent, and statistical heterogeneity was not detected (I²=0%); however, this does not establish clinical or methodological homogeneity.</w:t>
      </w:r>
    </w:p>
    <w:p w14:paraId="47573C44">
      <w:pPr>
        <w:numPr>
          <w:ilvl w:val="0"/>
          <w:numId w:val="0"/>
        </w:numPr>
        <w:spacing w:line="360" w:lineRule="auto"/>
        <w:rPr>
          <w:rStyle w:val="6"/>
          <w:rFonts w:hint="default" w:ascii="Times New Roman" w:hAnsi="Times New Roman" w:eastAsia="Helvetica" w:cs="Times New Roman"/>
          <w:b w:val="0"/>
          <w:bCs w:val="0"/>
          <w:i w:val="0"/>
          <w:iCs w:val="0"/>
          <w:caps w:val="0"/>
          <w:spacing w:val="2"/>
          <w:sz w:val="18"/>
          <w:szCs w:val="18"/>
          <w:shd w:val="clear" w:fill="FFFFFF"/>
        </w:rPr>
      </w:pPr>
      <w:r>
        <w:rPr>
          <w:rStyle w:val="6"/>
          <w:rFonts w:hint="default" w:ascii="Times New Roman" w:hAnsi="Times New Roman" w:eastAsia="Helvetica" w:cs="Times New Roman"/>
          <w:b/>
          <w:bCs/>
          <w:i w:val="0"/>
          <w:iCs w:val="0"/>
          <w:caps w:val="0"/>
          <w:spacing w:val="2"/>
          <w:sz w:val="18"/>
          <w:szCs w:val="18"/>
          <w:shd w:val="clear" w:fill="FFFFFF"/>
        </w:rPr>
        <w:t>g. </w:t>
      </w:r>
      <w:r>
        <w:rPr>
          <w:rStyle w:val="6"/>
          <w:rFonts w:hint="default" w:ascii="Times New Roman" w:hAnsi="Times New Roman" w:eastAsia="Helvetica" w:cs="Times New Roman"/>
          <w:b w:val="0"/>
          <w:bCs w:val="0"/>
          <w:i w:val="0"/>
          <w:iCs w:val="0"/>
          <w:caps w:val="0"/>
          <w:spacing w:val="2"/>
          <w:sz w:val="18"/>
          <w:szCs w:val="18"/>
          <w:shd w:val="clear" w:fill="FFFFFF"/>
        </w:rPr>
        <w:t>The evidence directly addressed ICU-period chloride measures and AKI in critically ill children. However, chloride exposure definitions, AKI criteria, and ascertainment windows varied across studies, limiting the comparability and breadth of interpretation.</w:t>
      </w:r>
    </w:p>
    <w:p w14:paraId="3BBC8E8A">
      <w:pPr>
        <w:numPr>
          <w:ilvl w:val="0"/>
          <w:numId w:val="0"/>
        </w:numPr>
        <w:spacing w:line="360" w:lineRule="auto"/>
        <w:rPr>
          <w:rStyle w:val="6"/>
          <w:rFonts w:hint="default" w:ascii="Times New Roman" w:hAnsi="Times New Roman" w:eastAsia="Helvetica" w:cs="Times New Roman"/>
          <w:b w:val="0"/>
          <w:bCs w:val="0"/>
          <w:i w:val="0"/>
          <w:iCs w:val="0"/>
          <w:caps w:val="0"/>
          <w:spacing w:val="2"/>
          <w:sz w:val="18"/>
          <w:szCs w:val="18"/>
          <w:shd w:val="clear" w:fill="FFFFFF"/>
        </w:rPr>
      </w:pPr>
      <w:r>
        <w:rPr>
          <w:rStyle w:val="6"/>
          <w:rFonts w:hint="default" w:ascii="Times New Roman" w:hAnsi="Times New Roman" w:eastAsia="Helvetica" w:cs="Times New Roman"/>
          <w:b/>
          <w:bCs/>
          <w:i w:val="0"/>
          <w:iCs w:val="0"/>
          <w:caps w:val="0"/>
          <w:spacing w:val="2"/>
          <w:sz w:val="18"/>
          <w:szCs w:val="18"/>
          <w:shd w:val="clear" w:fill="FFFFFF"/>
        </w:rPr>
        <w:t>h.</w:t>
      </w:r>
      <w:r>
        <w:rPr>
          <w:rStyle w:val="6"/>
          <w:rFonts w:hint="default" w:ascii="Times New Roman" w:hAnsi="Times New Roman" w:eastAsia="Helvetica" w:cs="Times New Roman"/>
          <w:b w:val="0"/>
          <w:bCs w:val="0"/>
          <w:i w:val="0"/>
          <w:iCs w:val="0"/>
          <w:caps w:val="0"/>
          <w:spacing w:val="2"/>
          <w:sz w:val="18"/>
          <w:szCs w:val="18"/>
          <w:shd w:val="clear" w:fill="FFFFFF"/>
        </w:rPr>
        <w:t> The confidence interval excluded the null and supported higher odds of AKI throughout, although uncertainty remained regarding the magnitude of the association.</w:t>
      </w:r>
    </w:p>
    <w:p w14:paraId="32EEC94E">
      <w:pPr>
        <w:numPr>
          <w:ilvl w:val="0"/>
          <w:numId w:val="0"/>
        </w:numPr>
        <w:spacing w:line="360" w:lineRule="auto"/>
        <w:rPr>
          <w:rStyle w:val="6"/>
          <w:rFonts w:hint="default" w:ascii="Times New Roman" w:hAnsi="Times New Roman" w:eastAsia="Helvetica" w:cs="Times New Roman"/>
          <w:b w:val="0"/>
          <w:bCs w:val="0"/>
          <w:i w:val="0"/>
          <w:iCs w:val="0"/>
          <w:caps w:val="0"/>
          <w:spacing w:val="2"/>
          <w:sz w:val="18"/>
          <w:szCs w:val="18"/>
          <w:shd w:val="clear" w:fill="FFFFFF"/>
          <w:lang w:val="en-US" w:eastAsia="zh-CN"/>
        </w:rPr>
      </w:pPr>
      <w:r>
        <w:rPr>
          <w:rStyle w:val="6"/>
          <w:rFonts w:hint="default" w:ascii="Times New Roman" w:hAnsi="Times New Roman" w:eastAsia="Helvetica" w:cs="Times New Roman"/>
          <w:b/>
          <w:bCs/>
          <w:i w:val="0"/>
          <w:iCs w:val="0"/>
          <w:caps w:val="0"/>
          <w:spacing w:val="2"/>
          <w:sz w:val="18"/>
          <w:szCs w:val="18"/>
          <w:shd w:val="clear" w:fill="FFFFFF"/>
          <w:lang w:val="en-US" w:eastAsia="zh-CN"/>
        </w:rPr>
        <w:t>i. </w:t>
      </w:r>
      <w:r>
        <w:rPr>
          <w:rStyle w:val="6"/>
          <w:rFonts w:hint="default" w:ascii="Times New Roman" w:hAnsi="Times New Roman" w:eastAsia="Helvetica" w:cs="Times New Roman"/>
          <w:b w:val="0"/>
          <w:bCs w:val="0"/>
          <w:i w:val="0"/>
          <w:iCs w:val="0"/>
          <w:caps w:val="0"/>
          <w:spacing w:val="2"/>
          <w:sz w:val="18"/>
          <w:szCs w:val="18"/>
          <w:shd w:val="clear" w:fill="FFFFFF"/>
        </w:rPr>
        <w:t>Both cohorts scored 8 stars on the Newcastle–Ottawa Scale. Risk of bias was not judged serious, although residual confounding cannot be excluded.</w:t>
      </w:r>
    </w:p>
    <w:p w14:paraId="0FCDC8C3">
      <w:pPr>
        <w:numPr>
          <w:ilvl w:val="0"/>
          <w:numId w:val="0"/>
        </w:numPr>
        <w:spacing w:line="360" w:lineRule="auto"/>
        <w:rPr>
          <w:rStyle w:val="6"/>
          <w:rFonts w:hint="default" w:ascii="Times New Roman" w:hAnsi="Times New Roman" w:eastAsia="Helvetica" w:cs="Times New Roman"/>
          <w:b w:val="0"/>
          <w:bCs w:val="0"/>
          <w:i w:val="0"/>
          <w:iCs w:val="0"/>
          <w:caps w:val="0"/>
          <w:spacing w:val="2"/>
          <w:sz w:val="18"/>
          <w:szCs w:val="18"/>
          <w:shd w:val="clear" w:fill="FFFFFF"/>
          <w:lang w:val="en-US" w:eastAsia="zh-CN"/>
        </w:rPr>
      </w:pPr>
      <w:r>
        <w:rPr>
          <w:rStyle w:val="6"/>
          <w:rFonts w:hint="default" w:ascii="Times New Roman" w:hAnsi="Times New Roman" w:eastAsia="Helvetica" w:cs="Times New Roman"/>
          <w:b/>
          <w:bCs/>
          <w:i w:val="0"/>
          <w:iCs w:val="0"/>
          <w:caps w:val="0"/>
          <w:spacing w:val="2"/>
          <w:sz w:val="18"/>
          <w:szCs w:val="18"/>
          <w:shd w:val="clear" w:fill="FFFFFF"/>
          <w:lang w:val="en-US" w:eastAsia="zh-CN"/>
        </w:rPr>
        <w:t>j. </w:t>
      </w:r>
      <w:r>
        <w:rPr>
          <w:rStyle w:val="6"/>
          <w:rFonts w:hint="default" w:ascii="Times New Roman" w:hAnsi="Times New Roman" w:eastAsia="Helvetica" w:cs="Times New Roman"/>
          <w:b w:val="0"/>
          <w:bCs w:val="0"/>
          <w:i w:val="0"/>
          <w:iCs w:val="0"/>
          <w:caps w:val="0"/>
          <w:spacing w:val="2"/>
          <w:sz w:val="18"/>
          <w:szCs w:val="18"/>
          <w:shd w:val="clear" w:fill="FFFFFF"/>
          <w:lang w:val="en-US" w:eastAsia="zh-CN"/>
        </w:rPr>
        <w:t>Downgraded for serious inconsistency because the two study estimates were in opposite directions. Quantitative pooling was not performed because the exposure constructs differed substantially and the Barhight 2021 estimate was based on sparse events.</w:t>
      </w:r>
    </w:p>
    <w:p w14:paraId="11F20B64">
      <w:pPr>
        <w:numPr>
          <w:ilvl w:val="0"/>
          <w:numId w:val="0"/>
        </w:numPr>
        <w:spacing w:line="360" w:lineRule="auto"/>
        <w:rPr>
          <w:rStyle w:val="6"/>
          <w:rFonts w:hint="default" w:ascii="Times New Roman" w:hAnsi="Times New Roman" w:eastAsia="Helvetica" w:cs="Times New Roman"/>
          <w:b w:val="0"/>
          <w:bCs w:val="0"/>
          <w:i w:val="0"/>
          <w:iCs w:val="0"/>
          <w:caps w:val="0"/>
          <w:spacing w:val="2"/>
          <w:sz w:val="18"/>
          <w:szCs w:val="18"/>
          <w:shd w:val="clear" w:fill="FFFFFF"/>
          <w:lang w:val="en-US" w:eastAsia="zh-CN"/>
        </w:rPr>
      </w:pPr>
      <w:r>
        <w:rPr>
          <w:rStyle w:val="6"/>
          <w:rFonts w:hint="default" w:ascii="Times New Roman" w:hAnsi="Times New Roman" w:eastAsia="Helvetica" w:cs="Times New Roman"/>
          <w:b/>
          <w:bCs/>
          <w:i w:val="0"/>
          <w:iCs w:val="0"/>
          <w:caps w:val="0"/>
          <w:spacing w:val="2"/>
          <w:sz w:val="18"/>
          <w:szCs w:val="18"/>
          <w:shd w:val="clear" w:fill="FFFFFF"/>
          <w:lang w:val="en-US" w:eastAsia="zh-CN"/>
        </w:rPr>
        <w:t>k. </w:t>
      </w:r>
      <w:r>
        <w:rPr>
          <w:rStyle w:val="6"/>
          <w:rFonts w:hint="default" w:ascii="Times New Roman" w:hAnsi="Times New Roman" w:eastAsia="Helvetica" w:cs="Times New Roman"/>
          <w:b w:val="0"/>
          <w:bCs w:val="0"/>
          <w:i w:val="0"/>
          <w:iCs w:val="0"/>
          <w:caps w:val="0"/>
          <w:spacing w:val="2"/>
          <w:sz w:val="18"/>
          <w:szCs w:val="18"/>
          <w:shd w:val="clear" w:fill="FFFFFF"/>
          <w:lang w:val="en-US" w:eastAsia="zh-CN"/>
        </w:rPr>
        <w:t>The evidence directly evaluated chloride exposure and RRT in critically ill children; however, Mitting 2023 assessed chloride at PICU admission, whereas Barhight 2021 assessed mean chloride during the first seven PICU days. These measures should not be interpreted as a common exposure construct.</w:t>
      </w:r>
    </w:p>
    <w:p w14:paraId="3162423C">
      <w:pPr>
        <w:numPr>
          <w:ilvl w:val="0"/>
          <w:numId w:val="0"/>
        </w:numPr>
        <w:spacing w:line="360" w:lineRule="auto"/>
        <w:rPr>
          <w:rStyle w:val="6"/>
          <w:rFonts w:hint="default" w:ascii="Times New Roman" w:hAnsi="Times New Roman" w:eastAsia="Helvetica" w:cs="Times New Roman"/>
          <w:b w:val="0"/>
          <w:bCs w:val="0"/>
          <w:i w:val="0"/>
          <w:iCs w:val="0"/>
          <w:caps w:val="0"/>
          <w:spacing w:val="2"/>
          <w:sz w:val="18"/>
          <w:szCs w:val="18"/>
          <w:shd w:val="clear" w:fill="FFFFFF"/>
          <w:lang w:val="en-US" w:eastAsia="zh-CN"/>
        </w:rPr>
      </w:pPr>
      <w:r>
        <w:rPr>
          <w:rStyle w:val="6"/>
          <w:rFonts w:hint="default" w:ascii="Times New Roman" w:hAnsi="Times New Roman" w:eastAsia="Helvetica" w:cs="Times New Roman"/>
          <w:b/>
          <w:bCs/>
          <w:i w:val="0"/>
          <w:iCs w:val="0"/>
          <w:caps w:val="0"/>
          <w:spacing w:val="2"/>
          <w:sz w:val="18"/>
          <w:szCs w:val="18"/>
          <w:shd w:val="clear" w:fill="FFFFFF"/>
          <w:lang w:val="en-US" w:eastAsia="zh-CN"/>
        </w:rPr>
        <w:t>l. </w:t>
      </w:r>
      <w:r>
        <w:rPr>
          <w:rStyle w:val="6"/>
          <w:rFonts w:hint="default" w:ascii="Times New Roman" w:hAnsi="Times New Roman" w:eastAsia="Helvetica" w:cs="Times New Roman"/>
          <w:b w:val="0"/>
          <w:bCs w:val="0"/>
          <w:i w:val="0"/>
          <w:iCs w:val="0"/>
          <w:caps w:val="0"/>
          <w:spacing w:val="2"/>
          <w:sz w:val="18"/>
          <w:szCs w:val="18"/>
          <w:shd w:val="clear" w:fill="FFFFFF"/>
          <w:lang w:val="en-US" w:eastAsia="zh-CN"/>
        </w:rPr>
        <w:t>Downgraded for serious imprecision because the evidence was based on only two cohorts, the reported Mitting 2023 confidence interval reached the null (aOR 1.6, 95% CI 1.0–2.5; P=0.07), and the Barhight 2021 estimate was based on very few events.</w:t>
      </w:r>
    </w:p>
    <w:p w14:paraId="1ACBA3CD">
      <w:pPr>
        <w:numPr>
          <w:ilvl w:val="0"/>
          <w:numId w:val="0"/>
        </w:numPr>
        <w:spacing w:line="360" w:lineRule="auto"/>
        <w:rPr>
          <w:rStyle w:val="6"/>
          <w:rFonts w:hint="default" w:ascii="Times New Roman" w:hAnsi="Times New Roman" w:eastAsia="Helvetica" w:cs="Times New Roman"/>
          <w:b w:val="0"/>
          <w:bCs w:val="0"/>
          <w:i w:val="0"/>
          <w:iCs w:val="0"/>
          <w:caps w:val="0"/>
          <w:spacing w:val="2"/>
          <w:sz w:val="18"/>
          <w:szCs w:val="18"/>
          <w:shd w:val="clear" w:fill="FFFFFF"/>
          <w:lang w:val="en-US" w:eastAsia="zh-CN"/>
        </w:rPr>
      </w:pPr>
      <w:r>
        <w:rPr>
          <w:rStyle w:val="6"/>
          <w:rFonts w:hint="default" w:ascii="Times New Roman" w:hAnsi="Times New Roman" w:eastAsia="Helvetica" w:cs="Times New Roman"/>
          <w:b/>
          <w:bCs/>
          <w:i w:val="0"/>
          <w:iCs w:val="0"/>
          <w:caps w:val="0"/>
          <w:spacing w:val="2"/>
          <w:sz w:val="18"/>
          <w:szCs w:val="18"/>
          <w:shd w:val="clear" w:fill="FFFFFF"/>
          <w:lang w:val="en-US" w:eastAsia="zh-CN"/>
        </w:rPr>
        <w:t>m. </w:t>
      </w:r>
      <w:r>
        <w:rPr>
          <w:rStyle w:val="6"/>
          <w:rFonts w:hint="default" w:ascii="Times New Roman" w:hAnsi="Times New Roman" w:eastAsia="Helvetica" w:cs="Times New Roman"/>
          <w:b w:val="0"/>
          <w:bCs w:val="0"/>
          <w:i w:val="0"/>
          <w:iCs w:val="0"/>
          <w:caps w:val="0"/>
          <w:spacing w:val="2"/>
          <w:sz w:val="18"/>
          <w:szCs w:val="18"/>
          <w:shd w:val="clear" w:fill="FFFFFF"/>
          <w:lang w:val="en-US" w:eastAsia="zh-CN"/>
        </w:rPr>
        <w:t>The contributing cohort scored 8 stars on the Newcastle–Ottawa Scale. Risk of bias was not judged serious, although residual confounding cannot be excluded.</w:t>
      </w:r>
    </w:p>
    <w:p w14:paraId="23CEA6E2">
      <w:pPr>
        <w:numPr>
          <w:ilvl w:val="0"/>
          <w:numId w:val="0"/>
        </w:numPr>
        <w:spacing w:line="360" w:lineRule="auto"/>
        <w:rPr>
          <w:rStyle w:val="6"/>
          <w:rFonts w:hint="default" w:ascii="Times New Roman" w:hAnsi="Times New Roman" w:eastAsia="Helvetica" w:cs="Times New Roman"/>
          <w:b w:val="0"/>
          <w:bCs w:val="0"/>
          <w:i w:val="0"/>
          <w:iCs w:val="0"/>
          <w:caps w:val="0"/>
          <w:spacing w:val="2"/>
          <w:sz w:val="18"/>
          <w:szCs w:val="18"/>
          <w:shd w:val="clear" w:fill="FFFFFF"/>
          <w:lang w:val="en-US" w:eastAsia="zh-CN"/>
        </w:rPr>
      </w:pPr>
      <w:r>
        <w:rPr>
          <w:rStyle w:val="6"/>
          <w:rFonts w:hint="default" w:ascii="Times New Roman" w:hAnsi="Times New Roman" w:eastAsia="Helvetica" w:cs="Times New Roman"/>
          <w:b/>
          <w:bCs/>
          <w:i w:val="0"/>
          <w:iCs w:val="0"/>
          <w:caps w:val="0"/>
          <w:spacing w:val="2"/>
          <w:sz w:val="18"/>
          <w:szCs w:val="18"/>
          <w:shd w:val="clear" w:fill="FFFFFF"/>
          <w:lang w:val="en-US" w:eastAsia="zh-CN"/>
        </w:rPr>
        <w:t>n. </w:t>
      </w:r>
      <w:r>
        <w:rPr>
          <w:rStyle w:val="6"/>
          <w:rFonts w:hint="default" w:ascii="Times New Roman" w:hAnsi="Times New Roman" w:eastAsia="Helvetica" w:cs="Times New Roman"/>
          <w:b w:val="0"/>
          <w:bCs w:val="0"/>
          <w:i w:val="0"/>
          <w:iCs w:val="0"/>
          <w:caps w:val="0"/>
          <w:spacing w:val="2"/>
          <w:sz w:val="18"/>
          <w:szCs w:val="18"/>
          <w:shd w:val="clear" w:fill="FFFFFF"/>
          <w:lang w:val="en-US" w:eastAsia="zh-CN"/>
        </w:rPr>
        <w:t>Inconsistency could not be assessed because the evidence was derived from a single independent cohort.</w:t>
      </w:r>
    </w:p>
    <w:p w14:paraId="708A04D8">
      <w:pPr>
        <w:numPr>
          <w:ilvl w:val="0"/>
          <w:numId w:val="0"/>
        </w:numPr>
        <w:spacing w:line="360" w:lineRule="auto"/>
        <w:rPr>
          <w:rStyle w:val="6"/>
          <w:rFonts w:hint="default" w:ascii="Times New Roman" w:hAnsi="Times New Roman" w:eastAsia="Helvetica" w:cs="Times New Roman"/>
          <w:b w:val="0"/>
          <w:bCs w:val="0"/>
          <w:i w:val="0"/>
          <w:iCs w:val="0"/>
          <w:caps w:val="0"/>
          <w:spacing w:val="2"/>
          <w:sz w:val="18"/>
          <w:szCs w:val="18"/>
          <w:shd w:val="clear" w:fill="FFFFFF"/>
          <w:lang w:val="en-US" w:eastAsia="zh-CN"/>
        </w:rPr>
      </w:pPr>
      <w:r>
        <w:rPr>
          <w:rStyle w:val="6"/>
          <w:rFonts w:hint="default" w:ascii="Times New Roman" w:hAnsi="Times New Roman" w:eastAsia="Helvetica" w:cs="Times New Roman"/>
          <w:b/>
          <w:bCs/>
          <w:i w:val="0"/>
          <w:iCs w:val="0"/>
          <w:caps w:val="0"/>
          <w:spacing w:val="2"/>
          <w:sz w:val="18"/>
          <w:szCs w:val="18"/>
          <w:shd w:val="clear" w:fill="FFFFFF"/>
          <w:lang w:val="en-US" w:eastAsia="zh-CN"/>
        </w:rPr>
        <w:t>o.</w:t>
      </w:r>
      <w:r>
        <w:rPr>
          <w:rStyle w:val="6"/>
          <w:rFonts w:hint="default" w:ascii="Times New Roman" w:hAnsi="Times New Roman" w:eastAsia="Helvetica" w:cs="Times New Roman"/>
          <w:b w:val="0"/>
          <w:bCs w:val="0"/>
          <w:i w:val="0"/>
          <w:iCs w:val="0"/>
          <w:caps w:val="0"/>
          <w:spacing w:val="2"/>
          <w:sz w:val="18"/>
          <w:szCs w:val="18"/>
          <w:shd w:val="clear" w:fill="FFFFFF"/>
          <w:lang w:val="en-US" w:eastAsia="zh-CN"/>
        </w:rPr>
        <w:t> The evidence directly evaluated ICU-period chloride exposure and duration of ventilatory support in critically ill children receiving intravenous fluids; however, it was derived from a restricted single-center population.</w:t>
      </w:r>
    </w:p>
    <w:p w14:paraId="0678D077">
      <w:pPr>
        <w:numPr>
          <w:ilvl w:val="0"/>
          <w:numId w:val="0"/>
        </w:numPr>
        <w:spacing w:line="360" w:lineRule="auto"/>
        <w:rPr>
          <w:rStyle w:val="6"/>
          <w:rFonts w:hint="default" w:ascii="Times New Roman" w:hAnsi="Times New Roman" w:eastAsia="Helvetica" w:cs="Times New Roman"/>
          <w:b w:val="0"/>
          <w:bCs w:val="0"/>
          <w:i w:val="0"/>
          <w:iCs w:val="0"/>
          <w:caps w:val="0"/>
          <w:spacing w:val="2"/>
          <w:sz w:val="18"/>
          <w:szCs w:val="18"/>
          <w:shd w:val="clear" w:fill="FFFFFF"/>
          <w:lang w:val="en-US" w:eastAsia="zh-CN"/>
        </w:rPr>
      </w:pPr>
      <w:r>
        <w:rPr>
          <w:rStyle w:val="6"/>
          <w:rFonts w:hint="default" w:ascii="Times New Roman" w:hAnsi="Times New Roman" w:eastAsia="Helvetica" w:cs="Times New Roman"/>
          <w:b/>
          <w:bCs/>
          <w:i w:val="0"/>
          <w:iCs w:val="0"/>
          <w:caps w:val="0"/>
          <w:spacing w:val="2"/>
          <w:sz w:val="18"/>
          <w:szCs w:val="18"/>
          <w:shd w:val="clear" w:fill="FFFFFF"/>
          <w:lang w:val="en-US" w:eastAsia="zh-CN"/>
        </w:rPr>
        <w:t>p. </w:t>
      </w:r>
      <w:r>
        <w:rPr>
          <w:rStyle w:val="6"/>
          <w:rFonts w:hint="default" w:ascii="Times New Roman" w:hAnsi="Times New Roman" w:eastAsia="Helvetica" w:cs="Times New Roman"/>
          <w:b w:val="0"/>
          <w:bCs w:val="0"/>
          <w:i w:val="0"/>
          <w:iCs w:val="0"/>
          <w:caps w:val="0"/>
          <w:spacing w:val="2"/>
          <w:sz w:val="18"/>
          <w:szCs w:val="18"/>
          <w:shd w:val="clear" w:fill="FFFFFF"/>
          <w:lang w:val="en-US" w:eastAsia="zh-CN"/>
        </w:rPr>
        <w:t>Downgraded for serious imprecision because both confidence intervals crossed the null and included the possibility of meaningfully shorter duration as well as little or no difference, and the evidence was derived from only one cohort.</w:t>
      </w:r>
    </w:p>
    <w:p w14:paraId="112EB444">
      <w:pPr>
        <w:widowControl w:val="0"/>
        <w:numPr>
          <w:numId w:val="0"/>
        </w:numPr>
        <w:spacing w:line="360" w:lineRule="auto"/>
        <w:jc w:val="both"/>
        <w:rPr>
          <w:rFonts w:hint="default" w:ascii="Times New Roman" w:hAnsi="Times New Roman" w:eastAsia="Helvetica" w:cs="Times New Roman"/>
          <w:i w:val="0"/>
          <w:iCs w:val="0"/>
          <w:caps w:val="0"/>
          <w:spacing w:val="2"/>
          <w:sz w:val="18"/>
          <w:szCs w:val="18"/>
          <w:shd w:val="clear" w:fill="FFFFFF"/>
        </w:rPr>
      </w:pPr>
      <w:r>
        <w:rPr>
          <w:rStyle w:val="6"/>
          <w:rFonts w:hint="default" w:ascii="Times New Roman" w:hAnsi="Times New Roman" w:eastAsia="Helvetica" w:cs="Times New Roman"/>
          <w:b/>
          <w:bCs/>
          <w:i w:val="0"/>
          <w:iCs w:val="0"/>
          <w:caps w:val="0"/>
          <w:spacing w:val="2"/>
          <w:sz w:val="18"/>
          <w:szCs w:val="18"/>
          <w:shd w:val="clear" w:fill="FFFFFF"/>
        </w:rPr>
        <w:t>Abbreviations:</w:t>
      </w:r>
      <w:r>
        <w:rPr>
          <w:rFonts w:hint="default" w:ascii="Times New Roman" w:hAnsi="Times New Roman" w:eastAsia="Helvetica" w:cs="Times New Roman"/>
          <w:i w:val="0"/>
          <w:iCs w:val="0"/>
          <w:caps w:val="0"/>
          <w:spacing w:val="2"/>
          <w:sz w:val="18"/>
          <w:szCs w:val="18"/>
          <w:shd w:val="clear" w:fill="FFFFFF"/>
        </w:rPr>
        <w:t> </w:t>
      </w:r>
      <w:r>
        <w:rPr>
          <w:rFonts w:hint="default" w:ascii="Times New Roman" w:hAnsi="Times New Roman" w:eastAsia="Helvetica" w:cs="Times New Roman"/>
          <w:i w:val="0"/>
          <w:iCs w:val="0"/>
          <w:caps w:val="0"/>
          <w:spacing w:val="2"/>
          <w:sz w:val="18"/>
          <w:szCs w:val="18"/>
          <w:shd w:val="clear" w:fill="FFFFFF"/>
        </w:rPr>
        <w:t>AKI, acute kidney injury; aOR, adjusted odds ratio; CI, confidence interval; GRADE, Grading of Recommendations Assessment, Development and Evaluation; MD, mean difference; PICU, pediatric intensive care unit; RRT, renal replacement therapy.</w:t>
      </w:r>
    </w:p>
    <w:p w14:paraId="568D6216">
      <w:pPr>
        <w:widowControl w:val="0"/>
        <w:numPr>
          <w:ilvl w:val="0"/>
          <w:numId w:val="0"/>
        </w:numPr>
        <w:spacing w:line="360" w:lineRule="auto"/>
        <w:jc w:val="both"/>
        <w:rPr>
          <w:rStyle w:val="6"/>
          <w:rFonts w:hint="default" w:ascii="Times New Roman" w:hAnsi="Times New Roman" w:eastAsia="Helvetica" w:cs="Times New Roman"/>
          <w:b w:val="0"/>
          <w:bCs w:val="0"/>
          <w:i w:val="0"/>
          <w:iCs w:val="0"/>
          <w:caps w:val="0"/>
          <w:spacing w:val="2"/>
          <w:sz w:val="18"/>
          <w:szCs w:val="18"/>
          <w:shd w:val="clear" w:fill="FFFFFF"/>
        </w:rPr>
        <w:sectPr>
          <w:pgSz w:w="16838" w:h="11906" w:orient="landscape"/>
          <w:pgMar w:top="720" w:right="720" w:bottom="720" w:left="720" w:header="851" w:footer="992" w:gutter="0"/>
          <w:cols w:space="425" w:num="1"/>
          <w:docGrid w:type="lines" w:linePitch="312" w:charSpace="0"/>
        </w:sectPr>
      </w:pPr>
      <w:r>
        <w:rPr>
          <w:rStyle w:val="6"/>
          <w:rFonts w:hint="default" w:ascii="Times New Roman" w:hAnsi="Times New Roman" w:eastAsia="Helvetica" w:cs="Times New Roman"/>
          <w:b/>
          <w:bCs/>
          <w:i w:val="0"/>
          <w:iCs w:val="0"/>
          <w:caps w:val="0"/>
          <w:spacing w:val="2"/>
          <w:sz w:val="18"/>
          <w:szCs w:val="18"/>
          <w:shd w:val="clear" w:fill="FFFFFF"/>
        </w:rPr>
        <w:t>GRADE approach: </w:t>
      </w:r>
      <w:r>
        <w:rPr>
          <w:rStyle w:val="6"/>
          <w:rFonts w:hint="default" w:ascii="Times New Roman" w:hAnsi="Times New Roman" w:eastAsia="Helvetica" w:cs="Times New Roman"/>
          <w:b w:val="0"/>
          <w:bCs w:val="0"/>
          <w:i w:val="0"/>
          <w:iCs w:val="0"/>
          <w:caps w:val="0"/>
          <w:spacing w:val="2"/>
          <w:sz w:val="18"/>
          <w:szCs w:val="18"/>
          <w:shd w:val="clear" w:fill="FFFFFF"/>
        </w:rPr>
        <w:t>Evidence from observational studies started at low certainty and was downgraded when serious concerns were identified. Statistical significance alone was not considered a reason for upgrading certainty.</w:t>
      </w:r>
    </w:p>
    <w:p w14:paraId="4A387D50">
      <w:pPr>
        <w:spacing w:line="360" w:lineRule="auto"/>
        <w:rPr>
          <w:rStyle w:val="6"/>
          <w:rFonts w:hint="default" w:ascii="Times New Roman" w:hAnsi="Times New Roman" w:eastAsia="Helvetica" w:cs="Times New Roman"/>
          <w:b w:val="0"/>
          <w:bCs w:val="0"/>
          <w:i w:val="0"/>
          <w:iCs w:val="0"/>
          <w:caps w:val="0"/>
          <w:spacing w:val="2"/>
          <w:sz w:val="24"/>
          <w:szCs w:val="24"/>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B4AB0A6B">
    <w:panose1 w:val="020B0704020202020204"/>
    <w:charset w:val="00"/>
    <w:family w:val="auto"/>
    <w:pitch w:val="default"/>
    <w:sig w:usb0="00000001" w:usb1="00000000" w:usb2="00000000" w:usb3="00000000" w:csb0="00000001" w:csb1="00000000"/>
  </w:font>
  <w:font w:name="KSOF7FC4CF2A">
    <w:panose1 w:val="020B0604020202020204"/>
    <w:charset w:val="00"/>
    <w:family w:val="auto"/>
    <w:pitch w:val="default"/>
    <w:sig w:usb0="00000001" w:usb1="00000000" w:usb2="00000000" w:usb3="00000000" w:csb0="00000001" w:csb1="00000000"/>
  </w:font>
  <w:font w:name="MS PGothic">
    <w:panose1 w:val="020B0600070205080204"/>
    <w:charset w:val="80"/>
    <w:family w:val="auto"/>
    <w:pitch w:val="default"/>
    <w:sig w:usb0="E00002FF" w:usb1="6AC7FDFB" w:usb2="08000012" w:usb3="00000000" w:csb0="4002009F" w:csb1="DFD70000"/>
  </w:font>
  <w:font w:name="KaTeX_Math">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6A11681"/>
    <w:rsid w:val="51CF2E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14</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2026-08-01T10:38:37Z</dcterms:created>
  <dc:creator>lenovo</dc:creator>
  <cp:lastModifiedBy>Xianglan Shi</cp:lastModifiedBy>
  <dcterms:modified xsi:type="dcterms:W3CDTF">2026-08-01T12:51:18Z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eyJoZGlkIjoiOTZkOWQ2YTdhMDJhMTU1MGMxMDdlODcwNmM3ZDA1YzciLCJ1c2VySWQiOiI2NjA3NjgzNjcifQ==</vt:lpwstr>
  </property>
  <property fmtid="{D5CDD505-2E9C-101B-9397-08002B2CF9AE}" pid="4" name="ICV">
    <vt:lpwstr>596DA53B703C40B69FCD2142BA074809_12</vt:lpwstr>
  </property>
</Properties>
</file>