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48"/>
        <w:gridCol w:w="587"/>
        <w:gridCol w:w="11078"/>
        <w:gridCol w:w="1887"/>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vAlign w:val="center"/>
          </w:tcPr>
          <w:p w14:paraId="436D2101">
            <w:pPr>
              <w:spacing w:before="0" w:after="0" w:line="240" w:lineRule="auto"/>
            </w:pPr>
            <w:r>
              <w:rPr>
                <w:rFonts w:ascii="Arial" w:hAnsi="Arial"/>
                <w:sz w:val="18"/>
              </w:rPr>
              <w:t>Title page (article title)</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vAlign w:val="center"/>
          </w:tcPr>
          <w:p w14:paraId="415F0C06">
            <w:pPr>
              <w:spacing w:before="0" w:after="0" w:line="240" w:lineRule="auto"/>
            </w:pPr>
            <w:r>
              <w:rPr>
                <w:rFonts w:ascii="Arial" w:hAnsi="Arial"/>
                <w:sz w:val="18"/>
              </w:rPr>
              <w:t>Abstract</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vAlign w:val="center"/>
          </w:tcPr>
          <w:p w14:paraId="5277F493">
            <w:pPr>
              <w:spacing w:before="0" w:after="0" w:line="240" w:lineRule="auto"/>
            </w:pPr>
            <w:r>
              <w:rPr>
                <w:rFonts w:ascii="Arial" w:hAnsi="Arial"/>
                <w:sz w:val="18"/>
              </w:rPr>
              <w:t>Introduction, paragraphs 1-2</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vAlign w:val="center"/>
          </w:tcPr>
          <w:p w14:paraId="6A8D6BBD">
            <w:pPr>
              <w:spacing w:before="0" w:after="0" w:line="240" w:lineRule="auto"/>
            </w:pPr>
            <w:r>
              <w:rPr>
                <w:rFonts w:ascii="Arial" w:hAnsi="Arial"/>
                <w:sz w:val="18"/>
              </w:rPr>
              <w:t>Abstract (Objective); Introduction, final paragraph</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vAlign w:val="center"/>
          </w:tcPr>
          <w:p w14:paraId="17412F69">
            <w:pPr>
              <w:spacing w:before="0" w:after="0" w:line="240" w:lineRule="auto"/>
            </w:pPr>
            <w:r>
              <w:rPr>
                <w:rFonts w:ascii="Arial" w:hAnsi="Arial"/>
                <w:sz w:val="18"/>
              </w:rPr>
              <w:t>Methods: Evidence synthesis framework; Eligibility criteria</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vAlign w:val="center"/>
          </w:tcPr>
          <w:p w14:paraId="3008C008">
            <w:pPr>
              <w:spacing w:before="0" w:after="0" w:line="240" w:lineRule="auto"/>
            </w:pPr>
            <w:r>
              <w:rPr>
                <w:rFonts w:ascii="Arial" w:hAnsi="Arial"/>
                <w:sz w:val="18"/>
              </w:rPr>
              <w:t>Methods: Search strategy</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vAlign w:val="center"/>
          </w:tcPr>
          <w:p w14:paraId="0E8F70DC">
            <w:pPr>
              <w:spacing w:before="0" w:after="0" w:line="240" w:lineRule="auto"/>
            </w:pPr>
            <w:r>
              <w:rPr>
                <w:rFonts w:ascii="Arial" w:hAnsi="Arial"/>
                <w:sz w:val="18"/>
              </w:rPr>
              <w:t>Supplementary Material, Table S1</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vAlign w:val="center"/>
          </w:tcPr>
          <w:p w14:paraId="0A794089">
            <w:pPr>
              <w:spacing w:before="0" w:after="0" w:line="240" w:lineRule="auto"/>
            </w:pPr>
            <w:r>
              <w:rPr>
                <w:rFonts w:ascii="Arial" w:hAnsi="Arial"/>
                <w:sz w:val="18"/>
              </w:rPr>
              <w:t>Methods: Study selection</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vAlign w:val="center"/>
          </w:tcPr>
          <w:p w14:paraId="4DE1CA6D">
            <w:pPr>
              <w:spacing w:before="0" w:after="0" w:line="240" w:lineRule="auto"/>
            </w:pPr>
            <w:r>
              <w:rPr>
                <w:rFonts w:ascii="Arial" w:hAnsi="Arial"/>
                <w:sz w:val="18"/>
              </w:rPr>
              <w:t>Methods: Data extraction</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vAlign w:val="center"/>
          </w:tcPr>
          <w:p w14:paraId="7394DF92">
            <w:pPr>
              <w:spacing w:before="0" w:after="0" w:line="240" w:lineRule="auto"/>
            </w:pPr>
            <w:r>
              <w:rPr>
                <w:rFonts w:ascii="Arial" w:hAnsi="Arial"/>
                <w:sz w:val="18"/>
              </w:rPr>
              <w:t>Methods: Evidence synthesis framework; Data extraction</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vAlign w:val="center"/>
          </w:tcPr>
          <w:p w14:paraId="29F6BE2C">
            <w:pPr>
              <w:spacing w:before="0" w:after="0" w:line="240" w:lineRule="auto"/>
            </w:pPr>
            <w:r>
              <w:rPr>
                <w:rFonts w:ascii="Arial" w:hAnsi="Arial"/>
                <w:sz w:val="18"/>
              </w:rPr>
              <w:t>Methods: Data extraction</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vAlign w:val="center"/>
          </w:tcPr>
          <w:p w14:paraId="39F071F3">
            <w:pPr>
              <w:spacing w:before="0" w:after="0" w:line="240" w:lineRule="auto"/>
            </w:pPr>
            <w:r>
              <w:rPr>
                <w:rFonts w:ascii="Arial" w:hAnsi="Arial"/>
                <w:sz w:val="18"/>
              </w:rPr>
              <w:t>Methods: Quality assessment</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vAlign w:val="center"/>
          </w:tcPr>
          <w:p w14:paraId="007A894A">
            <w:pPr>
              <w:spacing w:before="0" w:after="0" w:line="240" w:lineRule="auto"/>
            </w:pPr>
            <w:r>
              <w:rPr>
                <w:rFonts w:ascii="Arial" w:hAnsi="Arial"/>
                <w:sz w:val="18"/>
              </w:rPr>
              <w:t>Methods: Evidence synthesis framework; Statistical analysis</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vAlign w:val="center"/>
          </w:tcPr>
          <w:p w14:paraId="285276EF">
            <w:pPr>
              <w:spacing w:before="0" w:after="0" w:line="240" w:lineRule="auto"/>
            </w:pPr>
            <w:r>
              <w:rPr>
                <w:rFonts w:ascii="Arial" w:hAnsi="Arial"/>
                <w:sz w:val="18"/>
              </w:rPr>
              <w:t>Methods: Eligibility criteria; Data extraction</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vAlign w:val="center"/>
          </w:tcPr>
          <w:p w14:paraId="0E59D093">
            <w:pPr>
              <w:spacing w:before="0" w:after="0" w:line="240" w:lineRule="auto"/>
            </w:pPr>
            <w:r>
              <w:rPr>
                <w:rFonts w:ascii="Arial" w:hAnsi="Arial"/>
                <w:sz w:val="18"/>
              </w:rPr>
              <w:t>Methods: Statistical analysis</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vAlign w:val="center"/>
          </w:tcPr>
          <w:p w14:paraId="26BE6DFC">
            <w:r>
              <w:rPr>
                <w:rFonts w:ascii="Arial" w:hAnsi="Arial"/>
                <w:sz w:val="18"/>
              </w:rPr>
              <w:t>Tables 1-3; Figure 2; Supplementary Figures S1-S47</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vAlign w:val="center"/>
          </w:tcPr>
          <w:p w14:paraId="714025BC">
            <w:pPr>
              <w:spacing w:before="0" w:after="0" w:line="240" w:lineRule="auto"/>
            </w:pPr>
            <w:r>
              <w:rPr>
                <w:rFonts w:ascii="Arial" w:hAnsi="Arial"/>
                <w:sz w:val="18"/>
              </w:rPr>
              <w:t>Methods: Statistical analysis</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vAlign w:val="center"/>
          </w:tcPr>
          <w:p w14:paraId="11BCF40E">
            <w:pPr>
              <w:spacing w:before="0" w:after="0" w:line="240" w:lineRule="auto"/>
            </w:pPr>
            <w:r>
              <w:rPr>
                <w:rFonts w:ascii="Arial" w:hAnsi="Arial"/>
                <w:sz w:val="18"/>
              </w:rPr>
              <w:t>Methods: Statistical analysis; Results: Prevalence of allergic rhinitis in Chinese children</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vAlign w:val="center"/>
          </w:tcPr>
          <w:p w14:paraId="5B899082">
            <w:pPr>
              <w:spacing w:before="0" w:after="0" w:line="240" w:lineRule="auto"/>
            </w:pPr>
            <w:r>
              <w:rPr>
                <w:rFonts w:ascii="Arial" w:hAnsi="Arial"/>
                <w:sz w:val="18"/>
              </w:rPr>
              <w:t>Methods: Statistical analysis</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vAlign w:val="center"/>
          </w:tcPr>
          <w:p w14:paraId="6127644B">
            <w:pPr>
              <w:spacing w:before="0" w:after="0" w:line="240" w:lineRule="auto"/>
            </w:pPr>
            <w:r>
              <w:rPr>
                <w:rFonts w:ascii="Arial" w:hAnsi="Arial"/>
                <w:sz w:val="18"/>
              </w:rPr>
              <w:t>Methods: Statistical analysis</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vAlign w:val="center"/>
          </w:tcPr>
          <w:p w14:paraId="6EE28AA5">
            <w:pPr>
              <w:spacing w:before="0" w:after="0" w:line="240" w:lineRule="auto"/>
            </w:pPr>
            <w:r>
              <w:rPr>
                <w:rFonts w:ascii="Arial" w:hAnsi="Arial"/>
                <w:sz w:val="18"/>
              </w:rPr>
              <w:t>Not applicable: no formal certainty-of-evidence assessment was undertaken</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vAlign w:val="center"/>
          </w:tcPr>
          <w:p w14:paraId="7B55F937">
            <w:pPr>
              <w:spacing w:before="0" w:after="0" w:line="240" w:lineRule="auto"/>
            </w:pPr>
            <w:r>
              <w:rPr>
                <w:rFonts w:ascii="Arial" w:hAnsi="Arial"/>
                <w:sz w:val="18"/>
              </w:rPr>
              <w:t>Results: Study selection; Figure 1</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vAlign w:val="center"/>
          </w:tcPr>
          <w:p w14:paraId="52298E3B">
            <w:pPr>
              <w:spacing w:before="0" w:after="0" w:line="240" w:lineRule="auto"/>
            </w:pPr>
            <w:r>
              <w:rPr>
                <w:rFonts w:ascii="Arial" w:hAnsi="Arial"/>
                <w:sz w:val="18"/>
              </w:rPr>
              <w:t>Not applicable: no potentially eligible studies requiring individual citation were identified</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vAlign w:val="center"/>
          </w:tcPr>
          <w:p w14:paraId="085B7AE7">
            <w:pPr>
              <w:spacing w:before="0" w:after="0" w:line="240" w:lineRule="auto"/>
            </w:pPr>
            <w:r>
              <w:rPr>
                <w:rFonts w:ascii="Arial" w:hAnsi="Arial"/>
                <w:sz w:val="18"/>
              </w:rPr>
              <w:t>Results: Study characteristics; Tables 1 and 2; references 8-53</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vAlign w:val="center"/>
          </w:tcPr>
          <w:p w14:paraId="3AED2743">
            <w:pPr>
              <w:spacing w:before="0" w:after="0" w:line="240" w:lineRule="auto"/>
            </w:pPr>
            <w:r>
              <w:rPr>
                <w:rFonts w:ascii="Arial" w:hAnsi="Arial"/>
                <w:sz w:val="18"/>
              </w:rPr>
              <w:t>Results: Study characteristics; Tables 1 and 2</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vAlign w:val="center"/>
          </w:tcPr>
          <w:p w14:paraId="7FB96E1F">
            <w:r>
              <w:rPr>
                <w:rFonts w:ascii="Arial" w:hAnsi="Arial"/>
                <w:sz w:val="18"/>
              </w:rPr>
              <w:t>Supplementary forest plots, Figures S1, S7, S11, S15, S19, S23, S27, S31, S34, S37, S41, and S45</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vAlign w:val="center"/>
          </w:tcPr>
          <w:p w14:paraId="6D5FF32F">
            <w:pPr>
              <w:spacing w:before="0" w:after="0" w:line="240" w:lineRule="auto"/>
            </w:pPr>
            <w:r>
              <w:rPr>
                <w:rFonts w:ascii="Arial" w:hAnsi="Arial"/>
                <w:sz w:val="18"/>
              </w:rPr>
              <w:t>Results: Study characteristics and each synthesis subsection; Tables 1 and 2</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vAlign w:val="center"/>
          </w:tcPr>
          <w:p w14:paraId="6EEAA1ED">
            <w:pPr>
              <w:spacing w:before="0" w:after="0" w:line="240" w:lineRule="auto"/>
            </w:pPr>
            <w:r>
              <w:rPr>
                <w:rFonts w:ascii="Arial" w:hAnsi="Arial"/>
                <w:sz w:val="18"/>
              </w:rPr>
              <w:t>Results: Prevalence and associated-factor subsections; Table 3; Supplementary forest plots</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vAlign w:val="center"/>
          </w:tcPr>
          <w:p w14:paraId="149F2387">
            <w:pPr>
              <w:spacing w:before="0" w:after="0" w:line="240" w:lineRule="auto"/>
            </w:pPr>
            <w:r>
              <w:rPr>
                <w:rFonts w:ascii="Arial" w:hAnsi="Arial"/>
                <w:sz w:val="18"/>
              </w:rPr>
              <w:t>Results: Prevalence of allergic rhinitis in Chinese children; Figure 2</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vAlign w:val="center"/>
          </w:tcPr>
          <w:p w14:paraId="4EC38F55">
            <w:pPr>
              <w:spacing w:before="0" w:after="0" w:line="240" w:lineRule="auto"/>
            </w:pPr>
            <w:r>
              <w:rPr>
                <w:rFonts w:ascii="Arial" w:hAnsi="Arial"/>
                <w:sz w:val="18"/>
              </w:rPr>
              <w:t>Results: Prevalence and associated-factor subsections; Supplementary sensitivity-analysis figures</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vAlign w:val="center"/>
          </w:tcPr>
          <w:p w14:paraId="2AC33C52">
            <w:r>
              <w:rPr>
                <w:rFonts w:ascii="Arial" w:hAnsi="Arial"/>
                <w:sz w:val="18"/>
              </w:rPr>
              <w:t>Results: Prevalence and associated-factor subsections; Supplementary funnel plots, Egger's test for prevalence, and exploratory trim-and-fill analyses where applicable</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vAlign w:val="center"/>
          </w:tcPr>
          <w:p w14:paraId="003D7D46">
            <w:pPr>
              <w:spacing w:before="0" w:after="0" w:line="240" w:lineRule="auto"/>
            </w:pPr>
            <w:r>
              <w:rPr>
                <w:rFonts w:ascii="Arial" w:hAnsi="Arial"/>
                <w:sz w:val="18"/>
              </w:rPr>
              <w:t>Not applicable: no formal certainty-of-evidence assessment was undertaken</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vAlign w:val="center"/>
          </w:tcPr>
          <w:p w14:paraId="5211DA48">
            <w:pPr>
              <w:spacing w:before="0" w:after="0" w:line="240" w:lineRule="auto"/>
            </w:pPr>
            <w:r>
              <w:rPr>
                <w:rFonts w:ascii="Arial" w:hAnsi="Arial"/>
                <w:sz w:val="18"/>
              </w:rPr>
              <w:t>Discussion, paragraphs 1-3</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vAlign w:val="center"/>
          </w:tcPr>
          <w:p w14:paraId="440D2462">
            <w:pPr>
              <w:spacing w:before="0" w:after="0" w:line="240" w:lineRule="auto"/>
            </w:pPr>
            <w:r>
              <w:rPr>
                <w:rFonts w:ascii="Arial" w:hAnsi="Arial"/>
                <w:sz w:val="18"/>
              </w:rPr>
              <w:t>Discussion: heterogeneity and limitations paragraphs</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vAlign w:val="center"/>
          </w:tcPr>
          <w:p w14:paraId="00D53EEA">
            <w:pPr>
              <w:spacing w:before="0" w:after="0" w:line="240" w:lineRule="auto"/>
            </w:pPr>
            <w:r>
              <w:rPr>
                <w:rFonts w:ascii="Arial" w:hAnsi="Arial"/>
                <w:sz w:val="18"/>
              </w:rPr>
              <w:t>Discussion: limitations paragraph</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vAlign w:val="center"/>
          </w:tcPr>
          <w:p w14:paraId="10357D53">
            <w:pPr>
              <w:spacing w:before="0" w:after="0" w:line="240" w:lineRule="auto"/>
            </w:pPr>
            <w:r>
              <w:rPr>
                <w:rFonts w:ascii="Arial" w:hAnsi="Arial"/>
                <w:sz w:val="18"/>
              </w:rPr>
              <w:t>Discussion; Conclusion</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bookmarkStart w:id="0" w:name="_GoBack" w:colFirst="3" w:colLast="3"/>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vAlign w:val="center"/>
          </w:tcPr>
          <w:p w14:paraId="7040A594">
            <w:pPr>
              <w:spacing w:before="0" w:after="0" w:line="240" w:lineRule="auto"/>
              <w:rPr>
                <w:rFonts w:ascii="Arial" w:hAnsi="Arial"/>
                <w:sz w:val="18"/>
              </w:rPr>
            </w:pPr>
            <w:r>
              <w:rPr>
                <w:rFonts w:ascii="Arial" w:hAnsi="Arial"/>
                <w:sz w:val="18"/>
              </w:rPr>
              <w:t>Abstract; Methods: Protocol and reporting guideline (PROSPERO CRD42024581359)</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vAlign w:val="center"/>
          </w:tcPr>
          <w:p w14:paraId="2CC1993C">
            <w:pPr>
              <w:spacing w:before="0" w:after="0" w:line="240" w:lineRule="auto"/>
              <w:rPr>
                <w:rFonts w:ascii="Arial" w:hAnsi="Arial"/>
                <w:sz w:val="18"/>
              </w:rPr>
            </w:pPr>
            <w:r>
              <w:rPr>
                <w:rFonts w:ascii="Arial" w:hAnsi="Arial"/>
                <w:sz w:val="18"/>
              </w:rPr>
              <w:t xml:space="preserve">Methods: Protocol and reporting guideline; PROSPERO </w:t>
            </w:r>
            <w:r>
              <w:rPr>
                <w:rFonts w:ascii="Arial" w:hAnsi="Arial"/>
                <w:sz w:val="18"/>
              </w:rPr>
              <w:t>record CRD42024581359</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vAlign w:val="center"/>
          </w:tcPr>
          <w:p w14:paraId="2F7B3E86">
            <w:pPr>
              <w:spacing w:before="0" w:after="0" w:line="240" w:lineRule="auto"/>
              <w:rPr>
                <w:rFonts w:ascii="Arial" w:hAnsi="Arial"/>
                <w:sz w:val="18"/>
              </w:rPr>
            </w:pPr>
            <w:r>
              <w:rPr>
                <w:rFonts w:ascii="Arial" w:hAnsi="Arial"/>
                <w:sz w:val="18"/>
              </w:rPr>
              <w:t>Not applicable: no amendments to the registered protocol were reported</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vAlign w:val="center"/>
          </w:tcPr>
          <w:p w14:paraId="6598393A">
            <w:pPr>
              <w:spacing w:before="0" w:after="0" w:line="240" w:lineRule="auto"/>
              <w:rPr>
                <w:rFonts w:ascii="Arial" w:hAnsi="Arial"/>
                <w:sz w:val="18"/>
              </w:rPr>
            </w:pPr>
            <w:r>
              <w:rPr>
                <w:rFonts w:ascii="Arial" w:hAnsi="Arial"/>
                <w:sz w:val="18"/>
              </w:rPr>
              <w:t>Declarations: Funding statement</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vAlign w:val="center"/>
          </w:tcPr>
          <w:p w14:paraId="1B1F8DE6">
            <w:pPr>
              <w:spacing w:before="0" w:after="0" w:line="240" w:lineRule="auto"/>
              <w:rPr>
                <w:rFonts w:ascii="Arial" w:hAnsi="Arial"/>
                <w:sz w:val="18"/>
              </w:rPr>
            </w:pPr>
            <w:r>
              <w:rPr>
                <w:rFonts w:ascii="Arial" w:hAnsi="Arial"/>
                <w:sz w:val="18"/>
              </w:rPr>
              <w:t>Declarations: Declaration of competing interest</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vAlign w:val="center"/>
          </w:tcPr>
          <w:p w14:paraId="07D3B792">
            <w:pPr>
              <w:spacing w:before="0" w:after="0" w:line="240" w:lineRule="auto"/>
              <w:rPr>
                <w:rFonts w:ascii="Arial" w:hAnsi="Arial"/>
                <w:sz w:val="18"/>
              </w:rPr>
            </w:pPr>
            <w:r>
              <w:rPr>
                <w:rFonts w:ascii="Arial" w:hAnsi="Arial"/>
                <w:sz w:val="18"/>
              </w:rPr>
              <w:t>Declarations: Data availability</w:t>
            </w:r>
          </w:p>
        </w:tc>
      </w:tr>
      <w:bookmarkEnd w:id="0"/>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13970" b="0"/>
          <wp:wrapSquare wrapText="bothSides"/>
          <wp:docPr id="1" name="图片 1025"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5"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3"/>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38C592B"/>
    <w:rsid w:val="0F082E44"/>
    <w:rsid w:val="1365586B"/>
    <w:rsid w:val="29DB4ABF"/>
    <w:rsid w:val="49B438FF"/>
    <w:rsid w:val="51FA302C"/>
    <w:rsid w:val="5CC47538"/>
    <w:rsid w:val="775546DD"/>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1290</Words>
  <Characters>7825</Characters>
  <Lines>50</Lines>
  <Paragraphs>14</Paragraphs>
  <TotalTime>25</TotalTime>
  <ScaleCrop>false</ScaleCrop>
  <LinksUpToDate>false</LinksUpToDate>
  <CharactersWithSpaces>8976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Cohen</cp:lastModifiedBy>
  <cp:lastPrinted>2020-11-24T03:02:00Z</cp:lastPrinted>
  <dcterms:modified xsi:type="dcterms:W3CDTF">2026-07-10T01:53:24Z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eyJoZGlkIjoiNzJmMmUxMDM5NmZjZGI2Yzc1NTYwZGQzZGM4OWRhNzUiLCJ1c2VySWQiOiI0MDk4ODM5OTQifQ==</vt:lpwstr>
  </property>
  <property fmtid="{D5CDD505-2E9C-101B-9397-08002B2CF9AE}" pid="3" name="KSOProductBuildVer">
    <vt:lpwstr>2052-12.1.0.26895</vt:lpwstr>
  </property>
  <property fmtid="{D5CDD505-2E9C-101B-9397-08002B2CF9AE}" pid="4" name="ICV">
    <vt:lpwstr>1B2CFC1C87854BB48EEEAC0CAD962FD0_13</vt:lpwstr>
  </property>
</Properties>
</file>