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8528B" w14:textId="6BEA22F9" w:rsidR="001E6A92" w:rsidRPr="001E6A92" w:rsidRDefault="001E6A92" w:rsidP="001E6A92">
      <w:r w:rsidRPr="001E6A92">
        <w:rPr>
          <w:b/>
          <w:bCs/>
        </w:rPr>
        <w:t xml:space="preserve">Table </w:t>
      </w:r>
      <w:r w:rsidR="00237861">
        <w:rPr>
          <w:b/>
          <w:bCs/>
        </w:rPr>
        <w:t>5</w:t>
      </w:r>
      <w:r w:rsidRPr="001E6A92">
        <w:rPr>
          <w:b/>
          <w:bCs/>
        </w:rPr>
        <w:t>. Comparison of the current review with previously published systematic reviews</w:t>
      </w:r>
    </w:p>
    <w:tbl>
      <w:tblPr>
        <w:tblW w:w="11454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"/>
        <w:gridCol w:w="1139"/>
        <w:gridCol w:w="1629"/>
        <w:gridCol w:w="1340"/>
        <w:gridCol w:w="1561"/>
        <w:gridCol w:w="2017"/>
        <w:gridCol w:w="2810"/>
      </w:tblGrid>
      <w:tr w:rsidR="001E6A92" w:rsidRPr="001E6A92" w14:paraId="0DC31A51" w14:textId="77777777" w:rsidTr="003474C4">
        <w:tc>
          <w:tcPr>
            <w:tcW w:w="958" w:type="dxa"/>
            <w:vAlign w:val="center"/>
            <w:hideMark/>
          </w:tcPr>
          <w:p w14:paraId="69C38A2A" w14:textId="64C5B2A4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 xml:space="preserve">Review (Author, Year) </w:t>
            </w:r>
          </w:p>
        </w:tc>
        <w:tc>
          <w:tcPr>
            <w:tcW w:w="0" w:type="auto"/>
            <w:vAlign w:val="center"/>
            <w:hideMark/>
          </w:tcPr>
          <w:p w14:paraId="0D986E36" w14:textId="77777777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>Search Date</w:t>
            </w:r>
          </w:p>
        </w:tc>
        <w:tc>
          <w:tcPr>
            <w:tcW w:w="0" w:type="auto"/>
            <w:vAlign w:val="center"/>
            <w:hideMark/>
          </w:tcPr>
          <w:p w14:paraId="2BC8D83F" w14:textId="77777777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>Objective / PICO (Population, Intervention, Outcome)</w:t>
            </w:r>
          </w:p>
        </w:tc>
        <w:tc>
          <w:tcPr>
            <w:tcW w:w="0" w:type="auto"/>
            <w:vAlign w:val="center"/>
            <w:hideMark/>
          </w:tcPr>
          <w:p w14:paraId="531CBF6E" w14:textId="77777777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>No. of Included Studies (Study Type)</w:t>
            </w:r>
          </w:p>
        </w:tc>
        <w:tc>
          <w:tcPr>
            <w:tcW w:w="1561" w:type="dxa"/>
            <w:vAlign w:val="center"/>
            <w:hideMark/>
          </w:tcPr>
          <w:p w14:paraId="10E8B0F0" w14:textId="77777777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>Main Findings / Conclusion</w:t>
            </w:r>
          </w:p>
        </w:tc>
        <w:tc>
          <w:tcPr>
            <w:tcW w:w="2017" w:type="dxa"/>
            <w:vAlign w:val="center"/>
            <w:hideMark/>
          </w:tcPr>
          <w:p w14:paraId="49D88FB9" w14:textId="77777777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>Quality Rating</w:t>
            </w:r>
          </w:p>
        </w:tc>
        <w:tc>
          <w:tcPr>
            <w:tcW w:w="2523" w:type="dxa"/>
            <w:vAlign w:val="center"/>
            <w:hideMark/>
          </w:tcPr>
          <w:p w14:paraId="140E9050" w14:textId="77777777" w:rsidR="001E6A92" w:rsidRPr="001E6A92" w:rsidRDefault="001E6A92" w:rsidP="001E6A92">
            <w:pPr>
              <w:rPr>
                <w:b/>
                <w:bCs/>
              </w:rPr>
            </w:pPr>
            <w:r w:rsidRPr="001E6A92">
              <w:rPr>
                <w:b/>
                <w:bCs/>
              </w:rPr>
              <w:t>Differences from Current Review</w:t>
            </w:r>
          </w:p>
        </w:tc>
      </w:tr>
      <w:tr w:rsidR="001E6A92" w:rsidRPr="001E6A92" w14:paraId="4318BE5B" w14:textId="77777777" w:rsidTr="003474C4">
        <w:tc>
          <w:tcPr>
            <w:tcW w:w="958" w:type="dxa"/>
            <w:vAlign w:val="center"/>
            <w:hideMark/>
          </w:tcPr>
          <w:p w14:paraId="10D55352" w14:textId="658B3835" w:rsidR="001E6A92" w:rsidRPr="001E6A92" w:rsidRDefault="001E6A92" w:rsidP="001E6A92">
            <w:r w:rsidRPr="001E6A92">
              <w:rPr>
                <w:b/>
                <w:bCs/>
              </w:rPr>
              <w:t>Current Review</w:t>
            </w:r>
            <w:r w:rsidRPr="001E6A92">
              <w:t xml:space="preserve"> Coombes et al., 2025)</w:t>
            </w:r>
          </w:p>
        </w:tc>
        <w:tc>
          <w:tcPr>
            <w:tcW w:w="0" w:type="auto"/>
            <w:vAlign w:val="center"/>
            <w:hideMark/>
          </w:tcPr>
          <w:p w14:paraId="62EA259D" w14:textId="77777777" w:rsidR="001E6A92" w:rsidRPr="004C26B5" w:rsidRDefault="001E6A92" w:rsidP="001E6A92">
            <w:r w:rsidRPr="004C26B5">
              <w:t>01/01/2000 – 07/10/2024</w:t>
            </w:r>
          </w:p>
        </w:tc>
        <w:tc>
          <w:tcPr>
            <w:tcW w:w="0" w:type="auto"/>
            <w:vAlign w:val="center"/>
            <w:hideMark/>
          </w:tcPr>
          <w:p w14:paraId="4BB1D40C" w14:textId="3E785200" w:rsidR="001E6A92" w:rsidRPr="004C26B5" w:rsidRDefault="001E6A92" w:rsidP="001E6A92">
            <w:r w:rsidRPr="004C26B5">
              <w:t>P: Adolescents (10–19</w:t>
            </w:r>
            <w:r w:rsidR="003474C4" w:rsidRPr="004C26B5">
              <w:t>y) I</w:t>
            </w:r>
            <w:r w:rsidRPr="004C26B5">
              <w:t>: Dietary patterns, quality &amp; nutrient intake</w:t>
            </w:r>
            <w:r w:rsidR="003474C4" w:rsidRPr="004C26B5">
              <w:t xml:space="preserve"> </w:t>
            </w:r>
            <w:r w:rsidRPr="004C26B5">
              <w:t>O: Cognition, Mental Health &amp; Wellbeing</w:t>
            </w:r>
          </w:p>
        </w:tc>
        <w:tc>
          <w:tcPr>
            <w:tcW w:w="0" w:type="auto"/>
            <w:vAlign w:val="center"/>
            <w:hideMark/>
          </w:tcPr>
          <w:p w14:paraId="0020AC4D" w14:textId="3BA9CA48" w:rsidR="001E6A92" w:rsidRPr="004C26B5" w:rsidRDefault="001E6A92" w:rsidP="001E6A92">
            <w:r w:rsidRPr="004C26B5">
              <w:t>51</w:t>
            </w:r>
            <w:r w:rsidR="003474C4" w:rsidRPr="004C26B5">
              <w:t xml:space="preserve"> </w:t>
            </w:r>
            <w:r w:rsidRPr="004C26B5">
              <w:t>(44 Cross-sectional;7 Longitudinal)</w:t>
            </w:r>
          </w:p>
        </w:tc>
        <w:tc>
          <w:tcPr>
            <w:tcW w:w="1561" w:type="dxa"/>
            <w:vAlign w:val="center"/>
            <w:hideMark/>
          </w:tcPr>
          <w:p w14:paraId="007EB495" w14:textId="48E98600" w:rsidR="001E6A92" w:rsidRPr="004C26B5" w:rsidRDefault="001E6A92" w:rsidP="001E6A92">
            <w:r w:rsidRPr="004C26B5">
              <w:t xml:space="preserve">Adherence to healthy dietary patterns (e.g., Mediterranean) and higher diet quality are consistently associated with better cognition, mental health, and wellbeing. Western diets are associated with poorer outcomes. </w:t>
            </w:r>
          </w:p>
        </w:tc>
        <w:tc>
          <w:tcPr>
            <w:tcW w:w="2017" w:type="dxa"/>
            <w:vAlign w:val="center"/>
            <w:hideMark/>
          </w:tcPr>
          <w:p w14:paraId="17E26ADC" w14:textId="77777777" w:rsidR="001E6A92" w:rsidRPr="004C26B5" w:rsidRDefault="001E6A92" w:rsidP="001E6A92">
            <w:r w:rsidRPr="004C26B5">
              <w:t>JBI Critical Appraisal Tools</w:t>
            </w:r>
          </w:p>
        </w:tc>
        <w:tc>
          <w:tcPr>
            <w:tcW w:w="2523" w:type="dxa"/>
            <w:vAlign w:val="center"/>
            <w:hideMark/>
          </w:tcPr>
          <w:p w14:paraId="642A3AA5" w14:textId="77777777" w:rsidR="001E6A92" w:rsidRPr="004C26B5" w:rsidRDefault="001E6A92" w:rsidP="001E6A92">
            <w:r w:rsidRPr="004C26B5">
              <w:t>N/A</w:t>
            </w:r>
          </w:p>
        </w:tc>
      </w:tr>
      <w:tr w:rsidR="001E6A92" w:rsidRPr="001E6A92" w14:paraId="7DFA34E4" w14:textId="77777777" w:rsidTr="003474C4">
        <w:tc>
          <w:tcPr>
            <w:tcW w:w="958" w:type="dxa"/>
            <w:vAlign w:val="center"/>
            <w:hideMark/>
          </w:tcPr>
          <w:p w14:paraId="274B90E9" w14:textId="77777777" w:rsidR="001E6A92" w:rsidRPr="001E6A92" w:rsidRDefault="001E6A92" w:rsidP="001E6A92">
            <w:r w:rsidRPr="001E6A92">
              <w:rPr>
                <w:b/>
                <w:bCs/>
              </w:rPr>
              <w:t>Lassale et al. (2019)</w:t>
            </w:r>
          </w:p>
        </w:tc>
        <w:tc>
          <w:tcPr>
            <w:tcW w:w="0" w:type="auto"/>
            <w:vAlign w:val="center"/>
            <w:hideMark/>
          </w:tcPr>
          <w:p w14:paraId="19030B0C" w14:textId="77777777" w:rsidR="001E6A92" w:rsidRPr="004C26B5" w:rsidRDefault="001E6A92" w:rsidP="001E6A92">
            <w:r w:rsidRPr="004C26B5">
              <w:t>Inception – 31/05/2018</w:t>
            </w:r>
          </w:p>
        </w:tc>
        <w:tc>
          <w:tcPr>
            <w:tcW w:w="0" w:type="auto"/>
            <w:vAlign w:val="center"/>
            <w:hideMark/>
          </w:tcPr>
          <w:p w14:paraId="24CB7B04" w14:textId="584ECC9F" w:rsidR="001E6A92" w:rsidRPr="004C26B5" w:rsidRDefault="001E6A92" w:rsidP="001E6A92">
            <w:r w:rsidRPr="004C26B5">
              <w:t xml:space="preserve">P: General population (predominantly </w:t>
            </w:r>
            <w:proofErr w:type="gramStart"/>
            <w:r w:rsidRPr="004C26B5">
              <w:t>adults)I</w:t>
            </w:r>
            <w:proofErr w:type="gramEnd"/>
            <w:r w:rsidRPr="004C26B5">
              <w:t xml:space="preserve">: Healthy dietary indices (e.g., Mediterranean, </w:t>
            </w:r>
            <w:proofErr w:type="gramStart"/>
            <w:r w:rsidRPr="004C26B5">
              <w:t>DASH)O</w:t>
            </w:r>
            <w:proofErr w:type="gramEnd"/>
            <w:r w:rsidRPr="004C26B5">
              <w:t>: Depressive outcomes</w:t>
            </w:r>
          </w:p>
        </w:tc>
        <w:tc>
          <w:tcPr>
            <w:tcW w:w="0" w:type="auto"/>
            <w:vAlign w:val="center"/>
            <w:hideMark/>
          </w:tcPr>
          <w:p w14:paraId="2D3B1003" w14:textId="23537FF1" w:rsidR="001E6A92" w:rsidRPr="004C26B5" w:rsidRDefault="001E6A92" w:rsidP="001E6A92">
            <w:r w:rsidRPr="004C26B5">
              <w:t>41(21 Cross-sectional;20 Longitudinal)</w:t>
            </w:r>
          </w:p>
        </w:tc>
        <w:tc>
          <w:tcPr>
            <w:tcW w:w="1561" w:type="dxa"/>
            <w:vAlign w:val="center"/>
            <w:hideMark/>
          </w:tcPr>
          <w:p w14:paraId="4DE20879" w14:textId="77777777" w:rsidR="001E6A92" w:rsidRPr="004C26B5" w:rsidRDefault="001E6A92" w:rsidP="001E6A92">
            <w:r w:rsidRPr="004C26B5">
              <w:t>Adherence to a healthy diet, particularly the Mediterranean diet (RR: 0.67) and avoiding a pro-inflammatory diet (RR: 0.76), is associated with a reduced risk of depressive outcomes.</w:t>
            </w:r>
          </w:p>
        </w:tc>
        <w:tc>
          <w:tcPr>
            <w:tcW w:w="2017" w:type="dxa"/>
            <w:vAlign w:val="center"/>
            <w:hideMark/>
          </w:tcPr>
          <w:p w14:paraId="736BEB70" w14:textId="77777777" w:rsidR="001E6A92" w:rsidRPr="004C26B5" w:rsidRDefault="001E6A92" w:rsidP="001E6A92">
            <w:r w:rsidRPr="004C26B5">
              <w:t>Adapted Newcastle-Ottawa Scale</w:t>
            </w:r>
          </w:p>
        </w:tc>
        <w:tc>
          <w:tcPr>
            <w:tcW w:w="2523" w:type="dxa"/>
            <w:vAlign w:val="center"/>
            <w:hideMark/>
          </w:tcPr>
          <w:p w14:paraId="0E340D98" w14:textId="603ADE85" w:rsidR="001E6A92" w:rsidRPr="004C26B5" w:rsidRDefault="001E6A92" w:rsidP="001E6A92">
            <w:r w:rsidRPr="004C26B5">
              <w:t>Population: Included adults and older adults (only 3 adolescent studies</w:t>
            </w:r>
            <w:proofErr w:type="gramStart"/>
            <w:r w:rsidRPr="004C26B5">
              <w:t>).Outcome</w:t>
            </w:r>
            <w:proofErr w:type="gramEnd"/>
            <w:r w:rsidRPr="004C26B5">
              <w:t>: Focused exclusively on depression (excluded cognition/wellbeing</w:t>
            </w:r>
            <w:proofErr w:type="gramStart"/>
            <w:r w:rsidRPr="004C26B5">
              <w:t>).Method</w:t>
            </w:r>
            <w:proofErr w:type="gramEnd"/>
            <w:r w:rsidRPr="004C26B5">
              <w:t>: Performed a meta-analysis.</w:t>
            </w:r>
          </w:p>
        </w:tc>
      </w:tr>
      <w:tr w:rsidR="001E6A92" w:rsidRPr="001E6A92" w14:paraId="39BF9ACD" w14:textId="77777777" w:rsidTr="003474C4">
        <w:tc>
          <w:tcPr>
            <w:tcW w:w="958" w:type="dxa"/>
            <w:vAlign w:val="center"/>
            <w:hideMark/>
          </w:tcPr>
          <w:p w14:paraId="02CC0345" w14:textId="77777777" w:rsidR="001E6A92" w:rsidRPr="001E6A92" w:rsidRDefault="001E6A92" w:rsidP="001E6A92">
            <w:r w:rsidRPr="001E6A92">
              <w:rPr>
                <w:b/>
                <w:bCs/>
              </w:rPr>
              <w:t>Nguyen et al. (2025)</w:t>
            </w:r>
          </w:p>
        </w:tc>
        <w:tc>
          <w:tcPr>
            <w:tcW w:w="0" w:type="auto"/>
            <w:vAlign w:val="center"/>
            <w:hideMark/>
          </w:tcPr>
          <w:p w14:paraId="67A62C08" w14:textId="77777777" w:rsidR="001E6A92" w:rsidRPr="004C26B5" w:rsidRDefault="001E6A92" w:rsidP="001E6A92">
            <w:r w:rsidRPr="004C26B5">
              <w:t>Inception – 01/10/2024</w:t>
            </w:r>
          </w:p>
        </w:tc>
        <w:tc>
          <w:tcPr>
            <w:tcW w:w="0" w:type="auto"/>
            <w:vAlign w:val="center"/>
            <w:hideMark/>
          </w:tcPr>
          <w:p w14:paraId="6CF41110" w14:textId="7BBDEFB2" w:rsidR="001E6A92" w:rsidRPr="004C26B5" w:rsidRDefault="001E6A92" w:rsidP="001E6A92">
            <w:r w:rsidRPr="004C26B5">
              <w:t>P: Children &amp; Adolescents (0–19</w:t>
            </w:r>
            <w:proofErr w:type="gramStart"/>
            <w:r w:rsidRPr="004C26B5">
              <w:t>y)I</w:t>
            </w:r>
            <w:proofErr w:type="gramEnd"/>
            <w:r w:rsidRPr="004C26B5">
              <w:t>: Ultra-processed foods (UPFs)O: Cognition</w:t>
            </w:r>
          </w:p>
        </w:tc>
        <w:tc>
          <w:tcPr>
            <w:tcW w:w="0" w:type="auto"/>
            <w:vAlign w:val="center"/>
            <w:hideMark/>
          </w:tcPr>
          <w:p w14:paraId="6A3F81B4" w14:textId="106825BE" w:rsidR="001E6A92" w:rsidRPr="004C26B5" w:rsidRDefault="001E6A92" w:rsidP="001E6A92">
            <w:r w:rsidRPr="004C26B5">
              <w:t>35(30 Cross-sectional;5 Cohort)</w:t>
            </w:r>
          </w:p>
        </w:tc>
        <w:tc>
          <w:tcPr>
            <w:tcW w:w="1561" w:type="dxa"/>
            <w:vAlign w:val="center"/>
            <w:hideMark/>
          </w:tcPr>
          <w:p w14:paraId="215FD000" w14:textId="77777777" w:rsidR="001E6A92" w:rsidRPr="004C26B5" w:rsidRDefault="001E6A92" w:rsidP="001E6A92">
            <w:r w:rsidRPr="004C26B5">
              <w:t xml:space="preserve">Increased consumption of UPFs is consistently associated with poorer cognitive performance across domains including </w:t>
            </w:r>
            <w:r w:rsidRPr="004C26B5">
              <w:lastRenderedPageBreak/>
              <w:t>attention, executive functioning, and fluid intelligence.</w:t>
            </w:r>
          </w:p>
        </w:tc>
        <w:tc>
          <w:tcPr>
            <w:tcW w:w="2017" w:type="dxa"/>
            <w:vAlign w:val="center"/>
            <w:hideMark/>
          </w:tcPr>
          <w:p w14:paraId="73BB6245" w14:textId="77777777" w:rsidR="001E6A92" w:rsidRPr="004C26B5" w:rsidRDefault="001E6A92" w:rsidP="001E6A92">
            <w:r w:rsidRPr="004C26B5">
              <w:lastRenderedPageBreak/>
              <w:t>Mixed Methods Appraisal Tool (MMAT)</w:t>
            </w:r>
          </w:p>
        </w:tc>
        <w:tc>
          <w:tcPr>
            <w:tcW w:w="2523" w:type="dxa"/>
            <w:vAlign w:val="center"/>
            <w:hideMark/>
          </w:tcPr>
          <w:p w14:paraId="76B5DBD6" w14:textId="68EABCFE" w:rsidR="001E6A92" w:rsidRPr="004C26B5" w:rsidRDefault="001E6A92" w:rsidP="001E6A92">
            <w:r w:rsidRPr="004C26B5">
              <w:t>Exposure: Focused solely on Ultra-Processed Foods (UPFs</w:t>
            </w:r>
            <w:proofErr w:type="gramStart"/>
            <w:r w:rsidRPr="004C26B5">
              <w:t>).Outcome</w:t>
            </w:r>
            <w:proofErr w:type="gramEnd"/>
            <w:r w:rsidRPr="004C26B5">
              <w:t xml:space="preserve">: Focused exclusively on </w:t>
            </w:r>
            <w:r w:rsidR="004C26B5" w:rsidRPr="004C26B5">
              <w:t>Cognition. Population</w:t>
            </w:r>
            <w:r w:rsidRPr="004C26B5">
              <w:t>: Included younger children (&lt;10y).</w:t>
            </w:r>
          </w:p>
        </w:tc>
      </w:tr>
      <w:tr w:rsidR="001E6A92" w:rsidRPr="001E6A92" w14:paraId="2ECB3E1F" w14:textId="77777777" w:rsidTr="003474C4">
        <w:tc>
          <w:tcPr>
            <w:tcW w:w="958" w:type="dxa"/>
            <w:vAlign w:val="center"/>
            <w:hideMark/>
          </w:tcPr>
          <w:p w14:paraId="06A28045" w14:textId="77777777" w:rsidR="001E6A92" w:rsidRPr="001E6A92" w:rsidRDefault="001E6A92" w:rsidP="001E6A92">
            <w:r w:rsidRPr="001E6A92">
              <w:rPr>
                <w:b/>
                <w:bCs/>
              </w:rPr>
              <w:t>Yang et al. (2024)</w:t>
            </w:r>
          </w:p>
        </w:tc>
        <w:tc>
          <w:tcPr>
            <w:tcW w:w="0" w:type="auto"/>
            <w:vAlign w:val="center"/>
            <w:hideMark/>
          </w:tcPr>
          <w:p w14:paraId="231F89B8" w14:textId="77777777" w:rsidR="001E6A92" w:rsidRPr="001E6A92" w:rsidRDefault="001E6A92" w:rsidP="001E6A92">
            <w:r w:rsidRPr="001E6A92">
              <w:t>Inception – 11/12/2023</w:t>
            </w:r>
          </w:p>
        </w:tc>
        <w:tc>
          <w:tcPr>
            <w:tcW w:w="0" w:type="auto"/>
            <w:vAlign w:val="center"/>
            <w:hideMark/>
          </w:tcPr>
          <w:p w14:paraId="0BF32998" w14:textId="7AA8B3CE" w:rsidR="001E6A92" w:rsidRPr="004C26B5" w:rsidRDefault="001E6A92" w:rsidP="001E6A92">
            <w:r w:rsidRPr="004C26B5">
              <w:t>P: Children &amp; Adolescents (0–24</w:t>
            </w:r>
            <w:proofErr w:type="gramStart"/>
            <w:r w:rsidRPr="004C26B5">
              <w:t>y)I</w:t>
            </w:r>
            <w:proofErr w:type="gramEnd"/>
            <w:r w:rsidRPr="004C26B5">
              <w:t xml:space="preserve">: Dietary </w:t>
            </w:r>
            <w:r w:rsidR="004C26B5" w:rsidRPr="004C26B5">
              <w:t>fibre</w:t>
            </w:r>
            <w:r w:rsidR="002456D7">
              <w:t xml:space="preserve"> </w:t>
            </w:r>
            <w:proofErr w:type="gramStart"/>
            <w:r w:rsidR="002456D7">
              <w:t>O:</w:t>
            </w:r>
            <w:r w:rsidRPr="004C26B5">
              <w:t>Mental</w:t>
            </w:r>
            <w:proofErr w:type="gramEnd"/>
            <w:r w:rsidRPr="004C26B5">
              <w:t xml:space="preserve"> health &amp; Cognition</w:t>
            </w:r>
          </w:p>
        </w:tc>
        <w:tc>
          <w:tcPr>
            <w:tcW w:w="0" w:type="auto"/>
            <w:vAlign w:val="center"/>
            <w:hideMark/>
          </w:tcPr>
          <w:p w14:paraId="0A8F6638" w14:textId="6FE59D3B" w:rsidR="001E6A92" w:rsidRPr="004C26B5" w:rsidRDefault="001E6A92" w:rsidP="001E6A92">
            <w:r w:rsidRPr="004C26B5">
              <w:t>19(9 Intervention; 3 Cohort;6 Cross-sectional;1 Case-control)</w:t>
            </w:r>
          </w:p>
        </w:tc>
        <w:tc>
          <w:tcPr>
            <w:tcW w:w="1561" w:type="dxa"/>
            <w:vAlign w:val="center"/>
            <w:hideMark/>
          </w:tcPr>
          <w:p w14:paraId="3A511616" w14:textId="77777777" w:rsidR="001E6A92" w:rsidRPr="004C26B5" w:rsidRDefault="001E6A92" w:rsidP="001E6A92">
            <w:r w:rsidRPr="004C26B5">
              <w:t>Higher dietary fibre consumption was associated with a 49% reduction in the odds of depression. No significant associations were found for anxiety or intelligence.</w:t>
            </w:r>
          </w:p>
        </w:tc>
        <w:tc>
          <w:tcPr>
            <w:tcW w:w="2017" w:type="dxa"/>
            <w:vAlign w:val="center"/>
            <w:hideMark/>
          </w:tcPr>
          <w:p w14:paraId="53C9161E" w14:textId="77777777" w:rsidR="001E6A92" w:rsidRPr="004C26B5" w:rsidRDefault="001E6A92" w:rsidP="001E6A92">
            <w:r w:rsidRPr="004C26B5">
              <w:t>Cochrane Risk of Bias / JBI Quality Assessment Tool</w:t>
            </w:r>
          </w:p>
        </w:tc>
        <w:tc>
          <w:tcPr>
            <w:tcW w:w="2523" w:type="dxa"/>
            <w:vAlign w:val="center"/>
            <w:hideMark/>
          </w:tcPr>
          <w:p w14:paraId="64626BB7" w14:textId="7085C209" w:rsidR="001E6A92" w:rsidRPr="004C26B5" w:rsidRDefault="001E6A92" w:rsidP="001E6A92">
            <w:r w:rsidRPr="004C26B5">
              <w:t>Exposure: Focused on a single nutrient (dietary fibre</w:t>
            </w:r>
            <w:r w:rsidR="004C26B5" w:rsidRPr="004C26B5">
              <w:t>). Population</w:t>
            </w:r>
            <w:r w:rsidRPr="004C26B5">
              <w:t>: Extended to young adults (up to 24y).</w:t>
            </w:r>
            <w:r w:rsidR="004C26B5">
              <w:t xml:space="preserve"> </w:t>
            </w:r>
            <w:r w:rsidRPr="004C26B5">
              <w:t>Method: Included intervention studies and meta-analysis.</w:t>
            </w:r>
          </w:p>
        </w:tc>
      </w:tr>
      <w:tr w:rsidR="001E6A92" w:rsidRPr="001E6A92" w14:paraId="2AE98C14" w14:textId="77777777" w:rsidTr="003474C4">
        <w:tc>
          <w:tcPr>
            <w:tcW w:w="958" w:type="dxa"/>
            <w:vAlign w:val="center"/>
            <w:hideMark/>
          </w:tcPr>
          <w:p w14:paraId="461B01A7" w14:textId="77777777" w:rsidR="001E6A92" w:rsidRPr="001E6A92" w:rsidRDefault="001E6A92" w:rsidP="001E6A92">
            <w:r w:rsidRPr="001E6A92">
              <w:rPr>
                <w:b/>
                <w:bCs/>
              </w:rPr>
              <w:t>Collins et al. (2022)</w:t>
            </w:r>
          </w:p>
        </w:tc>
        <w:tc>
          <w:tcPr>
            <w:tcW w:w="0" w:type="auto"/>
            <w:vAlign w:val="center"/>
            <w:hideMark/>
          </w:tcPr>
          <w:p w14:paraId="151B4E12" w14:textId="77777777" w:rsidR="001E6A92" w:rsidRPr="001E6A92" w:rsidRDefault="001E6A92" w:rsidP="001E6A92">
            <w:r w:rsidRPr="001E6A92">
              <w:t>2009 – 2019</w:t>
            </w:r>
          </w:p>
        </w:tc>
        <w:tc>
          <w:tcPr>
            <w:tcW w:w="0" w:type="auto"/>
            <w:vAlign w:val="center"/>
            <w:hideMark/>
          </w:tcPr>
          <w:p w14:paraId="538EB951" w14:textId="5A47A4BA" w:rsidR="001E6A92" w:rsidRPr="004C26B5" w:rsidRDefault="001E6A92" w:rsidP="001E6A92">
            <w:r w:rsidRPr="004C26B5">
              <w:t>P: Emerging Adults (18–29</w:t>
            </w:r>
            <w:proofErr w:type="gramStart"/>
            <w:r w:rsidRPr="004C26B5">
              <w:t>y)I</w:t>
            </w:r>
            <w:proofErr w:type="gramEnd"/>
            <w:r w:rsidRPr="004C26B5">
              <w:t>: Diet quality &amp; patternsO: Common mental disorders (depression, anxiety)</w:t>
            </w:r>
          </w:p>
        </w:tc>
        <w:tc>
          <w:tcPr>
            <w:tcW w:w="0" w:type="auto"/>
            <w:vAlign w:val="center"/>
            <w:hideMark/>
          </w:tcPr>
          <w:p w14:paraId="25683BC8" w14:textId="2B54B168" w:rsidR="001E6A92" w:rsidRPr="004C26B5" w:rsidRDefault="001E6A92" w:rsidP="001E6A92">
            <w:r w:rsidRPr="004C26B5">
              <w:t>16(14 Cross-sectional;2 Longitudinal)</w:t>
            </w:r>
          </w:p>
        </w:tc>
        <w:tc>
          <w:tcPr>
            <w:tcW w:w="1561" w:type="dxa"/>
            <w:vAlign w:val="center"/>
            <w:hideMark/>
          </w:tcPr>
          <w:p w14:paraId="2ACA3BF4" w14:textId="77777777" w:rsidR="001E6A92" w:rsidRPr="004C26B5" w:rsidRDefault="001E6A92" w:rsidP="001E6A92">
            <w:r w:rsidRPr="004C26B5">
              <w:t>Moderate evidence for an inverse association between overall diet quality and depressive symptoms; positive association between poor diet indicators and anxiety.</w:t>
            </w:r>
          </w:p>
        </w:tc>
        <w:tc>
          <w:tcPr>
            <w:tcW w:w="2017" w:type="dxa"/>
            <w:vAlign w:val="center"/>
            <w:hideMark/>
          </w:tcPr>
          <w:p w14:paraId="2B6AC061" w14:textId="77777777" w:rsidR="001E6A92" w:rsidRPr="004C26B5" w:rsidRDefault="001E6A92" w:rsidP="001E6A92">
            <w:r w:rsidRPr="004C26B5">
              <w:t>EPHPP Quality Assessment Tool</w:t>
            </w:r>
          </w:p>
        </w:tc>
        <w:tc>
          <w:tcPr>
            <w:tcW w:w="2523" w:type="dxa"/>
            <w:vAlign w:val="center"/>
            <w:hideMark/>
          </w:tcPr>
          <w:p w14:paraId="396320AE" w14:textId="71550F6A" w:rsidR="001E6A92" w:rsidRPr="004C26B5" w:rsidRDefault="001E6A92" w:rsidP="001E6A92">
            <w:r w:rsidRPr="004C26B5">
              <w:t xml:space="preserve">Population: Focused on Emerging Adulthood (18–29y), a later developmental stage than </w:t>
            </w:r>
            <w:r w:rsidR="004C26B5" w:rsidRPr="004C26B5">
              <w:t>adolescence. Outcome</w:t>
            </w:r>
            <w:r w:rsidRPr="004C26B5">
              <w:t>: Excluded cognition.</w:t>
            </w:r>
          </w:p>
        </w:tc>
      </w:tr>
      <w:tr w:rsidR="001E6A92" w:rsidRPr="001E6A92" w14:paraId="59BCC63B" w14:textId="77777777" w:rsidTr="003474C4">
        <w:tc>
          <w:tcPr>
            <w:tcW w:w="958" w:type="dxa"/>
            <w:vAlign w:val="center"/>
            <w:hideMark/>
          </w:tcPr>
          <w:p w14:paraId="5CAF9F13" w14:textId="77777777" w:rsidR="001E6A92" w:rsidRPr="001E6A92" w:rsidRDefault="001E6A92" w:rsidP="001E6A92">
            <w:r w:rsidRPr="001E6A92">
              <w:rPr>
                <w:b/>
                <w:bCs/>
              </w:rPr>
              <w:t>Wu et al. (2019)</w:t>
            </w:r>
          </w:p>
        </w:tc>
        <w:tc>
          <w:tcPr>
            <w:tcW w:w="0" w:type="auto"/>
            <w:vAlign w:val="center"/>
            <w:hideMark/>
          </w:tcPr>
          <w:p w14:paraId="58768480" w14:textId="77777777" w:rsidR="001E6A92" w:rsidRPr="001E6A92" w:rsidRDefault="001E6A92" w:rsidP="001E6A92">
            <w:r w:rsidRPr="001E6A92">
              <w:t>1946 – 08/04/2018</w:t>
            </w:r>
          </w:p>
        </w:tc>
        <w:tc>
          <w:tcPr>
            <w:tcW w:w="0" w:type="auto"/>
            <w:vAlign w:val="center"/>
            <w:hideMark/>
          </w:tcPr>
          <w:p w14:paraId="55C61238" w14:textId="61108948" w:rsidR="001E6A92" w:rsidRPr="004C26B5" w:rsidRDefault="001E6A92" w:rsidP="001E6A92">
            <w:r w:rsidRPr="004C26B5">
              <w:t>P: Children &amp; Adolescents (3–18y)</w:t>
            </w:r>
            <w:r w:rsidR="002456D7">
              <w:t xml:space="preserve"> </w:t>
            </w:r>
            <w:r w:rsidRPr="004C26B5">
              <w:t>I: Diet quality &amp; dietary behaviour</w:t>
            </w:r>
            <w:r w:rsidR="002456D7">
              <w:t xml:space="preserve"> </w:t>
            </w:r>
            <w:r w:rsidRPr="004C26B5">
              <w:t>O: Health-Related Quality of Life (HRQoL)</w:t>
            </w:r>
          </w:p>
        </w:tc>
        <w:tc>
          <w:tcPr>
            <w:tcW w:w="0" w:type="auto"/>
            <w:vAlign w:val="center"/>
            <w:hideMark/>
          </w:tcPr>
          <w:p w14:paraId="2AB5C184" w14:textId="6B3C512E" w:rsidR="001E6A92" w:rsidRPr="004C26B5" w:rsidRDefault="001E6A92" w:rsidP="001E6A92">
            <w:r w:rsidRPr="004C26B5">
              <w:t>17(12 Cross-sectional;5 Longitudinal)</w:t>
            </w:r>
          </w:p>
        </w:tc>
        <w:tc>
          <w:tcPr>
            <w:tcW w:w="1561" w:type="dxa"/>
            <w:vAlign w:val="center"/>
            <w:hideMark/>
          </w:tcPr>
          <w:p w14:paraId="19CDB042" w14:textId="77777777" w:rsidR="001E6A92" w:rsidRPr="004C26B5" w:rsidRDefault="001E6A92" w:rsidP="001E6A92">
            <w:r w:rsidRPr="004C26B5">
              <w:t>Higher diet quality and healthy dietary behaviours are associated with better HRQoL across physical, school, and emotional functioning domains.</w:t>
            </w:r>
          </w:p>
        </w:tc>
        <w:tc>
          <w:tcPr>
            <w:tcW w:w="2017" w:type="dxa"/>
            <w:vAlign w:val="center"/>
            <w:hideMark/>
          </w:tcPr>
          <w:p w14:paraId="02EF9C83" w14:textId="77777777" w:rsidR="001E6A92" w:rsidRPr="004C26B5" w:rsidRDefault="001E6A92" w:rsidP="001E6A92">
            <w:r w:rsidRPr="004C26B5">
              <w:t>Newcastle-Ottawa Scale (NOS)</w:t>
            </w:r>
          </w:p>
        </w:tc>
        <w:tc>
          <w:tcPr>
            <w:tcW w:w="2523" w:type="dxa"/>
            <w:vAlign w:val="center"/>
            <w:hideMark/>
          </w:tcPr>
          <w:p w14:paraId="3D53FA79" w14:textId="06A5C825" w:rsidR="001E6A92" w:rsidRPr="004C26B5" w:rsidRDefault="001E6A92" w:rsidP="001E6A92">
            <w:r w:rsidRPr="004C26B5">
              <w:t xml:space="preserve">Outcome: Focused solely on HRQoL (Wellbeing proxy); did not assess clinical mental health or </w:t>
            </w:r>
            <w:r w:rsidR="004C26B5" w:rsidRPr="004C26B5">
              <w:t>cognition. Population</w:t>
            </w:r>
            <w:r w:rsidRPr="004C26B5">
              <w:t>: Included young children (3+).</w:t>
            </w:r>
          </w:p>
        </w:tc>
      </w:tr>
      <w:tr w:rsidR="001E6A92" w:rsidRPr="001E6A92" w14:paraId="527E0788" w14:textId="77777777" w:rsidTr="003474C4">
        <w:tc>
          <w:tcPr>
            <w:tcW w:w="958" w:type="dxa"/>
            <w:vAlign w:val="center"/>
            <w:hideMark/>
          </w:tcPr>
          <w:p w14:paraId="3A0DA0D9" w14:textId="77777777" w:rsidR="001E6A92" w:rsidRPr="001E6A92" w:rsidRDefault="001E6A92" w:rsidP="001E6A92">
            <w:r w:rsidRPr="001E6A92">
              <w:rPr>
                <w:b/>
                <w:bCs/>
              </w:rPr>
              <w:lastRenderedPageBreak/>
              <w:t>Tandon et al. (2016)</w:t>
            </w:r>
          </w:p>
        </w:tc>
        <w:tc>
          <w:tcPr>
            <w:tcW w:w="0" w:type="auto"/>
            <w:vAlign w:val="center"/>
            <w:hideMark/>
          </w:tcPr>
          <w:p w14:paraId="37E06F63" w14:textId="77777777" w:rsidR="001E6A92" w:rsidRPr="001E6A92" w:rsidRDefault="001E6A92" w:rsidP="001E6A92">
            <w:r w:rsidRPr="001E6A92">
              <w:t>Feb 2016</w:t>
            </w:r>
          </w:p>
        </w:tc>
        <w:tc>
          <w:tcPr>
            <w:tcW w:w="0" w:type="auto"/>
            <w:vAlign w:val="center"/>
            <w:hideMark/>
          </w:tcPr>
          <w:p w14:paraId="381DF88A" w14:textId="106D5BF1" w:rsidR="001E6A92" w:rsidRPr="002456D7" w:rsidRDefault="001E6A92" w:rsidP="001E6A92">
            <w:r w:rsidRPr="002456D7">
              <w:t>P: Early Childhood (6mo–5</w:t>
            </w:r>
            <w:proofErr w:type="gramStart"/>
            <w:r w:rsidRPr="002456D7">
              <w:t>y)I</w:t>
            </w:r>
            <w:proofErr w:type="gramEnd"/>
            <w:r w:rsidRPr="002456D7">
              <w:t>: Physical activity &amp; dietary patternsO: Cognitive development</w:t>
            </w:r>
          </w:p>
        </w:tc>
        <w:tc>
          <w:tcPr>
            <w:tcW w:w="0" w:type="auto"/>
            <w:vAlign w:val="center"/>
            <w:hideMark/>
          </w:tcPr>
          <w:p w14:paraId="70D49C39" w14:textId="4E6CE160" w:rsidR="001E6A92" w:rsidRPr="002456D7" w:rsidRDefault="001E6A92" w:rsidP="001E6A92">
            <w:r w:rsidRPr="002456D7">
              <w:t xml:space="preserve">8 (Diet </w:t>
            </w:r>
            <w:proofErr w:type="gramStart"/>
            <w:r w:rsidRPr="002456D7">
              <w:t>specific)(</w:t>
            </w:r>
            <w:proofErr w:type="gramEnd"/>
            <w:r w:rsidRPr="002456D7">
              <w:t>8 Longitudinal)</w:t>
            </w:r>
          </w:p>
        </w:tc>
        <w:tc>
          <w:tcPr>
            <w:tcW w:w="1561" w:type="dxa"/>
            <w:vAlign w:val="center"/>
            <w:hideMark/>
          </w:tcPr>
          <w:p w14:paraId="277A2B99" w14:textId="77777777" w:rsidR="001E6A92" w:rsidRPr="002456D7" w:rsidRDefault="001E6A92" w:rsidP="001E6A92">
            <w:r w:rsidRPr="002456D7">
              <w:t>Unhealthy dietary patterns early in life were associated with poorer cognitive outcomes in later childhood; healthy patterns were associated with better outcomes.</w:t>
            </w:r>
          </w:p>
        </w:tc>
        <w:tc>
          <w:tcPr>
            <w:tcW w:w="2017" w:type="dxa"/>
            <w:vAlign w:val="center"/>
            <w:hideMark/>
          </w:tcPr>
          <w:p w14:paraId="14E74DD9" w14:textId="77777777" w:rsidR="001E6A92" w:rsidRPr="002456D7" w:rsidRDefault="001E6A92" w:rsidP="001E6A92">
            <w:r w:rsidRPr="002456D7">
              <w:t>None (Systematic evaluation of quality was not included)</w:t>
            </w:r>
          </w:p>
        </w:tc>
        <w:tc>
          <w:tcPr>
            <w:tcW w:w="2523" w:type="dxa"/>
            <w:vAlign w:val="center"/>
            <w:hideMark/>
          </w:tcPr>
          <w:p w14:paraId="08A23954" w14:textId="53E20F67" w:rsidR="001E6A92" w:rsidRPr="002456D7" w:rsidRDefault="001E6A92" w:rsidP="001E6A92">
            <w:r w:rsidRPr="002456D7">
              <w:t>Population: Focused exclusively on Early Childhood (6mo–5y</w:t>
            </w:r>
            <w:proofErr w:type="gramStart"/>
            <w:r w:rsidRPr="002456D7">
              <w:t>).Outcome</w:t>
            </w:r>
            <w:proofErr w:type="gramEnd"/>
            <w:r w:rsidRPr="002456D7">
              <w:t>: Focused exclusively on Cognition.Quality: Did not perform formal risk of bias assessment.</w:t>
            </w:r>
          </w:p>
        </w:tc>
      </w:tr>
    </w:tbl>
    <w:p w14:paraId="670EDD88" w14:textId="77777777" w:rsidR="00732CFB" w:rsidRDefault="00732CFB"/>
    <w:sectPr w:rsidR="00732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92"/>
    <w:rsid w:val="0003058D"/>
    <w:rsid w:val="001D35A8"/>
    <w:rsid w:val="001E6A92"/>
    <w:rsid w:val="00213D56"/>
    <w:rsid w:val="00237861"/>
    <w:rsid w:val="002456D7"/>
    <w:rsid w:val="003474C4"/>
    <w:rsid w:val="004102B4"/>
    <w:rsid w:val="00425171"/>
    <w:rsid w:val="004C26B5"/>
    <w:rsid w:val="00732CFB"/>
    <w:rsid w:val="007E55E0"/>
    <w:rsid w:val="008200C9"/>
    <w:rsid w:val="008F41C6"/>
    <w:rsid w:val="00BB1F30"/>
    <w:rsid w:val="00DB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AC743"/>
  <w15:chartTrackingRefBased/>
  <w15:docId w15:val="{2DFFAC76-11BC-4BD2-A102-6FD9DAE1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A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A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A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A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A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A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6A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A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6A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A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A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671</Words>
  <Characters>3287</Characters>
  <Application>Microsoft Office Word</Application>
  <DocSecurity>0</DocSecurity>
  <Lines>102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Coombes (PhD App Health Resea FT (A900))</dc:creator>
  <cp:keywords/>
  <dc:description/>
  <cp:lastModifiedBy>Joseph Coombes (PhD App Health Resea FT (A900))</cp:lastModifiedBy>
  <cp:revision>5</cp:revision>
  <dcterms:created xsi:type="dcterms:W3CDTF">2026-01-30T09:07:00Z</dcterms:created>
  <dcterms:modified xsi:type="dcterms:W3CDTF">2026-02-06T02:57:00Z</dcterms:modified>
</cp:coreProperties>
</file>