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Noto Sans CJK SC"/>
          <w:b/>
          <w:color w:val="FF0000"/>
          <w:sz w:val="26"/>
        </w:rPr>
        <w:t>Supplementary Material 2. APAHSNS item mapping and psychometric details</w:t>
      </w:r>
    </w:p>
    <w:p>
      <w:r>
        <w:rPr>
          <w:rFonts w:ascii="Times New Roman" w:hAnsi="Times New Roman" w:eastAsia="Noto Sans CJK SC"/>
          <w:b/>
          <w:color w:val="FF0000"/>
          <w:sz w:val="20"/>
        </w:rPr>
        <w:t>Table S1. Full bilingual item wording and mapping to qualitative subthemes and quotations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2424"/>
        <w:gridCol w:w="2424"/>
        <w:gridCol w:w="2424"/>
        <w:gridCol w:w="2424"/>
        <w:gridCol w:w="2424"/>
        <w:gridCol w:w="2424"/>
      </w:tblGrid>
      <w:tr>
        <w:trPr>
          <w:tblHeader w:val="true"/>
        </w:trPr>
        <w:tc>
          <w:tcPr>
            <w:tcW w:type="dxa" w:w="79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Item</w:t>
            </w:r>
          </w:p>
        </w:tc>
        <w:tc>
          <w:tcPr>
            <w:tcW w:type="dxa" w:w="1656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Dimension</w:t>
            </w:r>
          </w:p>
        </w:tc>
        <w:tc>
          <w:tcPr>
            <w:tcW w:type="dxa" w:w="1800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Qualitative subtheme</w:t>
            </w:r>
          </w:p>
        </w:tc>
        <w:tc>
          <w:tcPr>
            <w:tcW w:type="dxa" w:w="3816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Original Chinese wording</w:t>
            </w:r>
          </w:p>
        </w:tc>
        <w:tc>
          <w:tcPr>
            <w:tcW w:type="dxa" w:w="403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English wording</w:t>
            </w:r>
          </w:p>
        </w:tc>
        <w:tc>
          <w:tcPr>
            <w:tcW w:type="dxa" w:w="4104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Representative qualitative quotation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APA01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Emotional safety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Immediate connection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当我拨打心理援助热线时，我需要尽快接通人工接线员。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When I call a psychological assistance hotline, I need to be connected to a human operator as quickly as possible.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“I want the hotline to connect within 20 seconds. The longer I wait, the more agitated I become, and I might just give up.” (N4)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APA02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Emotional safety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Privacy protection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我需要热线明确保护我的个人信息和求助内容，不随意告知家长、老师或其他人。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I need the hotline to clearly protect my personal information and the content of my call from unauthorized disclosure.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“I’m afraid that calling the hotline will turn my problem into a cautionary tale spread around.” (N2)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APA03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Emotional safety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Empathic response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我需要接线员及时表达理解和共情，让我感到自己的痛苦被看见。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I need the operator to respond with timely understanding and empathy so that I feel my distress is recognized.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“The operator said, ‘I can feel you’re really struggling right now,’ and I burst into tears. Finally someone understood.” (N2)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APA04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Emotional safety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Inclusive language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我需要接线员使用尊重、平等且适合青少年的语言，并允许我按自己的节奏表达。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I need the operator to use respectful, age-appropriate language and allow me to speak at my own pace.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“The operator said, ‘Take your time, think about it, tell me when you’re ready,’ which made me feel safe.” (N12)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APA05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Non-judgmental support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Non-judgmental attitude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我需要接线员不批评、不说教，也不轻易评价我的想法和行为。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I need the operator to avoid criticism, lecturing, or premature judgment of my thoughts and behavior.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“I’m always criticized at school and scolded at home. If the operator also lectures me, I absolutely won’t accept it.” (N4)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APA06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Non-judgmental support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Rapid emotional recognition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当我情绪接近崩溃时，我需要接线员优先识别并回应我的情绪，而不是连续追问信息。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When I am close to an emotional breakdown, I need the operator to recognize and respond to my emotions before asking numerous factual questions.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“The operator kept asking irrelevant questions while ignoring my near-breakdown. The more we talked, the more hopeless I felt.” (N3)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APA07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Non-judgmental support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Youth subculture accommodation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我需要接线员尊重并尽量理解动漫、游戏、追星等青少年亚文化经历。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I need the operator to respect and try to understand adolescent subcultures such as anime, gaming, and fan communities.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“My idol was cyberbullied and my parents said I was crazy. The operator said I was too immersed in a virtual world. None of them understand me.” (N8)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APA08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Non-judgmental support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Targeted support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我需要接线员根据我的具体困扰提供有针对性、可操作的支持，而不是泛泛安慰。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I need the operator to provide targeted and actionable support for my specific concern rather than generic reassurance.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“I’d been unable to sleep for a week. I hoped the hotline could help me stop the racing thoughts.” (N2)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APA09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Closed-loop empowerment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Problem closure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我需要热线帮助我明确下一步解决方案，并在必要时衔接相关资源。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I need the hotline to help clarify the next steps toward resolving my problem and connect me with appropriate resources when necessary.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“The operator helped me get legal aid for bullying. Knowing I won’t be afraid anymore brought me back to life.” (N11)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APA10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Closed-loop empowerment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Self-efficacy enhancement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我需要通过热线学会今后可以独立使用的情绪调节或问题解决方法。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I need to learn emotion-regulation or problem-solving strategies that I can use independently in the future.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“Next time I’ll try communicating instead of bottling it up and wanting to die. This sense of control is new.” (N2)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APA11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Closed-loop empowerment</w:t>
            </w:r>
          </w:p>
        </w:tc>
        <w:tc>
          <w:tcPr>
            <w:tcW w:type="dxa" w:w="180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Sustained trust</w:t>
            </w:r>
          </w:p>
        </w:tc>
        <w:tc>
          <w:tcPr>
            <w:tcW w:type="dxa" w:w="3816"/>
            <w:vAlign w:val="center"/>
          </w:tcPr>
          <w:p>
            <w:r>
              <w:rPr>
                <w:rFonts w:eastAsia="Noto Sans CJK SC"/>
              </w:rPr>
            </w:r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在风险或困难尚未解决时，我需要热线提供适当的随访或连续支持。</w:t>
            </w:r>
          </w:p>
        </w:tc>
        <w:tc>
          <w:tcPr>
            <w:tcW w:type="dxa" w:w="403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When my risk or difficulty remains unresolved, I need the hotline to provide appropriate follow-up or continuity of support.</w:t>
            </w:r>
          </w:p>
        </w:tc>
        <w:tc>
          <w:tcPr>
            <w:tcW w:type="dxa" w:w="4104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“I wish the operator could follow up, not end things after one call. It took so much courage to build this relationship.” (N4)</w:t>
            </w:r>
          </w:p>
        </w:tc>
      </w:tr>
    </w:tbl>
    <w:p>
      <w:r>
        <w:rPr>
          <w:rFonts w:ascii="Times New Roman" w:hAnsi="Times New Roman" w:eastAsia="Noto Sans CJK SC"/>
          <w:b/>
          <w:color w:val="FF0000"/>
          <w:sz w:val="20"/>
        </w:rPr>
        <w:t>Table S2. Exploratory and confirmatory factor-analysis results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1818"/>
        <w:gridCol w:w="1818"/>
        <w:gridCol w:w="1818"/>
        <w:gridCol w:w="1818"/>
        <w:gridCol w:w="1818"/>
        <w:gridCol w:w="1818"/>
        <w:gridCol w:w="1818"/>
        <w:gridCol w:w="1818"/>
      </w:tblGrid>
      <w:tr>
        <w:trPr>
          <w:tblHeader w:val="true"/>
        </w:trPr>
        <w:tc>
          <w:tcPr>
            <w:tcW w:type="dxa" w:w="1818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Item</w:t>
            </w:r>
          </w:p>
        </w:tc>
        <w:tc>
          <w:tcPr>
            <w:tcW w:type="dxa" w:w="1818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Dimension</w:t>
            </w:r>
          </w:p>
        </w:tc>
        <w:tc>
          <w:tcPr>
            <w:tcW w:type="dxa" w:w="1818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Subtheme</w:t>
            </w:r>
          </w:p>
        </w:tc>
        <w:tc>
          <w:tcPr>
            <w:tcW w:type="dxa" w:w="1818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EFA F1</w:t>
            </w:r>
          </w:p>
        </w:tc>
        <w:tc>
          <w:tcPr>
            <w:tcW w:type="dxa" w:w="1818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EFA F2</w:t>
            </w:r>
          </w:p>
        </w:tc>
        <w:tc>
          <w:tcPr>
            <w:tcW w:type="dxa" w:w="1818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EFA F3</w:t>
            </w:r>
          </w:p>
        </w:tc>
        <w:tc>
          <w:tcPr>
            <w:tcW w:type="dxa" w:w="1818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Primary loading</w:t>
            </w:r>
          </w:p>
        </w:tc>
        <w:tc>
          <w:tcPr>
            <w:tcW w:type="dxa" w:w="1818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CFA standardized loading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APA01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Emotional safety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Immediate connection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0.832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0.149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0.208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0.832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0.815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APA02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Emotional safety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Privacy protection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0.815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0.172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0.260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0.815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0.778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APA03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Emotional safety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Empathic response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0.721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0.240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0.311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0.721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0.743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APA04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Emotional safety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Inclusive language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0.673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0.330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0.149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0.673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0.625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APA05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Non-judgmental support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Non-judgmental attitude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0.357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0.740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0.104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0.740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0.795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APA06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Non-judgmental support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Rapid emotional recognition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0.202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0.808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0.221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0.808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0.742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APA07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Non-judgmental support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Youth subculture accommodation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0.071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0.776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0.191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0.776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0.650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APA08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Non-judgmental support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Targeted support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0.240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0.707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0.349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0.707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0.706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APA09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Closed-loop empowerment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Problem closure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0.206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0.217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0.787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0.787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0.649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APA10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Closed-loop empowerment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Self-efficacy enhancement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0.219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0.282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0.782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0.782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0.767</w:t>
            </w:r>
          </w:p>
        </w:tc>
      </w:tr>
      <w:tr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APA11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Closed-loop empowerment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Sustained trust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0.314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0.139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0.777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0.777</w:t>
            </w:r>
          </w:p>
        </w:tc>
        <w:tc>
          <w:tcPr>
            <w:tcW w:type="dxa" w:w="1818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0.725</w:t>
            </w:r>
          </w:p>
        </w:tc>
      </w:tr>
    </w:tbl>
    <w:p>
      <w:r>
        <w:rPr>
          <w:rFonts w:ascii="Times New Roman" w:hAnsi="Times New Roman" w:eastAsia="Noto Sans CJK SC"/>
          <w:b w:val="0"/>
          <w:color w:val="FF0000"/>
          <w:sz w:val="16"/>
        </w:rPr>
        <w:t>Note: EFA subsample n=193; KMO=0.900; Bartlett χ²=1012.84, df=55, P&lt;0.001. Rotated variance explained: 49.37%, 11.41%, and 9.21% (cumulative 69.98%). CFA subsample n=193; χ²=56.93, df=41, χ²/df=1.39, CFI=0.980, TLI=0.973, RMSEA=0.045, SRMR=0.044. Factors were allowed to correlate; no residual covariances were added.</w:t>
      </w:r>
    </w:p>
    <w:p>
      <w:r>
        <w:rPr>
          <w:rFonts w:ascii="Times New Roman" w:hAnsi="Times New Roman" w:eastAsia="Noto Sans CJK SC"/>
          <w:b/>
          <w:color w:val="FF0000"/>
          <w:sz w:val="20"/>
        </w:rPr>
        <w:t>Table S3. Standardized residual correlation matrix from the three-factor CFA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</w:tblGrid>
      <w:tr>
        <w:trPr>
          <w:tblHeader w:val="true"/>
        </w:trPr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APA01</w:t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APA02</w:t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APA03</w:t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APA04</w:t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APA05</w:t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APA06</w:t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APA07</w:t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APA08</w:t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APA09</w:t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APA10</w:t>
            </w:r>
          </w:p>
        </w:tc>
        <w:tc>
          <w:tcPr>
            <w:tcW w:type="dxa" w:w="1212"/>
            <w:vAlign w:val="center"/>
            <w:shd w:fill="D9EAF7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APA11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-0.055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-0.008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-0.077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0.014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-0.040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0.024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APA02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-0.035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0.015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-0.109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-0.072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-0.001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-0.056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-0.079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APA03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-0.035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0.076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0.050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0.010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0.033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-0.055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0.015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-0.101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-0.006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0.105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0.046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0.076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0.014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-0.024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-0.052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-0.040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-0.008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-0.109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-0.101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-0.013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0.011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-0.002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0.048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APA07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-0.077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-0.072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0.014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-0.013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0.002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-0.044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0.051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0.051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APA08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0.014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-0.006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0.011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0.002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0.085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-0.018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-0.009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APA09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-0.040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-0.001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0.050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0.105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-0.024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-0.002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-0.044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0.085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0.003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-0.014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APA10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-0.056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0.010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-0.052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0.025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0.051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-0.018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0.003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0.006</w:t>
            </w:r>
          </w:p>
        </w:tc>
      </w:tr>
      <w:tr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color w:val="FF0000"/>
                <w:sz w:val="14"/>
              </w:rPr>
              <w:t>APA11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0.024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-0.079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0.033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-0.040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0.048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0.051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-0.009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-0.014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0.006</w:t>
            </w:r>
          </w:p>
        </w:tc>
        <w:tc>
          <w:tcPr>
            <w:tcW w:type="dxa" w:w="1212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color w:val="FF0000"/>
                <w:sz w:val="13"/>
              </w:rPr>
              <w:t>0.000</w:t>
            </w:r>
          </w:p>
        </w:tc>
      </w:tr>
    </w:tbl>
    <w:p>
      <w:r>
        <w:rPr>
          <w:rFonts w:ascii="Times New Roman" w:hAnsi="Times New Roman" w:eastAsia="Noto Sans CJK SC"/>
          <w:b w:val="0"/>
          <w:color w:val="FF0000"/>
          <w:sz w:val="16"/>
        </w:rPr>
        <w:t>Note: Residual correlations are observed minus model-implied standardized correlations. The largest absolute residual correlation was 0.109 (APA02–APA06).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