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A0908" w14:textId="77777777" w:rsidR="002908FE" w:rsidRDefault="00000000">
      <w:pPr>
        <w:jc w:val="center"/>
      </w:pPr>
      <w:r>
        <w:rPr>
          <w:b/>
          <w:sz w:val="26"/>
        </w:rPr>
        <w:t>STROBE Statement—Checklist of items that should be included in reports of cross-sectional studies</w:t>
      </w:r>
    </w:p>
    <w:p w14:paraId="07FAA97C" w14:textId="641178A0" w:rsidR="002908FE" w:rsidRDefault="00000000" w:rsidP="00BF034E">
      <w:pPr>
        <w:jc w:val="center"/>
      </w:pPr>
      <w:r>
        <w:rPr>
          <w:i/>
          <w:sz w:val="19"/>
        </w:rPr>
        <w:t>Manuscript: Knowledge, attitudes, and clinical experiences of pediatricians regarding inherited metabolic diseases: A cross-sectional study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94"/>
        <w:gridCol w:w="7143"/>
        <w:gridCol w:w="5215"/>
      </w:tblGrid>
      <w:tr w:rsidR="002908FE" w14:paraId="1F756FBB" w14:textId="77777777">
        <w:trPr>
          <w:tblHeader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6449C4A" w14:textId="77777777" w:rsidR="002908FE" w:rsidRDefault="00000000">
            <w:pPr>
              <w:jc w:val="center"/>
            </w:pPr>
            <w:r>
              <w:rPr>
                <w:b/>
              </w:rPr>
              <w:t>Section/topic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12C9D1A" w14:textId="77777777" w:rsidR="002908FE" w:rsidRDefault="00000000">
            <w:pPr>
              <w:jc w:val="center"/>
            </w:pPr>
            <w:r>
              <w:rPr>
                <w:b/>
              </w:rPr>
              <w:t>Item No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793963C" w14:textId="77777777" w:rsidR="002908FE" w:rsidRDefault="00000000">
            <w:pPr>
              <w:jc w:val="center"/>
            </w:pPr>
            <w:r>
              <w:rPr>
                <w:b/>
              </w:rPr>
              <w:t>Recommendation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3F74095" w14:textId="77777777" w:rsidR="002908FE" w:rsidRDefault="00000000">
            <w:pPr>
              <w:jc w:val="center"/>
            </w:pPr>
            <w:r>
              <w:rPr>
                <w:b/>
              </w:rPr>
              <w:t>Reported on page/line</w:t>
            </w:r>
          </w:p>
        </w:tc>
      </w:tr>
      <w:tr w:rsidR="002908FE" w14:paraId="3EB824F5" w14:textId="77777777">
        <w:trPr>
          <w:cantSplit/>
          <w:jc w:val="center"/>
        </w:trPr>
        <w:tc>
          <w:tcPr>
            <w:tcW w:w="1542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4C21C3" w14:textId="77777777" w:rsidR="002908FE" w:rsidRDefault="00000000">
            <w:r>
              <w:rPr>
                <w:b/>
              </w:rPr>
              <w:t>TITLE AND ABSTRACT</w:t>
            </w:r>
          </w:p>
        </w:tc>
      </w:tr>
      <w:tr w:rsidR="002908FE" w14:paraId="479D51E3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96EB33B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Title and abstract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6DEAB4F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1(a)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75EDD7B" w14:textId="77777777" w:rsidR="002908FE" w:rsidRDefault="00000000">
            <w:pPr>
              <w:keepLines/>
            </w:pPr>
            <w:r>
              <w:rPr>
                <w:sz w:val="16"/>
              </w:rPr>
              <w:t>Identify the observational study design with a standard term in the title or abstract.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D635AC0" w14:textId="77777777" w:rsidR="002908FE" w:rsidRDefault="00000000">
            <w:pPr>
              <w:keepLines/>
            </w:pPr>
            <w:r>
              <w:rPr>
                <w:sz w:val="16"/>
              </w:rPr>
              <w:t>p. 1, lines 1–3 (title identifies the study as cross-sectional).</w:t>
            </w:r>
          </w:p>
        </w:tc>
      </w:tr>
      <w:tr w:rsidR="002908FE" w14:paraId="0D6CD751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95B5F02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Title and abstract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158BEFF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1(b)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4A40C70" w14:textId="77777777" w:rsidR="002908FE" w:rsidRDefault="00000000">
            <w:pPr>
              <w:keepLines/>
            </w:pPr>
            <w:r>
              <w:rPr>
                <w:sz w:val="16"/>
              </w:rPr>
              <w:t>Provide an informative, balanced abstract describing what was done and what was found.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47DE953" w14:textId="77777777" w:rsidR="002908FE" w:rsidRDefault="00000000">
            <w:pPr>
              <w:keepLines/>
            </w:pPr>
            <w:r>
              <w:rPr>
                <w:sz w:val="16"/>
              </w:rPr>
              <w:t>pp. 3–4, lines 62–92 (structured Background, Methods, Results, and Conclusions).</w:t>
            </w:r>
          </w:p>
        </w:tc>
      </w:tr>
      <w:tr w:rsidR="002908FE" w14:paraId="736502DA" w14:textId="77777777">
        <w:trPr>
          <w:cantSplit/>
          <w:jc w:val="center"/>
        </w:trPr>
        <w:tc>
          <w:tcPr>
            <w:tcW w:w="1542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8D00D0" w14:textId="77777777" w:rsidR="002908FE" w:rsidRDefault="00000000">
            <w:r>
              <w:rPr>
                <w:b/>
              </w:rPr>
              <w:t>INTRODUCTION</w:t>
            </w:r>
          </w:p>
        </w:tc>
      </w:tr>
      <w:tr w:rsidR="002908FE" w14:paraId="1746B68B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52B567E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Background/rationale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AA1C576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B2127B7" w14:textId="77777777" w:rsidR="002908FE" w:rsidRDefault="00000000">
            <w:pPr>
              <w:keepLines/>
            </w:pPr>
            <w:r>
              <w:rPr>
                <w:sz w:val="16"/>
              </w:rPr>
              <w:t>Explain the scientific background and rationale for the investigation.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1FD8E3E" w14:textId="77777777" w:rsidR="002908FE" w:rsidRDefault="00000000">
            <w:pPr>
              <w:keepLines/>
            </w:pPr>
            <w:r>
              <w:rPr>
                <w:sz w:val="16"/>
              </w:rPr>
              <w:t>pp. 5–6, lines 117–154.</w:t>
            </w:r>
          </w:p>
        </w:tc>
      </w:tr>
      <w:tr w:rsidR="002908FE" w14:paraId="368974E0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ED5BA0E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Objectives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84F7078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A9A8D13" w14:textId="77777777" w:rsidR="002908FE" w:rsidRDefault="00000000">
            <w:pPr>
              <w:keepLines/>
            </w:pPr>
            <w:r>
              <w:rPr>
                <w:sz w:val="16"/>
              </w:rPr>
              <w:t>State the specific study objectives and any prespecified hypotheses.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622F7CD" w14:textId="77777777" w:rsidR="002908FE" w:rsidRDefault="00000000">
            <w:pPr>
              <w:keepLines/>
            </w:pPr>
            <w:r>
              <w:rPr>
                <w:sz w:val="16"/>
              </w:rPr>
              <w:t>p. 6, lines 155–160. Objectives are stated; no prespecified primary hypothesis is claimed.</w:t>
            </w:r>
          </w:p>
        </w:tc>
      </w:tr>
      <w:tr w:rsidR="002908FE" w14:paraId="35A396D4" w14:textId="77777777">
        <w:trPr>
          <w:cantSplit/>
          <w:jc w:val="center"/>
        </w:trPr>
        <w:tc>
          <w:tcPr>
            <w:tcW w:w="1542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558386" w14:textId="77777777" w:rsidR="002908FE" w:rsidRDefault="00000000">
            <w:r>
              <w:rPr>
                <w:b/>
              </w:rPr>
              <w:t>METHODS</w:t>
            </w:r>
          </w:p>
        </w:tc>
      </w:tr>
      <w:tr w:rsidR="002908FE" w14:paraId="75789C85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FDE131D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Study design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590200A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52A1E09" w14:textId="77777777" w:rsidR="002908FE" w:rsidRDefault="00000000">
            <w:pPr>
              <w:keepLines/>
            </w:pPr>
            <w:r>
              <w:rPr>
                <w:sz w:val="16"/>
              </w:rPr>
              <w:t>Present the key elements of the study design early in the manuscript.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BCF2985" w14:textId="77777777" w:rsidR="002908FE" w:rsidRDefault="00000000">
            <w:pPr>
              <w:keepLines/>
            </w:pPr>
            <w:r>
              <w:rPr>
                <w:sz w:val="16"/>
              </w:rPr>
              <w:t>p. 7, lines 163–165.</w:t>
            </w:r>
          </w:p>
        </w:tc>
      </w:tr>
      <w:tr w:rsidR="002908FE" w14:paraId="4DBFA94F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F1985EA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Setting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133358F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49A505F" w14:textId="77777777" w:rsidR="002908FE" w:rsidRDefault="00000000">
            <w:pPr>
              <w:keepLines/>
            </w:pPr>
            <w:r>
              <w:rPr>
                <w:sz w:val="16"/>
              </w:rPr>
              <w:t>Describe the setting and locations, together with relevant study dates or data-collection periods.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F0A0070" w14:textId="77777777" w:rsidR="002908FE" w:rsidRDefault="00000000">
            <w:pPr>
              <w:keepLines/>
            </w:pPr>
            <w:r>
              <w:rPr>
                <w:sz w:val="16"/>
              </w:rPr>
              <w:t>p. 7, lines 163–180 (Türkiye, target population, and recruitment setting). Recruitment/data-collection calendar dates are not explicitly reported.</w:t>
            </w:r>
          </w:p>
        </w:tc>
      </w:tr>
      <w:tr w:rsidR="002908FE" w14:paraId="66B8CB55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CCF0AF9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Participants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DE4D30A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6(a)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E8105A5" w14:textId="77777777" w:rsidR="002908FE" w:rsidRDefault="00000000">
            <w:pPr>
              <w:keepLines/>
            </w:pPr>
            <w:r>
              <w:rPr>
                <w:sz w:val="16"/>
              </w:rPr>
              <w:t>Report eligibility criteria and the sources and methods used to select participants.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6C24AB6" w14:textId="77777777" w:rsidR="002908FE" w:rsidRDefault="00000000">
            <w:pPr>
              <w:keepLines/>
            </w:pPr>
            <w:r>
              <w:rPr>
                <w:sz w:val="16"/>
              </w:rPr>
              <w:t>p. 7, lines 163–180 (target population, convenience sampling, recruitment channels, and exclusion of pediatric metabolism subspecialists).</w:t>
            </w:r>
          </w:p>
        </w:tc>
      </w:tr>
      <w:tr w:rsidR="002908FE" w14:paraId="32642A07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A5D63F4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Variables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BD06CF1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5F04992" w14:textId="77777777" w:rsidR="002908FE" w:rsidRDefault="00000000">
            <w:pPr>
              <w:keepLines/>
            </w:pPr>
            <w:r>
              <w:rPr>
                <w:sz w:val="16"/>
              </w:rPr>
              <w:t>Clearly define the measured outcomes/variables and relevant predictors or other explanatory variables.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E432EB8" w14:textId="77777777" w:rsidR="002908FE" w:rsidRDefault="00000000">
            <w:pPr>
              <w:keepLines/>
            </w:pPr>
            <w:r>
              <w:rPr>
                <w:sz w:val="16"/>
              </w:rPr>
              <w:t>pp. 8–10, lines 201–234 (demographic/professional, education, clinical exposure/practice variables and the three knowledge metrics).</w:t>
            </w:r>
          </w:p>
        </w:tc>
      </w:tr>
      <w:tr w:rsidR="002908FE" w14:paraId="46A031D9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7AD1892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Data sources/measurement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694848F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8*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AAE54E4" w14:textId="77777777" w:rsidR="002908FE" w:rsidRDefault="00000000">
            <w:pPr>
              <w:keepLines/>
            </w:pPr>
            <w:r>
              <w:rPr>
                <w:sz w:val="16"/>
              </w:rPr>
              <w:t>For variables of interest, describe the data source and how each was assessed or measured.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CFB7ABB" w14:textId="77777777" w:rsidR="002908FE" w:rsidRDefault="00000000">
            <w:pPr>
              <w:keepLines/>
            </w:pPr>
            <w:r>
              <w:rPr>
                <w:sz w:val="16"/>
              </w:rPr>
              <w:t>pp. 8–10, lines 186–234 (Google Forms questionnaire, development, expert review, pilot testing, domains, and scoring). Supplementary File 1 provides the English questionnaire, response formats, and answer key.</w:t>
            </w:r>
          </w:p>
        </w:tc>
      </w:tr>
      <w:tr w:rsidR="002908FE" w14:paraId="47349416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AA52A7A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Bias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D5B3939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FAF34AC" w14:textId="77777777" w:rsidR="002908FE" w:rsidRDefault="00000000">
            <w:pPr>
              <w:keepLines/>
            </w:pPr>
            <w:r>
              <w:rPr>
                <w:sz w:val="16"/>
              </w:rPr>
              <w:t>Describe measures taken to identify or limit potential sources of bias.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F8472CA" w14:textId="77777777" w:rsidR="002908FE" w:rsidRDefault="00000000">
            <w:pPr>
              <w:keepLines/>
            </w:pPr>
            <w:r>
              <w:rPr>
                <w:sz w:val="16"/>
              </w:rPr>
              <w:t>p. 7, lines 173–180; p. 8, lines 191–200. Selection/nonresponse bias and related limitations are discussed at pp. 20–21, lines 455–474.</w:t>
            </w:r>
          </w:p>
        </w:tc>
      </w:tr>
      <w:tr w:rsidR="002908FE" w14:paraId="1D71A015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721EEA0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Study size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BCC59C5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99CDF1D" w14:textId="77777777" w:rsidR="002908FE" w:rsidRDefault="00000000">
            <w:pPr>
              <w:keepLines/>
            </w:pPr>
            <w:r>
              <w:rPr>
                <w:sz w:val="16"/>
              </w:rPr>
              <w:t>Explain how the study size was determined.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22841D0" w14:textId="77777777" w:rsidR="002908FE" w:rsidRDefault="00000000">
            <w:pPr>
              <w:keepLines/>
            </w:pPr>
            <w:r>
              <w:rPr>
                <w:sz w:val="16"/>
              </w:rPr>
              <w:t>p. 7, lines 166–172 (a priori one-way ANOVA framework; f=0.25; alpha=0.05; 80% power; minimum N=158; subgroup analyses exploratory).</w:t>
            </w:r>
          </w:p>
        </w:tc>
      </w:tr>
      <w:tr w:rsidR="002908FE" w14:paraId="5772D842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B16FF1A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Quantitative variables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C454823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8ED2953" w14:textId="77777777" w:rsidR="002908FE" w:rsidRDefault="00000000">
            <w:pPr>
              <w:keepLines/>
            </w:pPr>
            <w:r>
              <w:rPr>
                <w:sz w:val="16"/>
              </w:rPr>
              <w:t>Explain how quantitative variables were handled in analysis and, when grouped, describe the categories and rationale.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D574159" w14:textId="77777777" w:rsidR="002908FE" w:rsidRDefault="00000000">
            <w:pPr>
              <w:keepLines/>
            </w:pPr>
            <w:r>
              <w:rPr>
                <w:sz w:val="16"/>
              </w:rPr>
              <w:t>pp. 9–10, lines 221–251; Table 1 (p. 13) and Table 3 (pp. 15–16). Practice-duration categories are shown, but a separate rationale for the cut points is not stated.</w:t>
            </w:r>
          </w:p>
        </w:tc>
      </w:tr>
      <w:tr w:rsidR="002908FE" w14:paraId="0AA02EA8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BDF4F83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Statistical methods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0FA583C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12(a)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F17FB8B" w14:textId="77777777" w:rsidR="002908FE" w:rsidRDefault="00000000">
            <w:pPr>
              <w:keepLines/>
            </w:pPr>
            <w:r>
              <w:rPr>
                <w:sz w:val="16"/>
              </w:rPr>
              <w:t>Describe the statistical methods, including any methods used to control for confounding.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619E62D" w14:textId="77777777" w:rsidR="002908FE" w:rsidRDefault="00000000">
            <w:pPr>
              <w:keepLines/>
            </w:pPr>
            <w:r>
              <w:rPr>
                <w:sz w:val="16"/>
              </w:rPr>
              <w:t>p. 10, lines 235–251 (Shapiro-Wilk, Student t test, Mann-Whitney U, one-way ANOVA, Levene test, descriptive statistics, 95% CIs, two-tailed p&lt;0.05). Analyses were unadjusted/exploratory; no multivariable confounder-adjustment model was used.</w:t>
            </w:r>
          </w:p>
        </w:tc>
      </w:tr>
      <w:tr w:rsidR="002908FE" w14:paraId="696E17DE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E2AA27F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Statistical methods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4A8B636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12(b)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762E173" w14:textId="77777777" w:rsidR="002908FE" w:rsidRDefault="00000000">
            <w:pPr>
              <w:keepLines/>
            </w:pPr>
            <w:r>
              <w:rPr>
                <w:sz w:val="16"/>
              </w:rPr>
              <w:t>Describe methods used for subgroup or interaction analyses.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76FDC96" w14:textId="77777777" w:rsidR="002908FE" w:rsidRDefault="00000000">
            <w:pPr>
              <w:keepLines/>
            </w:pPr>
            <w:r>
              <w:rPr>
                <w:sz w:val="16"/>
              </w:rPr>
              <w:t>p. 7, lines 166–172; p. 10, lines 242–250; pp. 15–16, lines 318–359 and Table 3 (exploratory subgroup comparisons).</w:t>
            </w:r>
          </w:p>
        </w:tc>
      </w:tr>
      <w:tr w:rsidR="002908FE" w14:paraId="06BCCE39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F969463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Statistical methods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EC773A8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12(c)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4ACB7C5" w14:textId="77777777" w:rsidR="002908FE" w:rsidRDefault="00000000">
            <w:pPr>
              <w:keepLines/>
            </w:pPr>
            <w:r>
              <w:rPr>
                <w:sz w:val="16"/>
              </w:rPr>
              <w:t>Explain how missing data were handled.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112BBD6" w14:textId="77777777" w:rsidR="002908FE" w:rsidRDefault="00000000">
            <w:pPr>
              <w:keepLines/>
            </w:pPr>
            <w:r>
              <w:rPr>
                <w:sz w:val="16"/>
              </w:rPr>
              <w:t>p. 3, lines 69–73; pp. 10–11, lines 253–256. The final analysis comprised completed questionnaires; no imputation procedure is reported.</w:t>
            </w:r>
          </w:p>
        </w:tc>
      </w:tr>
      <w:tr w:rsidR="002908FE" w14:paraId="07177D42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4400D24" w14:textId="77777777" w:rsidR="002908FE" w:rsidRDefault="00000000">
            <w:pPr>
              <w:keepLines/>
            </w:pPr>
            <w:r>
              <w:rPr>
                <w:b/>
                <w:sz w:val="16"/>
              </w:rPr>
              <w:lastRenderedPageBreak/>
              <w:t>Statistical methods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844ECE6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12(d)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741370F" w14:textId="77777777" w:rsidR="002908FE" w:rsidRDefault="00000000">
            <w:pPr>
              <w:keepLines/>
            </w:pPr>
            <w:r>
              <w:rPr>
                <w:sz w:val="16"/>
              </w:rPr>
              <w:t>If applicable, describe analyses that account for the sampling strategy.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BE9E588" w14:textId="77777777" w:rsidR="002908FE" w:rsidRDefault="00000000">
            <w:pPr>
              <w:keepLines/>
            </w:pPr>
            <w:r>
              <w:rPr>
                <w:sz w:val="16"/>
              </w:rPr>
              <w:t>Not applicable. Non-probability convenience sampling was used (p. 7, lines 173–178); sampling weights/design-based variance corrections were not applicable.</w:t>
            </w:r>
          </w:p>
        </w:tc>
      </w:tr>
      <w:tr w:rsidR="002908FE" w14:paraId="734D51B2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B2D015A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Statistical methods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899B242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12(e)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B5882A4" w14:textId="77777777" w:rsidR="002908FE" w:rsidRDefault="00000000">
            <w:pPr>
              <w:keepLines/>
            </w:pPr>
            <w:r>
              <w:rPr>
                <w:sz w:val="16"/>
              </w:rPr>
              <w:t>Describe any sensitivity analyses.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D98A060" w14:textId="77777777" w:rsidR="002908FE" w:rsidRDefault="00000000">
            <w:pPr>
              <w:keepLines/>
            </w:pPr>
            <w:r>
              <w:rPr>
                <w:sz w:val="16"/>
              </w:rPr>
              <w:t>Not applicable / not performed; no sensitivity analyses are reported.</w:t>
            </w:r>
          </w:p>
        </w:tc>
      </w:tr>
      <w:tr w:rsidR="002908FE" w14:paraId="681FA5B4" w14:textId="77777777">
        <w:trPr>
          <w:cantSplit/>
          <w:jc w:val="center"/>
        </w:trPr>
        <w:tc>
          <w:tcPr>
            <w:tcW w:w="1542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441D29" w14:textId="77777777" w:rsidR="002908FE" w:rsidRDefault="00000000">
            <w:r>
              <w:rPr>
                <w:b/>
              </w:rPr>
              <w:t>RESULTS</w:t>
            </w:r>
          </w:p>
        </w:tc>
      </w:tr>
      <w:tr w:rsidR="002908FE" w14:paraId="0E6C1000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124D551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Participants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D183F9F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13(a)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64D7D45" w14:textId="77777777" w:rsidR="002908FE" w:rsidRDefault="00000000">
            <w:pPr>
              <w:keepLines/>
            </w:pPr>
            <w:r>
              <w:rPr>
                <w:sz w:val="16"/>
              </w:rPr>
              <w:t>Report the number of individuals at each main stage from completion/eligibility through analysis.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5CB96FC" w14:textId="77777777" w:rsidR="002908FE" w:rsidRDefault="00000000">
            <w:pPr>
              <w:keepLines/>
            </w:pPr>
            <w:r>
              <w:rPr>
                <w:sz w:val="16"/>
              </w:rPr>
              <w:t>pp. 10–11, lines 253–256: 178 completed the main survey; 9 were excluded; 169 were included in the final analysis.</w:t>
            </w:r>
          </w:p>
        </w:tc>
      </w:tr>
      <w:tr w:rsidR="002908FE" w14:paraId="5F2049E0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2AE8A4B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Participants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CFC4539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13(b)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4F87DB6" w14:textId="77777777" w:rsidR="002908FE" w:rsidRDefault="00000000">
            <w:pPr>
              <w:keepLines/>
            </w:pPr>
            <w:r>
              <w:rPr>
                <w:sz w:val="16"/>
              </w:rPr>
              <w:t>Give reasons for non-participation or exclusion at relevant stages.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BFB9F6F" w14:textId="77777777" w:rsidR="002908FE" w:rsidRDefault="00000000">
            <w:pPr>
              <w:keepLines/>
            </w:pPr>
            <w:r>
              <w:rPr>
                <w:sz w:val="16"/>
              </w:rPr>
              <w:t>p. 7, lines 176–180 and pp. 10–11, lines 253–256. The invitation denominator could not be determined; nine pediatric metabolism subspecialists were excluded according to the predefined target population.</w:t>
            </w:r>
          </w:p>
        </w:tc>
      </w:tr>
      <w:tr w:rsidR="002908FE" w14:paraId="2644A683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4BF0D6F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Participants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0734D37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13(c)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266146B" w14:textId="77777777" w:rsidR="002908FE" w:rsidRDefault="00000000">
            <w:pPr>
              <w:keepLines/>
            </w:pPr>
            <w:r>
              <w:rPr>
                <w:sz w:val="16"/>
              </w:rPr>
              <w:t>Consider presenting participant flow in a diagram.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12A13C0" w14:textId="77777777" w:rsidR="002908FE" w:rsidRDefault="00000000">
            <w:pPr>
              <w:keepLines/>
            </w:pPr>
            <w:r>
              <w:rPr>
                <w:sz w:val="16"/>
              </w:rPr>
              <w:t>No flow diagram was used. Participant flow is reported explicitly in text (pp. 10–11, lines 253–256).</w:t>
            </w:r>
          </w:p>
        </w:tc>
      </w:tr>
      <w:tr w:rsidR="002908FE" w14:paraId="6970C8F0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2B4A970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Descriptive data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7D4E9DB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14(a)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E1C4AEE" w14:textId="77777777" w:rsidR="002908FE" w:rsidRDefault="00000000">
            <w:pPr>
              <w:keepLines/>
            </w:pPr>
            <w:r>
              <w:rPr>
                <w:sz w:val="16"/>
              </w:rPr>
              <w:t>Give participant characteristics and relevant exposure/predictor information.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E73542B" w14:textId="77777777" w:rsidR="002908FE" w:rsidRDefault="00000000">
            <w:pPr>
              <w:keepLines/>
            </w:pPr>
            <w:r>
              <w:rPr>
                <w:sz w:val="16"/>
              </w:rPr>
              <w:t>p. 11, lines 257–272; Table 1, p. 13.</w:t>
            </w:r>
          </w:p>
        </w:tc>
      </w:tr>
      <w:tr w:rsidR="002908FE" w14:paraId="3099F063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6D99ECB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Descriptive data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5AD920A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14(b)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EC83743" w14:textId="77777777" w:rsidR="002908FE" w:rsidRDefault="00000000">
            <w:pPr>
              <w:keepLines/>
            </w:pPr>
            <w:r>
              <w:rPr>
                <w:sz w:val="16"/>
              </w:rPr>
              <w:t>Indicate the number of participants with missing data for variables of interest.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1FCF6EF" w14:textId="77777777" w:rsidR="002908FE" w:rsidRDefault="00000000">
            <w:pPr>
              <w:keepLines/>
            </w:pPr>
            <w:r>
              <w:rPr>
                <w:sz w:val="16"/>
              </w:rPr>
              <w:t>p. 3, lines 69–73 states that the final analysis included participants who completed the questionnaire in full. Separate item-level missing-data counts are not presented.</w:t>
            </w:r>
          </w:p>
        </w:tc>
      </w:tr>
      <w:tr w:rsidR="002908FE" w14:paraId="667224B3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CA7DD55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Outcome data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EE2D7C6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15*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F7CB53A" w14:textId="77777777" w:rsidR="002908FE" w:rsidRDefault="00000000">
            <w:pPr>
              <w:keepLines/>
            </w:pPr>
            <w:r>
              <w:rPr>
                <w:sz w:val="16"/>
              </w:rPr>
              <w:t>Report appropriate outcome counts or summary measures for the cross-sectional data.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E4133EF" w14:textId="77777777" w:rsidR="002908FE" w:rsidRDefault="00000000">
            <w:pPr>
              <w:keepLines/>
            </w:pPr>
            <w:r>
              <w:rPr>
                <w:sz w:val="16"/>
              </w:rPr>
              <w:t>pp. 11–15, lines 264–316; Figure 1 (p. 12); Table 1 (p. 13); Table 2 (pp. 14–15).</w:t>
            </w:r>
          </w:p>
        </w:tc>
      </w:tr>
      <w:tr w:rsidR="002908FE" w14:paraId="10007072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3F6CECE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Main results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E687E43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16(a)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9C0D0D8" w14:textId="77777777" w:rsidR="002908FE" w:rsidRDefault="00000000">
            <w:pPr>
              <w:keepLines/>
            </w:pPr>
            <w:r>
              <w:rPr>
                <w:sz w:val="16"/>
              </w:rPr>
              <w:t>Give unadjusted estimates and, if applicable, adjusted estimates with measures of precision; state adjustment variables when relevant.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518B5BA" w14:textId="77777777" w:rsidR="002908FE" w:rsidRDefault="00000000">
            <w:pPr>
              <w:keepLines/>
            </w:pPr>
            <w:r>
              <w:rPr>
                <w:sz w:val="16"/>
              </w:rPr>
              <w:t>pp. 15–16, lines 318–359 and Table 3: unadjusted subgroup comparisons, p values, and 95% CIs for the fully correct score. No adjusted estimates were generated.</w:t>
            </w:r>
          </w:p>
        </w:tc>
      </w:tr>
      <w:tr w:rsidR="002908FE" w14:paraId="46EFA1A8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BE69103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Main results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7562ADB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16(b)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FB6FCAF" w14:textId="77777777" w:rsidR="002908FE" w:rsidRDefault="00000000">
            <w:pPr>
              <w:keepLines/>
            </w:pPr>
            <w:r>
              <w:rPr>
                <w:sz w:val="16"/>
              </w:rPr>
              <w:t>Report category boundaries when continuous variables are categorized.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A089958" w14:textId="77777777" w:rsidR="002908FE" w:rsidRDefault="00000000">
            <w:pPr>
              <w:keepLines/>
            </w:pPr>
            <w:r>
              <w:rPr>
                <w:sz w:val="16"/>
              </w:rPr>
              <w:t>Table 1 (p. 13) and Table 3 (pp. 15–16): duration-of-practice categories are 0–5, 5–10, 10–15, 15–20, and &gt;20 years.</w:t>
            </w:r>
          </w:p>
        </w:tc>
      </w:tr>
      <w:tr w:rsidR="002908FE" w14:paraId="2EF856FB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21977F4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Main results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61BC83F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16(c)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2DDF56D" w14:textId="77777777" w:rsidR="002908FE" w:rsidRDefault="00000000">
            <w:pPr>
              <w:keepLines/>
            </w:pPr>
            <w:r>
              <w:rPr>
                <w:sz w:val="16"/>
              </w:rPr>
              <w:t>When relevant, consider expressing relative estimates as absolute risk over a meaningful period.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81D1697" w14:textId="77777777" w:rsidR="002908FE" w:rsidRDefault="00000000">
            <w:pPr>
              <w:keepLines/>
            </w:pPr>
            <w:r>
              <w:rPr>
                <w:sz w:val="16"/>
              </w:rPr>
              <w:t>Not applicable. Relative risks, odds ratios, and time-based risks were not estimated.</w:t>
            </w:r>
          </w:p>
        </w:tc>
      </w:tr>
      <w:tr w:rsidR="002908FE" w14:paraId="3C23142D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82DA78A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Other analyses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A811021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17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454A844" w14:textId="77777777" w:rsidR="002908FE" w:rsidRDefault="00000000">
            <w:pPr>
              <w:keepLines/>
            </w:pPr>
            <w:r>
              <w:rPr>
                <w:sz w:val="16"/>
              </w:rPr>
              <w:t>Report other analyses, including subgroup, interaction, or sensitivity analyses.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EC81038" w14:textId="77777777" w:rsidR="002908FE" w:rsidRDefault="00000000">
            <w:pPr>
              <w:keepLines/>
            </w:pPr>
            <w:r>
              <w:rPr>
                <w:sz w:val="16"/>
              </w:rPr>
              <w:t>pp. 15–16, lines 318–359 and Table 3: exploratory subgroup comparisons by sex, duration of practice, perceived training adequacy, follow-up difficulty, and previous IMD-related educational attendance. No interaction or sensitivity analyses are reported.</w:t>
            </w:r>
          </w:p>
        </w:tc>
      </w:tr>
      <w:tr w:rsidR="002908FE" w14:paraId="64E57A07" w14:textId="77777777">
        <w:trPr>
          <w:cantSplit/>
          <w:jc w:val="center"/>
        </w:trPr>
        <w:tc>
          <w:tcPr>
            <w:tcW w:w="1542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C9E867" w14:textId="77777777" w:rsidR="002908FE" w:rsidRDefault="00000000">
            <w:r>
              <w:rPr>
                <w:b/>
              </w:rPr>
              <w:t>DISCUSSION</w:t>
            </w:r>
          </w:p>
        </w:tc>
      </w:tr>
      <w:tr w:rsidR="002908FE" w14:paraId="2D96E230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2874ABD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Key results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B4B1997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18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B218307" w14:textId="77777777" w:rsidR="002908FE" w:rsidRDefault="00000000">
            <w:pPr>
              <w:keepLines/>
            </w:pPr>
            <w:r>
              <w:rPr>
                <w:sz w:val="16"/>
              </w:rPr>
              <w:t>Summarize the main findings with reference to the study objectives.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FACA731" w14:textId="77777777" w:rsidR="002908FE" w:rsidRDefault="00000000">
            <w:pPr>
              <w:keepLines/>
            </w:pPr>
            <w:r>
              <w:rPr>
                <w:sz w:val="16"/>
              </w:rPr>
              <w:t>pp. 16–17, lines 363–373.</w:t>
            </w:r>
          </w:p>
        </w:tc>
      </w:tr>
      <w:tr w:rsidR="002908FE" w14:paraId="6515FFE8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07007AF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Limitations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4E3798D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19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5BAD9D0" w14:textId="77777777" w:rsidR="002908FE" w:rsidRDefault="00000000">
            <w:pPr>
              <w:keepLines/>
            </w:pPr>
            <w:r>
              <w:rPr>
                <w:sz w:val="16"/>
              </w:rPr>
              <w:t>Discuss study limitations, including potential bias or imprecision and their likely implications.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C42ADE5" w14:textId="77777777" w:rsidR="002908FE" w:rsidRDefault="00000000">
            <w:pPr>
              <w:keepLines/>
            </w:pPr>
            <w:r>
              <w:rPr>
                <w:sz w:val="16"/>
              </w:rPr>
              <w:t>pp. 20–21, lines 455–474 (cross-sectional/self-report design, convenience sampling, selection/nonresponse bias, representativeness, psychometric validation, heterogeneous composite domains, exploratory subgroup analyses, limited power, and incomplete characterization of clinical exposure).</w:t>
            </w:r>
          </w:p>
        </w:tc>
      </w:tr>
      <w:tr w:rsidR="002908FE" w14:paraId="552E1080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8075FB2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Interpretation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DEEDF2B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FF4549A" w14:textId="77777777" w:rsidR="002908FE" w:rsidRDefault="00000000">
            <w:pPr>
              <w:keepLines/>
            </w:pPr>
            <w:r>
              <w:rPr>
                <w:sz w:val="16"/>
              </w:rPr>
              <w:t>Provide a cautious overall interpretation in light of the objectives, limitations, multiple analyses, and relevant external evidence.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B5E8C02" w14:textId="77777777" w:rsidR="002908FE" w:rsidRDefault="00000000">
            <w:pPr>
              <w:keepLines/>
            </w:pPr>
            <w:r>
              <w:rPr>
                <w:sz w:val="16"/>
              </w:rPr>
              <w:t>pp. 16–21, lines 363–474, including comparison with previous evidence, educational/system implications, and the limitations/hypothesis-generating framing.</w:t>
            </w:r>
          </w:p>
        </w:tc>
      </w:tr>
      <w:tr w:rsidR="002908FE" w14:paraId="2CB16DD8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33BEE4B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Generalisability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D318D63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21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109D626" w14:textId="77777777" w:rsidR="002908FE" w:rsidRDefault="00000000">
            <w:pPr>
              <w:keepLines/>
            </w:pPr>
            <w:r>
              <w:rPr>
                <w:sz w:val="16"/>
              </w:rPr>
              <w:t>Discuss the external validity or generalisability of the study findings.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16938B6" w14:textId="77777777" w:rsidR="002908FE" w:rsidRDefault="00000000">
            <w:pPr>
              <w:keepLines/>
            </w:pPr>
            <w:r>
              <w:rPr>
                <w:sz w:val="16"/>
              </w:rPr>
              <w:t>pp. 20–21, lines 455–474, especially lines 457–462 and 472–474 (convenience sampling, possible selection bias, non-national representativeness, and need for confirmation in larger representative samples).</w:t>
            </w:r>
          </w:p>
        </w:tc>
      </w:tr>
      <w:tr w:rsidR="002908FE" w14:paraId="1464C600" w14:textId="77777777">
        <w:trPr>
          <w:cantSplit/>
          <w:jc w:val="center"/>
        </w:trPr>
        <w:tc>
          <w:tcPr>
            <w:tcW w:w="1542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CFB523" w14:textId="77777777" w:rsidR="002908FE" w:rsidRDefault="00000000">
            <w:r>
              <w:rPr>
                <w:b/>
              </w:rPr>
              <w:t>OTHER INFORMATION</w:t>
            </w:r>
          </w:p>
        </w:tc>
      </w:tr>
      <w:tr w:rsidR="002908FE" w14:paraId="6AC24EC1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90CB002" w14:textId="77777777" w:rsidR="002908FE" w:rsidRDefault="00000000">
            <w:pPr>
              <w:keepLines/>
            </w:pPr>
            <w:r>
              <w:rPr>
                <w:b/>
                <w:sz w:val="16"/>
              </w:rPr>
              <w:t>Funding</w:t>
            </w:r>
          </w:p>
        </w:tc>
        <w:tc>
          <w:tcPr>
            <w:tcW w:w="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6C93DE6" w14:textId="77777777" w:rsidR="002908FE" w:rsidRDefault="00000000">
            <w:pPr>
              <w:keepLines/>
              <w:jc w:val="center"/>
            </w:pPr>
            <w:r>
              <w:rPr>
                <w:b/>
                <w:sz w:val="16"/>
              </w:rPr>
              <w:t>22</w:t>
            </w:r>
          </w:p>
        </w:tc>
        <w:tc>
          <w:tcPr>
            <w:tcW w:w="71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158A674" w14:textId="77777777" w:rsidR="002908FE" w:rsidRDefault="00000000">
            <w:pPr>
              <w:keepLines/>
            </w:pPr>
            <w:r>
              <w:rPr>
                <w:sz w:val="16"/>
              </w:rPr>
              <w:t>State the funding source and the role of funders, if any.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0F67A65" w14:textId="77777777" w:rsidR="002908FE" w:rsidRDefault="00000000">
            <w:pPr>
              <w:keepLines/>
            </w:pPr>
            <w:r>
              <w:rPr>
                <w:sz w:val="16"/>
              </w:rPr>
              <w:t>p. 22, lines 507–509: no specific grant funding was received; therefore, no funder role applied.</w:t>
            </w:r>
          </w:p>
        </w:tc>
      </w:tr>
    </w:tbl>
    <w:p w14:paraId="3B5428B1" w14:textId="77777777" w:rsidR="002908FE" w:rsidRDefault="00000000">
      <w:pPr>
        <w:spacing w:before="80"/>
      </w:pPr>
      <w:r>
        <w:rPr>
          <w:i/>
          <w:sz w:val="16"/>
        </w:rPr>
        <w:t>* Where applicable, STROBE recommends presenting information separately for relevant comparison groups.</w:t>
      </w:r>
    </w:p>
    <w:p w14:paraId="26A9DB54" w14:textId="0D4D7170" w:rsidR="002908FE" w:rsidRDefault="002908FE"/>
    <w:sectPr w:rsidR="002908FE" w:rsidSect="00034616">
      <w:footerReference w:type="default" r:id="rId8"/>
      <w:pgSz w:w="16838" w:h="11906" w:orient="landscape"/>
      <w:pgMar w:top="709" w:right="709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A11C0" w14:textId="77777777" w:rsidR="000D78EC" w:rsidRDefault="000D78EC">
      <w:r>
        <w:separator/>
      </w:r>
    </w:p>
  </w:endnote>
  <w:endnote w:type="continuationSeparator" w:id="0">
    <w:p w14:paraId="23E3F52E" w14:textId="77777777" w:rsidR="000D78EC" w:rsidRDefault="000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D9F5" w14:textId="7894A329" w:rsidR="002908FE" w:rsidRDefault="002908FE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96A68" w14:textId="77777777" w:rsidR="000D78EC" w:rsidRDefault="000D78EC">
      <w:r>
        <w:separator/>
      </w:r>
    </w:p>
  </w:footnote>
  <w:footnote w:type="continuationSeparator" w:id="0">
    <w:p w14:paraId="106942FE" w14:textId="77777777" w:rsidR="000D78EC" w:rsidRDefault="000D7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4611537">
    <w:abstractNumId w:val="8"/>
  </w:num>
  <w:num w:numId="2" w16cid:durableId="126516176">
    <w:abstractNumId w:val="6"/>
  </w:num>
  <w:num w:numId="3" w16cid:durableId="982925644">
    <w:abstractNumId w:val="5"/>
  </w:num>
  <w:num w:numId="4" w16cid:durableId="1154371597">
    <w:abstractNumId w:val="4"/>
  </w:num>
  <w:num w:numId="5" w16cid:durableId="1210997113">
    <w:abstractNumId w:val="7"/>
  </w:num>
  <w:num w:numId="6" w16cid:durableId="394857496">
    <w:abstractNumId w:val="3"/>
  </w:num>
  <w:num w:numId="7" w16cid:durableId="1746536204">
    <w:abstractNumId w:val="2"/>
  </w:num>
  <w:num w:numId="8" w16cid:durableId="1271937537">
    <w:abstractNumId w:val="1"/>
  </w:num>
  <w:num w:numId="9" w16cid:durableId="1524708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78EC"/>
    <w:rsid w:val="0015074B"/>
    <w:rsid w:val="002908FE"/>
    <w:rsid w:val="0029639D"/>
    <w:rsid w:val="00326F90"/>
    <w:rsid w:val="00AA1D8D"/>
    <w:rsid w:val="00B47730"/>
    <w:rsid w:val="00BF034E"/>
    <w:rsid w:val="00CB0664"/>
    <w:rsid w:val="00F62F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B0842D"/>
  <w14:defaultImageDpi w14:val="300"/>
  <w15:docId w15:val="{82B67EA6-6EFF-4A0F-998A-D738D4B1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Mehmet Tolga KÖLE</cp:lastModifiedBy>
  <cp:revision>2</cp:revision>
  <dcterms:created xsi:type="dcterms:W3CDTF">2013-12-23T23:15:00Z</dcterms:created>
  <dcterms:modified xsi:type="dcterms:W3CDTF">2026-08-22T11:30:00Z</dcterms:modified>
  <cp:category/>
</cp:coreProperties>
</file>