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66358">
      <w:pPr>
        <w:spacing w:before="156" w:beforeLines="50" w:line="480" w:lineRule="auto"/>
        <w:jc w:val="center"/>
        <w:rPr>
          <w:rFonts w:hint="default" w:ascii="Times New Roman" w:hAnsi="Times New Roman" w:eastAsia="微软雅黑" w:cs="Times New Roman"/>
          <w:b/>
          <w:bCs/>
          <w:sz w:val="20"/>
          <w:szCs w:val="20"/>
        </w:rPr>
      </w:pPr>
      <w:r>
        <w:rPr>
          <w:rFonts w:hint="default" w:ascii="Times New Roman" w:hAnsi="Times New Roman" w:eastAsia="微软雅黑" w:cs="Times New Roman"/>
          <w:b/>
          <w:bCs/>
          <w:sz w:val="20"/>
          <w:szCs w:val="20"/>
        </w:rPr>
        <w:t>Association and diagnostic value of serum cardiometabolic</w:t>
      </w:r>
      <w:r>
        <w:rPr>
          <w:rFonts w:hint="default" w:ascii="Times New Roman" w:hAnsi="Times New Roman" w:eastAsia="微软雅黑" w:cs="Times New Roman"/>
          <w:b/>
          <w:bCs/>
          <w:sz w:val="20"/>
          <w:szCs w:val="20"/>
        </w:rPr>
        <w:t xml:space="preserve"> biomarkers </w:t>
      </w:r>
      <w:r>
        <w:rPr>
          <w:rFonts w:hint="default" w:ascii="Times New Roman" w:hAnsi="Times New Roman" w:eastAsia="微软雅黑" w:cs="Times New Roman"/>
          <w:b/>
          <w:bCs/>
          <w:sz w:val="20"/>
          <w:szCs w:val="20"/>
        </w:rPr>
        <w:t>for metabolic-associated steatotic liver disease in children with obesity</w:t>
      </w:r>
    </w:p>
    <w:p w14:paraId="46785375">
      <w:pPr>
        <w:spacing w:before="156" w:beforeLines="50" w:line="480" w:lineRule="auto"/>
        <w:rPr>
          <w:rFonts w:hint="default" w:ascii="Times New Roman" w:hAnsi="Times New Roman" w:eastAsia="微软雅黑" w:cs="Times New Roman"/>
          <w:sz w:val="20"/>
          <w:szCs w:val="20"/>
        </w:rPr>
      </w:pPr>
      <w:r>
        <w:rPr>
          <w:rFonts w:hint="default" w:ascii="Times New Roman" w:hAnsi="Times New Roman" w:eastAsia="微软雅黑" w:cs="Times New Roman"/>
          <w:sz w:val="20"/>
          <w:szCs w:val="20"/>
        </w:rPr>
        <w:t>Huanyu Wang</w:t>
      </w:r>
      <w:r>
        <w:rPr>
          <w:rFonts w:hint="default" w:ascii="Times New Roman" w:hAnsi="Times New Roman" w:eastAsia="微软雅黑" w:cs="Times New Roman"/>
          <w:sz w:val="20"/>
          <w:szCs w:val="20"/>
          <w:vertAlign w:val="superscript"/>
        </w:rPr>
        <w:t xml:space="preserve"> 1</w:t>
      </w:r>
      <w:r>
        <w:rPr>
          <w:rFonts w:hint="default" w:ascii="Times New Roman" w:hAnsi="Times New Roman" w:eastAsia="微软雅黑" w:cs="Times New Roman"/>
          <w:sz w:val="20"/>
          <w:szCs w:val="20"/>
        </w:rPr>
        <w:t>,</w:t>
      </w:r>
      <w:r>
        <w:rPr>
          <w:rFonts w:hint="default" w:ascii="Times New Roman" w:hAnsi="Times New Roman" w:eastAsia="微软雅黑" w:cs="Times New Roman"/>
          <w:sz w:val="20"/>
          <w:szCs w:val="20"/>
        </w:rPr>
        <w:t xml:space="preserve"> Zongming Yang</w:t>
      </w:r>
      <w:r>
        <w:rPr>
          <w:rFonts w:hint="default" w:ascii="Times New Roman" w:hAnsi="Times New Roman" w:eastAsia="微软雅黑" w:cs="Times New Roman"/>
          <w:sz w:val="20"/>
          <w:szCs w:val="20"/>
          <w:vertAlign w:val="superscript"/>
        </w:rPr>
        <w:t>1</w:t>
      </w:r>
      <w:r>
        <w:rPr>
          <w:rFonts w:hint="default" w:ascii="Times New Roman" w:hAnsi="Times New Roman" w:eastAsia="微软雅黑" w:cs="Times New Roman"/>
          <w:sz w:val="20"/>
          <w:szCs w:val="20"/>
        </w:rPr>
        <w:t>,</w:t>
      </w:r>
      <w:r>
        <w:rPr>
          <w:rFonts w:hint="default" w:ascii="Times New Roman" w:hAnsi="Times New Roman" w:eastAsia="微软雅黑" w:cs="Times New Roman"/>
          <w:sz w:val="20"/>
          <w:szCs w:val="20"/>
        </w:rPr>
        <w:t xml:space="preserve"> Shimin Wu</w:t>
      </w:r>
      <w:r>
        <w:rPr>
          <w:rFonts w:hint="default" w:ascii="Times New Roman" w:hAnsi="Times New Roman" w:eastAsia="微软雅黑" w:cs="Times New Roman"/>
          <w:sz w:val="20"/>
          <w:szCs w:val="20"/>
          <w:vertAlign w:val="superscript"/>
        </w:rPr>
        <w:t>*</w:t>
      </w:r>
      <w:r>
        <w:rPr>
          <w:rFonts w:hint="default" w:ascii="Times New Roman" w:hAnsi="Times New Roman" w:eastAsia="微软雅黑" w:cs="Times New Roman"/>
          <w:sz w:val="20"/>
          <w:szCs w:val="20"/>
        </w:rPr>
        <w:t>, Ying Weng, Ling Hou, Wei Wu, Xiaoping Luo</w:t>
      </w:r>
      <w:r>
        <w:rPr>
          <w:rFonts w:hint="default" w:ascii="Times New Roman" w:hAnsi="Times New Roman" w:eastAsia="微软雅黑" w:cs="Times New Roman"/>
          <w:sz w:val="20"/>
          <w:szCs w:val="20"/>
          <w:vertAlign w:val="superscript"/>
        </w:rPr>
        <w:t>*</w:t>
      </w:r>
      <w:r>
        <w:rPr>
          <w:rFonts w:hint="default" w:ascii="Times New Roman" w:hAnsi="Times New Roman" w:eastAsia="微软雅黑" w:cs="Times New Roman"/>
          <w:sz w:val="20"/>
          <w:szCs w:val="20"/>
        </w:rPr>
        <w:t>(</w:t>
      </w:r>
      <w:r>
        <w:rPr>
          <w:rFonts w:hint="default" w:ascii="Times New Roman" w:hAnsi="Times New Roman" w:eastAsia="微软雅黑" w:cs="Times New Roman"/>
          <w:sz w:val="20"/>
          <w:szCs w:val="20"/>
        </w:rPr>
        <w:t>0000-0002-3748-4817</w:t>
      </w:r>
      <w:r>
        <w:rPr>
          <w:rFonts w:hint="default" w:ascii="Times New Roman" w:hAnsi="Times New Roman" w:eastAsia="微软雅黑" w:cs="Times New Roman"/>
          <w:sz w:val="20"/>
          <w:szCs w:val="20"/>
        </w:rPr>
        <w:t>)</w:t>
      </w:r>
    </w:p>
    <w:p w14:paraId="361B3CC0">
      <w:pPr>
        <w:spacing w:before="156" w:beforeLines="50" w:line="480" w:lineRule="auto"/>
        <w:rPr>
          <w:rFonts w:hint="default" w:ascii="Times New Roman" w:hAnsi="Times New Roman" w:eastAsia="微软雅黑" w:cs="Times New Roman"/>
          <w:sz w:val="20"/>
          <w:szCs w:val="20"/>
        </w:rPr>
      </w:pPr>
      <w:bookmarkStart w:id="0" w:name="OLE_LINK22"/>
      <w:bookmarkStart w:id="1" w:name="OLE_LINK9"/>
      <w:r>
        <w:rPr>
          <w:rFonts w:hint="default" w:ascii="Times New Roman" w:hAnsi="Times New Roman" w:eastAsia="微软雅黑" w:cs="Times New Roman"/>
          <w:sz w:val="20"/>
          <w:szCs w:val="20"/>
          <w:vertAlign w:val="superscript"/>
        </w:rPr>
        <w:t xml:space="preserve">1 </w:t>
      </w:r>
      <w:r>
        <w:rPr>
          <w:rFonts w:hint="default" w:ascii="Times New Roman" w:hAnsi="Times New Roman" w:eastAsia="微软雅黑" w:cs="Times New Roman"/>
          <w:sz w:val="20"/>
          <w:szCs w:val="20"/>
        </w:rPr>
        <w:t>These authors contributed equally</w:t>
      </w:r>
      <w:bookmarkEnd w:id="0"/>
      <w:bookmarkEnd w:id="1"/>
    </w:p>
    <w:p w14:paraId="4DF6618C">
      <w:pPr>
        <w:spacing w:before="156" w:beforeLines="50" w:line="480" w:lineRule="auto"/>
        <w:rPr>
          <w:rFonts w:hint="default" w:ascii="Times New Roman" w:hAnsi="Times New Roman" w:eastAsia="微软雅黑" w:cs="Times New Roman"/>
          <w:sz w:val="20"/>
          <w:szCs w:val="20"/>
        </w:rPr>
      </w:pPr>
      <w:r>
        <w:rPr>
          <w:rFonts w:hint="default" w:ascii="Times New Roman" w:hAnsi="Times New Roman" w:eastAsia="微软雅黑" w:cs="Times New Roman"/>
          <w:sz w:val="20"/>
          <w:szCs w:val="20"/>
        </w:rPr>
        <w:t>*Corresponding:</w:t>
      </w:r>
      <w:r>
        <w:rPr>
          <w:rFonts w:hint="default" w:ascii="Times New Roman" w:hAnsi="Times New Roman" w:eastAsia="微软雅黑" w:cs="Times New Roman"/>
          <w:sz w:val="20"/>
          <w:szCs w:val="20"/>
        </w:rPr>
        <w:t xml:space="preserve"> </w:t>
      </w:r>
      <w:r>
        <w:rPr>
          <w:rFonts w:hint="default" w:ascii="Times New Roman" w:hAnsi="Times New Roman" w:eastAsia="微软雅黑" w:cs="Times New Roman"/>
          <w:sz w:val="20"/>
          <w:szCs w:val="20"/>
        </w:rPr>
        <w:t xml:space="preserve">Xiaoping Luo, </w:t>
      </w:r>
      <w:bookmarkStart w:id="2" w:name="_Hlk155166116"/>
      <w:r>
        <w:rPr>
          <w:rFonts w:hint="default" w:ascii="Times New Roman" w:hAnsi="Times New Roman" w:eastAsia="微软雅黑" w:cs="Times New Roman"/>
          <w:sz w:val="20"/>
          <w:szCs w:val="20"/>
        </w:rPr>
        <w:t>Department of Pediatrics, Tongji Hospital, Tongji Medical College, Huazhong University of Science and Technology, Wuhan 430030, China.</w:t>
      </w:r>
    </w:p>
    <w:bookmarkEnd w:id="2"/>
    <w:p w14:paraId="000922DC">
      <w:pPr>
        <w:spacing w:before="156" w:beforeLines="50" w:line="480" w:lineRule="auto"/>
        <w:rPr>
          <w:rFonts w:hint="default" w:ascii="Times New Roman" w:hAnsi="Times New Roman" w:eastAsia="微软雅黑" w:cs="Times New Roman"/>
          <w:sz w:val="20"/>
          <w:szCs w:val="20"/>
          <w:lang w:val="de-DE"/>
        </w:rPr>
      </w:pPr>
      <w:r>
        <w:rPr>
          <w:rFonts w:hint="default" w:ascii="Times New Roman" w:hAnsi="Times New Roman" w:eastAsia="微软雅黑" w:cs="Times New Roman"/>
          <w:sz w:val="20"/>
          <w:szCs w:val="20"/>
          <w:lang w:val="de-DE"/>
        </w:rPr>
        <w:t>E-mail: xpluo@tjh.tjmu.edu.cn</w:t>
      </w:r>
    </w:p>
    <w:p w14:paraId="798B1415">
      <w:pPr>
        <w:spacing w:before="156" w:beforeLines="50" w:line="480" w:lineRule="auto"/>
        <w:rPr>
          <w:rFonts w:hint="default" w:ascii="Times New Roman" w:hAnsi="Times New Roman" w:eastAsia="微软雅黑" w:cs="Times New Roman"/>
          <w:sz w:val="20"/>
          <w:szCs w:val="20"/>
        </w:rPr>
      </w:pPr>
      <w:r>
        <w:rPr>
          <w:rFonts w:hint="default" w:ascii="Times New Roman" w:hAnsi="Times New Roman" w:eastAsia="微软雅黑" w:cs="Times New Roman"/>
          <w:sz w:val="20"/>
          <w:szCs w:val="20"/>
        </w:rPr>
        <w:t>Shimin Wu</w:t>
      </w:r>
      <w:r>
        <w:rPr>
          <w:rFonts w:hint="default" w:ascii="Times New Roman" w:hAnsi="Times New Roman" w:eastAsia="微软雅黑" w:cs="Times New Roman"/>
          <w:sz w:val="20"/>
          <w:szCs w:val="20"/>
        </w:rPr>
        <w:t xml:space="preserve">, </w:t>
      </w:r>
      <w:r>
        <w:rPr>
          <w:rFonts w:hint="default" w:ascii="Times New Roman" w:hAnsi="Times New Roman" w:eastAsia="微软雅黑" w:cs="Times New Roman"/>
          <w:sz w:val="20"/>
          <w:szCs w:val="20"/>
        </w:rPr>
        <w:t>Department of Pediatrics, Tongji Hospital, Tongji Medical College, Huazhong University of Science and Technology, Wuhan 430030, China.</w:t>
      </w:r>
    </w:p>
    <w:p w14:paraId="678E5261">
      <w:pPr>
        <w:spacing w:before="156" w:beforeLines="50" w:line="480" w:lineRule="auto"/>
        <w:rPr>
          <w:rFonts w:hint="default" w:ascii="Times New Roman" w:hAnsi="Times New Roman" w:eastAsia="微软雅黑" w:cs="Times New Roman"/>
          <w:sz w:val="20"/>
          <w:szCs w:val="20"/>
        </w:rPr>
      </w:pPr>
      <w:r>
        <w:rPr>
          <w:rFonts w:hint="default" w:ascii="Times New Roman" w:hAnsi="Times New Roman" w:eastAsia="微软雅黑" w:cs="Times New Roman"/>
          <w:sz w:val="20"/>
          <w:szCs w:val="20"/>
        </w:rPr>
        <w:t>E-mail address:</w:t>
      </w:r>
      <w:r>
        <w:rPr>
          <w:rFonts w:hint="default" w:ascii="Times New Roman" w:hAnsi="Times New Roman" w:eastAsia="微软雅黑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bookmarkStart w:id="3" w:name="OLE_LINK11"/>
      <w:r>
        <w:rPr>
          <w:rFonts w:hint="default" w:ascii="Times New Roman" w:hAnsi="Times New Roman" w:eastAsia="微软雅黑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eastAsia="微软雅黑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instrText xml:space="preserve">HYPERLINK "mailto:wushimin123@tjh.tjmu.edu.cn"</w:instrText>
      </w:r>
      <w:r>
        <w:rPr>
          <w:rFonts w:hint="default" w:ascii="Times New Roman" w:hAnsi="Times New Roman" w:eastAsia="微软雅黑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7"/>
          <w:rFonts w:hint="default" w:ascii="Times New Roman" w:hAnsi="Times New Roman" w:eastAsia="微软雅黑" w:cs="Times New Roman"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>wushimin123@tjh.tjmu.edu.cn</w:t>
      </w:r>
      <w:r>
        <w:rPr>
          <w:rFonts w:hint="default" w:ascii="Times New Roman" w:hAnsi="Times New Roman" w:eastAsia="微软雅黑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fldChar w:fldCharType="end"/>
      </w:r>
      <w:bookmarkEnd w:id="3"/>
    </w:p>
    <w:p w14:paraId="3595EC3E">
      <w:pPr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122DD8ED">
      <w:pPr>
        <w:widowControl/>
        <w:jc w:val="left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br w:type="page"/>
      </w:r>
    </w:p>
    <w:p w14:paraId="75C3BC62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Figure S1</w:t>
      </w:r>
      <w:r>
        <w:rPr>
          <w:rFonts w:hint="default" w:ascii="Times New Roman" w:hAnsi="Times New Roman" w:cs="Times New Roman"/>
          <w:sz w:val="20"/>
          <w:szCs w:val="20"/>
        </w:rPr>
        <w:t xml:space="preserve"> Correlation matrix of biomarkers employing Spearman correlation test</w:t>
      </w:r>
    </w:p>
    <w:p w14:paraId="711EEC84">
      <w:pPr>
        <w:rPr>
          <w:rFonts w:hint="default" w:ascii="Times New Roman" w:hAnsi="Times New Roman" w:eastAsia="仿宋" w:cs="Times New Roman"/>
          <w:sz w:val="20"/>
          <w:szCs w:val="20"/>
          <w:lang w:eastAsia="zh-CN"/>
        </w:rPr>
      </w:pPr>
      <w:r>
        <w:rPr>
          <w:rFonts w:hint="default" w:ascii="Times New Roman" w:hAnsi="Times New Roman" w:eastAsia="仿宋" w:cs="Times New Roman"/>
          <w:sz w:val="20"/>
          <w:szCs w:val="20"/>
          <w:lang w:eastAsia="zh-CN"/>
        </w:rPr>
        <w:drawing>
          <wp:inline distT="0" distB="0" distL="114300" distR="114300">
            <wp:extent cx="5274310" cy="3955415"/>
            <wp:effectExtent l="0" t="0" r="13970" b="6985"/>
            <wp:docPr id="5" name="图片 5" descr="correlation_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orrelation_plo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479F7">
      <w:pPr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Abbreviations: CTSD=cathepsin D; GDF15=growth differentiation factor 15; IGF-1= insulin-like growth factor-1</w:t>
      </w:r>
    </w:p>
    <w:p w14:paraId="0BA7D5DF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Note：* 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default" w:ascii="Times New Roman" w:hAnsi="Times New Roman" w:cs="Times New Roman"/>
          <w:sz w:val="20"/>
          <w:szCs w:val="20"/>
        </w:rPr>
        <w:t xml:space="preserve">&lt;0.05; *** 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default" w:ascii="Times New Roman" w:hAnsi="Times New Roman" w:cs="Times New Roman"/>
          <w:sz w:val="20"/>
          <w:szCs w:val="20"/>
        </w:rPr>
        <w:t>&lt;0.001</w:t>
      </w:r>
    </w:p>
    <w:p w14:paraId="40C47705">
      <w:pPr>
        <w:rPr>
          <w:rFonts w:hint="default" w:ascii="Times New Roman" w:hAnsi="Times New Roman" w:cs="Times New Roman"/>
          <w:sz w:val="20"/>
          <w:szCs w:val="2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C16DEB2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Figure S2</w:t>
      </w:r>
      <w:r>
        <w:rPr>
          <w:rFonts w:hint="default" w:ascii="Times New Roman" w:hAnsi="Times New Roman" w:cs="Times New Roman"/>
          <w:sz w:val="20"/>
          <w:szCs w:val="20"/>
        </w:rPr>
        <w:t xml:space="preserve"> Distribution of each biomarker before (left) and after (right) log</w:t>
      </w:r>
      <w:r>
        <w:rPr>
          <w:rFonts w:hint="default" w:ascii="Times New Roman" w:hAnsi="Times New Roman" w:cs="Times New Roman"/>
          <w:sz w:val="20"/>
          <w:szCs w:val="20"/>
          <w:vertAlign w:val="subscript"/>
        </w:rPr>
        <w:t>e</w:t>
      </w:r>
      <w:r>
        <w:rPr>
          <w:rFonts w:hint="default" w:ascii="Times New Roman" w:hAnsi="Times New Roman" w:cs="Times New Roman"/>
          <w:sz w:val="20"/>
          <w:szCs w:val="20"/>
        </w:rPr>
        <w:t xml:space="preserve"> transformation</w:t>
      </w:r>
    </w:p>
    <w:p w14:paraId="2B7EEA43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仿宋" w:cs="Times New Roman"/>
          <w:sz w:val="20"/>
          <w:szCs w:val="20"/>
          <w:lang w:eastAsia="zh-CN"/>
        </w:rPr>
        <w:drawing>
          <wp:inline distT="0" distB="0" distL="114300" distR="114300">
            <wp:extent cx="5274310" cy="7911465"/>
            <wp:effectExtent l="0" t="0" r="13970" b="13335"/>
            <wp:docPr id="6" name="图片 6" descr="distribution_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istribution_plot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4FA22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Abbreviations: CTSD=cathepsin D; </w:t>
      </w:r>
      <w:r>
        <w:rPr>
          <w:rFonts w:hint="default" w:ascii="Times New Roman" w:hAnsi="Times New Roman" w:cs="Times New Roman"/>
          <w:sz w:val="20"/>
          <w:szCs w:val="20"/>
          <w:lang w:eastAsia="zh-CN"/>
        </w:rPr>
        <w:t>GDF15</w:t>
      </w:r>
      <w:r>
        <w:rPr>
          <w:rFonts w:hint="default" w:ascii="Times New Roman" w:hAnsi="Times New Roman" w:cs="Times New Roman"/>
          <w:sz w:val="20"/>
          <w:szCs w:val="20"/>
        </w:rPr>
        <w:t>=growth differentiation factor 15; IGF-1= insulin-like growth factor-1</w:t>
      </w:r>
    </w:p>
    <w:p w14:paraId="092C9E0E">
      <w:pPr>
        <w:rPr>
          <w:rFonts w:hint="default" w:ascii="Times New Roman" w:hAnsi="Times New Roman" w:cs="Times New Roman"/>
          <w:sz w:val="20"/>
          <w:szCs w:val="2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FB83F4E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Figure S3 </w:t>
      </w:r>
      <w:r>
        <w:rPr>
          <w:rFonts w:hint="default" w:ascii="Times New Roman" w:hAnsi="Times New Roman" w:cs="Times New Roman"/>
          <w:sz w:val="20"/>
          <w:szCs w:val="20"/>
        </w:rPr>
        <w:t>ROC curve of each biomarker for diagnosing MASLD</w:t>
      </w:r>
    </w:p>
    <w:p w14:paraId="2A613A00">
      <w:pPr>
        <w:rPr>
          <w:rFonts w:hint="default" w:ascii="Times New Roman" w:hAnsi="Times New Roman" w:eastAsia="仿宋" w:cs="Times New Roman"/>
          <w:sz w:val="20"/>
          <w:szCs w:val="20"/>
          <w:lang w:eastAsia="zh-CN"/>
        </w:rPr>
      </w:pPr>
      <w:r>
        <w:rPr>
          <w:rFonts w:hint="default" w:ascii="Times New Roman" w:hAnsi="Times New Roman" w:eastAsia="仿宋" w:cs="Times New Roman"/>
          <w:sz w:val="20"/>
          <w:szCs w:val="20"/>
          <w:lang w:eastAsia="zh-CN"/>
        </w:rPr>
        <w:drawing>
          <wp:inline distT="0" distB="0" distL="114300" distR="114300">
            <wp:extent cx="5271135" cy="4518025"/>
            <wp:effectExtent l="0" t="0" r="1905" b="8255"/>
            <wp:docPr id="10" name="图片 10" descr="pure_biomarkers_optimism_corrected_r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pure_biomarkers_optimism_corrected_ro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51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3FAE2">
      <w:pPr>
        <w:rPr>
          <w:rFonts w:hint="default" w:ascii="Times New Roman" w:hAnsi="Times New Roman" w:cs="Times New Roman"/>
          <w:sz w:val="20"/>
          <w:szCs w:val="2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Abbreviations: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ROC=receiver operating characteristic curve; </w:t>
      </w:r>
      <w:r>
        <w:rPr>
          <w:rFonts w:hint="default" w:ascii="Times New Roman" w:hAnsi="Times New Roman" w:cs="Times New Roman"/>
          <w:sz w:val="20"/>
          <w:szCs w:val="20"/>
        </w:rPr>
        <w:t>AUC=area under the curve; HOMA-IR=homeostatic model assessment for insulin resistance; apoA1=apolipoprotein A1; apoB=apolipoprotein B; ALT=alanine aminotransferase; AST=aspartate aminotransferase; LDL-C=low-density lipoprotein cholesterol; TyG=triglyceride-glucose index; VAI=visceral adiposity index; CTSD=cathepsin D; GDF15=growth differentiation factor-15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20"/>
          <w:szCs w:val="20"/>
        </w:rPr>
        <w:t xml:space="preserve">IGF-1=insulin-like growth factor-1 </w:t>
      </w:r>
    </w:p>
    <w:p w14:paraId="12DC8B24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Figure S4 </w:t>
      </w:r>
      <w:r>
        <w:rPr>
          <w:rFonts w:hint="default" w:ascii="Times New Roman" w:hAnsi="Times New Roman" w:cs="Times New Roman"/>
          <w:sz w:val="20"/>
          <w:szCs w:val="20"/>
        </w:rPr>
        <w:t>Calibration plots of base model and combined model</w:t>
      </w:r>
    </w:p>
    <w:p w14:paraId="28C5A112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仿宋" w:cs="Times New Roman"/>
          <w:sz w:val="20"/>
          <w:szCs w:val="20"/>
          <w:lang w:eastAsia="zh-CN"/>
        </w:rPr>
        <w:drawing>
          <wp:inline distT="0" distB="0" distL="114300" distR="114300">
            <wp:extent cx="5269865" cy="4649470"/>
            <wp:effectExtent l="0" t="0" r="3175" b="13970"/>
            <wp:docPr id="9" name="图片 9" descr="optimism_corrected_calibration_plot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optimism_corrected_calibration_plot_final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6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F91CD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Abbreviations: CTSD=cathepsin D; GDF15=growth differentiation factor-15; IGF-1=insulin-like growth factor-1 </w:t>
      </w:r>
    </w:p>
    <w:p w14:paraId="02AC7F9F">
      <w:pPr>
        <w:rPr>
          <w:rFonts w:hint="default" w:ascii="Times New Roman" w:hAnsi="Times New Roman" w:eastAsia="仿宋" w:cs="Times New Roman"/>
          <w:sz w:val="20"/>
          <w:szCs w:val="2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sz w:val="20"/>
          <w:szCs w:val="20"/>
        </w:rPr>
        <w:t xml:space="preserve">Note: The Base model included age, sex, body mass index,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sz w:val="20"/>
          <w:szCs w:val="20"/>
        </w:rPr>
        <w:t>waist-to-height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.</w:t>
      </w:r>
    </w:p>
    <w:p w14:paraId="26DDEE20">
      <w:pP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Table S1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Optimal cutoff value and diagnostic performance of each predictive model</w:t>
      </w:r>
    </w:p>
    <w:tbl>
      <w:tblPr>
        <w:tblStyle w:val="5"/>
        <w:tblW w:w="7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2110"/>
        <w:gridCol w:w="2096"/>
        <w:gridCol w:w="2054"/>
      </w:tblGrid>
      <w:tr w14:paraId="6E72F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1DDB4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types</w:t>
            </w:r>
          </w:p>
        </w:tc>
        <w:tc>
          <w:tcPr>
            <w:tcW w:w="2110" w:type="dxa"/>
            <w:vAlign w:val="center"/>
          </w:tcPr>
          <w:p w14:paraId="2461E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Cutoff (Prob) (95%CI)</w:t>
            </w:r>
          </w:p>
        </w:tc>
        <w:tc>
          <w:tcPr>
            <w:tcW w:w="2096" w:type="dxa"/>
            <w:vAlign w:val="center"/>
          </w:tcPr>
          <w:p w14:paraId="72C70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Sensitivity (95%CI)</w:t>
            </w:r>
          </w:p>
        </w:tc>
        <w:tc>
          <w:tcPr>
            <w:tcW w:w="2054" w:type="dxa"/>
            <w:vAlign w:val="center"/>
          </w:tcPr>
          <w:p w14:paraId="0DA2C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Specificity (95%CI)</w:t>
            </w:r>
          </w:p>
        </w:tc>
      </w:tr>
      <w:tr w14:paraId="3AA66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670D9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Base</w:t>
            </w:r>
          </w:p>
        </w:tc>
        <w:tc>
          <w:tcPr>
            <w:tcW w:w="2110" w:type="dxa"/>
            <w:vAlign w:val="center"/>
          </w:tcPr>
          <w:p w14:paraId="0FC13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0.364 (0.272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0.719)</w:t>
            </w:r>
          </w:p>
        </w:tc>
        <w:tc>
          <w:tcPr>
            <w:tcW w:w="2096" w:type="dxa"/>
            <w:vAlign w:val="center"/>
          </w:tcPr>
          <w:p w14:paraId="578FF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0.991 (0.684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  <w:tc>
          <w:tcPr>
            <w:tcW w:w="2054" w:type="dxa"/>
            <w:vAlign w:val="center"/>
          </w:tcPr>
          <w:p w14:paraId="2B55F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0.582 (0.657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0.975)</w:t>
            </w:r>
          </w:p>
        </w:tc>
      </w:tr>
      <w:tr w14:paraId="4973D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70E59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+HOMA-IR</w:t>
            </w:r>
          </w:p>
        </w:tc>
        <w:tc>
          <w:tcPr>
            <w:tcW w:w="2110" w:type="dxa"/>
            <w:vAlign w:val="center"/>
          </w:tcPr>
          <w:p w14:paraId="526FF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0.586 (0.260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0.724)</w:t>
            </w:r>
          </w:p>
        </w:tc>
        <w:tc>
          <w:tcPr>
            <w:tcW w:w="2096" w:type="dxa"/>
            <w:vAlign w:val="center"/>
          </w:tcPr>
          <w:p w14:paraId="1D6B6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0.780 (0.743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  <w:tc>
          <w:tcPr>
            <w:tcW w:w="2054" w:type="dxa"/>
            <w:vAlign w:val="center"/>
          </w:tcPr>
          <w:p w14:paraId="24007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0.848 (0.701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0.976)</w:t>
            </w:r>
          </w:p>
        </w:tc>
      </w:tr>
      <w:tr w14:paraId="26567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7E4F7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+apoA1</w:t>
            </w:r>
          </w:p>
        </w:tc>
        <w:tc>
          <w:tcPr>
            <w:tcW w:w="2110" w:type="dxa"/>
            <w:vAlign w:val="center"/>
          </w:tcPr>
          <w:p w14:paraId="15233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0.563 (0.265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0.716)</w:t>
            </w:r>
          </w:p>
        </w:tc>
        <w:tc>
          <w:tcPr>
            <w:tcW w:w="2096" w:type="dxa"/>
            <w:vAlign w:val="center"/>
          </w:tcPr>
          <w:p w14:paraId="0686C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0.664 (0.690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  <w:tc>
          <w:tcPr>
            <w:tcW w:w="2054" w:type="dxa"/>
            <w:vAlign w:val="center"/>
          </w:tcPr>
          <w:p w14:paraId="2C975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0.868 (0.651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0.974)</w:t>
            </w:r>
          </w:p>
        </w:tc>
      </w:tr>
      <w:tr w14:paraId="3681A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61336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+apoB</w:t>
            </w:r>
          </w:p>
        </w:tc>
        <w:tc>
          <w:tcPr>
            <w:tcW w:w="2110" w:type="dxa"/>
            <w:vAlign w:val="center"/>
          </w:tcPr>
          <w:p w14:paraId="27301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0.427 (0.258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0.701)</w:t>
            </w:r>
          </w:p>
        </w:tc>
        <w:tc>
          <w:tcPr>
            <w:tcW w:w="2096" w:type="dxa"/>
            <w:vAlign w:val="center"/>
          </w:tcPr>
          <w:p w14:paraId="76F38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0.878 (0.703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  <w:tc>
          <w:tcPr>
            <w:tcW w:w="2054" w:type="dxa"/>
            <w:vAlign w:val="center"/>
          </w:tcPr>
          <w:p w14:paraId="2515C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0.623 (0.645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0.972)</w:t>
            </w:r>
          </w:p>
        </w:tc>
      </w:tr>
      <w:tr w14:paraId="662BD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628CA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+ALT</w:t>
            </w:r>
          </w:p>
        </w:tc>
        <w:tc>
          <w:tcPr>
            <w:tcW w:w="2110" w:type="dxa"/>
            <w:vAlign w:val="center"/>
          </w:tcPr>
          <w:p w14:paraId="754A8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0.593 (0.288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0.745)</w:t>
            </w:r>
          </w:p>
        </w:tc>
        <w:tc>
          <w:tcPr>
            <w:tcW w:w="2096" w:type="dxa"/>
            <w:vAlign w:val="center"/>
          </w:tcPr>
          <w:p w14:paraId="76D0B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0.731 (0.753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  <w:tc>
          <w:tcPr>
            <w:tcW w:w="2054" w:type="dxa"/>
            <w:vAlign w:val="center"/>
          </w:tcPr>
          <w:p w14:paraId="47982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0.961 (0.744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</w:tr>
      <w:tr w14:paraId="1486C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374F7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+AST</w:t>
            </w:r>
          </w:p>
        </w:tc>
        <w:tc>
          <w:tcPr>
            <w:tcW w:w="2110" w:type="dxa"/>
            <w:vAlign w:val="center"/>
          </w:tcPr>
          <w:p w14:paraId="1C6CF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0.574 (0.272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0.742)</w:t>
            </w:r>
          </w:p>
        </w:tc>
        <w:tc>
          <w:tcPr>
            <w:tcW w:w="2096" w:type="dxa"/>
            <w:vAlign w:val="center"/>
          </w:tcPr>
          <w:p w14:paraId="10752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0.741 (0.724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  <w:tc>
          <w:tcPr>
            <w:tcW w:w="2054" w:type="dxa"/>
            <w:vAlign w:val="center"/>
          </w:tcPr>
          <w:p w14:paraId="65E62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0.974 (0.710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</w:tr>
      <w:tr w14:paraId="452F3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562C6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+LDL-C</w:t>
            </w:r>
          </w:p>
        </w:tc>
        <w:tc>
          <w:tcPr>
            <w:tcW w:w="2110" w:type="dxa"/>
            <w:vAlign w:val="center"/>
          </w:tcPr>
          <w:p w14:paraId="4E926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0.610 (0.283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0.696)</w:t>
            </w:r>
          </w:p>
        </w:tc>
        <w:tc>
          <w:tcPr>
            <w:tcW w:w="2096" w:type="dxa"/>
            <w:vAlign w:val="center"/>
          </w:tcPr>
          <w:p w14:paraId="05AEC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0.645 (0.750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0.980)</w:t>
            </w:r>
          </w:p>
        </w:tc>
        <w:tc>
          <w:tcPr>
            <w:tcW w:w="2054" w:type="dxa"/>
            <w:vAlign w:val="center"/>
          </w:tcPr>
          <w:p w14:paraId="7F19B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0.979 (0.724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0.977)</w:t>
            </w:r>
          </w:p>
        </w:tc>
      </w:tr>
      <w:tr w14:paraId="4EC0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41701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+TyG</w:t>
            </w:r>
          </w:p>
        </w:tc>
        <w:tc>
          <w:tcPr>
            <w:tcW w:w="2110" w:type="dxa"/>
            <w:vAlign w:val="center"/>
          </w:tcPr>
          <w:p w14:paraId="544CF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0.410 (0.202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0.762)</w:t>
            </w:r>
          </w:p>
        </w:tc>
        <w:tc>
          <w:tcPr>
            <w:tcW w:w="2096" w:type="dxa"/>
            <w:vAlign w:val="center"/>
          </w:tcPr>
          <w:p w14:paraId="349F6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0.941 (0.736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  <w:tc>
          <w:tcPr>
            <w:tcW w:w="2054" w:type="dxa"/>
            <w:vAlign w:val="center"/>
          </w:tcPr>
          <w:p w14:paraId="5141A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0.721 (0.674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0.989)</w:t>
            </w:r>
          </w:p>
        </w:tc>
      </w:tr>
      <w:tr w14:paraId="5E1DB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6DFE4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+VAI</w:t>
            </w:r>
          </w:p>
        </w:tc>
        <w:tc>
          <w:tcPr>
            <w:tcW w:w="2110" w:type="dxa"/>
            <w:vAlign w:val="center"/>
          </w:tcPr>
          <w:p w14:paraId="40AEE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0.568 (0.242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0.741)</w:t>
            </w:r>
          </w:p>
        </w:tc>
        <w:tc>
          <w:tcPr>
            <w:tcW w:w="2096" w:type="dxa"/>
            <w:vAlign w:val="center"/>
          </w:tcPr>
          <w:p w14:paraId="2811C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0.782 (0.722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  <w:tc>
          <w:tcPr>
            <w:tcW w:w="2054" w:type="dxa"/>
            <w:vAlign w:val="center"/>
          </w:tcPr>
          <w:p w14:paraId="259ED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0.839 (0.707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</w:tr>
      <w:tr w14:paraId="109D8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06B7C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+CTSD</w:t>
            </w:r>
          </w:p>
        </w:tc>
        <w:tc>
          <w:tcPr>
            <w:tcW w:w="2110" w:type="dxa"/>
            <w:vAlign w:val="center"/>
          </w:tcPr>
          <w:p w14:paraId="54396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0.539 (0.278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0.732)</w:t>
            </w:r>
          </w:p>
        </w:tc>
        <w:tc>
          <w:tcPr>
            <w:tcW w:w="2096" w:type="dxa"/>
            <w:vAlign w:val="center"/>
          </w:tcPr>
          <w:p w14:paraId="5C4C4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0.886 (0.804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  <w:tc>
          <w:tcPr>
            <w:tcW w:w="2054" w:type="dxa"/>
            <w:vAlign w:val="center"/>
          </w:tcPr>
          <w:p w14:paraId="57860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0.922 (0.750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</w:tr>
      <w:tr w14:paraId="6302E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0B2C2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+Leptin</w:t>
            </w:r>
          </w:p>
        </w:tc>
        <w:tc>
          <w:tcPr>
            <w:tcW w:w="2110" w:type="dxa"/>
            <w:vAlign w:val="center"/>
          </w:tcPr>
          <w:p w14:paraId="13D03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0.573 (0.234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0.739)</w:t>
            </w:r>
          </w:p>
        </w:tc>
        <w:tc>
          <w:tcPr>
            <w:tcW w:w="2096" w:type="dxa"/>
            <w:vAlign w:val="center"/>
          </w:tcPr>
          <w:p w14:paraId="1814C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0.810 (0.728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  <w:tc>
          <w:tcPr>
            <w:tcW w:w="2054" w:type="dxa"/>
            <w:vAlign w:val="center"/>
          </w:tcPr>
          <w:p w14:paraId="5E8A3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0.839 (0.693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0.976)</w:t>
            </w:r>
          </w:p>
        </w:tc>
      </w:tr>
      <w:tr w14:paraId="56EF4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7EB8A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+Adiponectin</w:t>
            </w:r>
          </w:p>
        </w:tc>
        <w:tc>
          <w:tcPr>
            <w:tcW w:w="2110" w:type="dxa"/>
            <w:vAlign w:val="center"/>
          </w:tcPr>
          <w:p w14:paraId="662CF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0.452 (0.270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0.678)</w:t>
            </w:r>
          </w:p>
        </w:tc>
        <w:tc>
          <w:tcPr>
            <w:tcW w:w="2096" w:type="dxa"/>
            <w:vAlign w:val="center"/>
          </w:tcPr>
          <w:p w14:paraId="4556A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0.860 (0.741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  <w:tc>
          <w:tcPr>
            <w:tcW w:w="2054" w:type="dxa"/>
            <w:vAlign w:val="center"/>
          </w:tcPr>
          <w:p w14:paraId="018E8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0.746 (0.646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0.953)</w:t>
            </w:r>
          </w:p>
        </w:tc>
      </w:tr>
      <w:tr w14:paraId="0FA95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2F37B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GDF15</w:t>
            </w:r>
          </w:p>
        </w:tc>
        <w:tc>
          <w:tcPr>
            <w:tcW w:w="2110" w:type="dxa"/>
            <w:vAlign w:val="center"/>
          </w:tcPr>
          <w:p w14:paraId="4A74B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0.583 (0.295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0.718)</w:t>
            </w:r>
          </w:p>
        </w:tc>
        <w:tc>
          <w:tcPr>
            <w:tcW w:w="2096" w:type="dxa"/>
            <w:vAlign w:val="center"/>
          </w:tcPr>
          <w:p w14:paraId="532A1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0.670 (0.698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0.981)</w:t>
            </w:r>
          </w:p>
        </w:tc>
        <w:tc>
          <w:tcPr>
            <w:tcW w:w="2054" w:type="dxa"/>
            <w:vAlign w:val="center"/>
          </w:tcPr>
          <w:p w14:paraId="3FCD4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0.882 (0.685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</w:tr>
      <w:tr w14:paraId="54122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 w14:paraId="2C5B1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+IGF-1</w:t>
            </w:r>
          </w:p>
        </w:tc>
        <w:tc>
          <w:tcPr>
            <w:tcW w:w="2110" w:type="dxa"/>
            <w:vAlign w:val="center"/>
          </w:tcPr>
          <w:p w14:paraId="441C6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0.410 (0.256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0.705)</w:t>
            </w:r>
          </w:p>
        </w:tc>
        <w:tc>
          <w:tcPr>
            <w:tcW w:w="2096" w:type="dxa"/>
            <w:vAlign w:val="center"/>
          </w:tcPr>
          <w:p w14:paraId="45E29B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0.966 (0.734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1.000)</w:t>
            </w:r>
          </w:p>
        </w:tc>
        <w:tc>
          <w:tcPr>
            <w:tcW w:w="2054" w:type="dxa"/>
            <w:vAlign w:val="center"/>
          </w:tcPr>
          <w:p w14:paraId="600B2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0.671 (0.667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0.976)</w:t>
            </w:r>
          </w:p>
        </w:tc>
      </w:tr>
    </w:tbl>
    <w:p w14:paraId="5D11D408">
      <w:pPr>
        <w:rPr>
          <w:rFonts w:hint="eastAsia" w:cs="Times New Roman"/>
          <w:b w:val="0"/>
          <w:bCs w:val="0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Abbreviations:</w:t>
      </w:r>
      <w:r>
        <w:rPr>
          <w:rFonts w:hint="eastAsia" w:cs="Times New Roman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HOMA-IR=homeostatic model assessment for insulin resistance; apoA1=apolipoprotein A1; apoB=apolipoprotein B; ALT=alanine aminotransferase; AST=aspartate aminotransferase; LDL-C=low-density lipoprotein cholesterol; TyG=triglyceride-glucose index; VAI=visceral adiposity index; CTSD=cathepsin D; GDF15=growth differentiation factor-15; IGF-1=insulin-like growth factor-1</w:t>
      </w:r>
      <w:r>
        <w:rPr>
          <w:rFonts w:hint="eastAsia" w:cs="Times New Roman"/>
          <w:b w:val="0"/>
          <w:bCs w:val="0"/>
          <w:sz w:val="20"/>
          <w:szCs w:val="20"/>
          <w:lang w:val="en-US" w:eastAsia="zh-CN"/>
        </w:rPr>
        <w:t xml:space="preserve">; </w:t>
      </w:r>
    </w:p>
    <w:p w14:paraId="08F99E36">
      <w:pPr>
        <w:rPr>
          <w:rFonts w:hint="default" w:cs="Times New Roman"/>
          <w:b w:val="0"/>
          <w:bCs w:val="0"/>
          <w:sz w:val="20"/>
          <w:szCs w:val="20"/>
          <w:lang w:val="en-US" w:eastAsia="zh-CN"/>
        </w:rPr>
      </w:pPr>
      <w:r>
        <w:rPr>
          <w:rFonts w:hint="eastAsia" w:cs="Times New Roman"/>
          <w:b w:val="0"/>
          <w:bCs w:val="0"/>
          <w:sz w:val="20"/>
          <w:szCs w:val="20"/>
          <w:lang w:val="en-US" w:eastAsia="zh-CN"/>
        </w:rPr>
        <w:t>Note:</w:t>
      </w:r>
      <w:bookmarkStart w:id="4" w:name="_GoBack"/>
      <w:bookmarkEnd w:id="4"/>
      <w:r>
        <w:rPr>
          <w:rFonts w:hint="eastAsia" w:cs="Times New Roman"/>
          <w:b w:val="0"/>
          <w:bCs w:val="0"/>
          <w:sz w:val="20"/>
          <w:szCs w:val="20"/>
          <w:lang w:val="en-US" w:eastAsia="zh-CN"/>
        </w:rPr>
        <w:t xml:space="preserve"> Base model included age, sex, body mass index z score, and waist-to-height ratio</w:t>
      </w:r>
    </w:p>
    <w:p w14:paraId="37672962">
      <w:pP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811"/>
    <w:rsid w:val="00000811"/>
    <w:rsid w:val="00324C16"/>
    <w:rsid w:val="005A287B"/>
    <w:rsid w:val="00665E04"/>
    <w:rsid w:val="00674D31"/>
    <w:rsid w:val="00777A50"/>
    <w:rsid w:val="009F52AE"/>
    <w:rsid w:val="00A00503"/>
    <w:rsid w:val="00A83D10"/>
    <w:rsid w:val="00AC5833"/>
    <w:rsid w:val="00C45E17"/>
    <w:rsid w:val="00CA69CA"/>
    <w:rsid w:val="00D87217"/>
    <w:rsid w:val="00FD2FE1"/>
    <w:rsid w:val="13382A5C"/>
    <w:rsid w:val="19ED4FB2"/>
    <w:rsid w:val="1D8F539A"/>
    <w:rsid w:val="2CCF6239"/>
    <w:rsid w:val="46304FF1"/>
    <w:rsid w:val="4FA930E5"/>
    <w:rsid w:val="5DAC01FB"/>
    <w:rsid w:val="618D1BEA"/>
    <w:rsid w:val="65740B5F"/>
    <w:rsid w:val="668374E2"/>
    <w:rsid w:val="684F3BD0"/>
    <w:rsid w:val="704C6C36"/>
    <w:rsid w:val="716F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24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0"/>
    <w:rPr>
      <w:rFonts w:ascii="Times New Roman" w:hAnsi="Times New Roman" w:eastAsia="仿宋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="Times New Roman" w:hAnsi="Times New Roman" w:eastAsia="仿宋"/>
      <w:kern w:val="2"/>
      <w:sz w:val="18"/>
      <w:szCs w:val="18"/>
    </w:r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414</Words>
  <Characters>2860</Characters>
  <Lines>36</Lines>
  <Paragraphs>18</Paragraphs>
  <TotalTime>65</TotalTime>
  <ScaleCrop>false</ScaleCrop>
  <LinksUpToDate>false</LinksUpToDate>
  <CharactersWithSpaces>3180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2024-08-26T01:52:00Z</dcterms:created>
  <dc:creator>儿童呼吸科2</dc:creator>
  <cp:lastModifiedBy>zjuyzm</cp:lastModifiedBy>
  <dcterms:modified xsi:type="dcterms:W3CDTF">2026-07-02T08:56:05Z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C798B35319D4480C97FA90E9AD8CEEB0_12</vt:lpwstr>
  </property>
  <property fmtid="{D5CDD505-2E9C-101B-9397-08002B2CF9AE}" pid="4" name="KSOTemplateDocerSaveRecord">
    <vt:lpwstr>eyJoZGlkIjoiNTE5Y2Q5OTNjNWMzNzlkYTQ1ZTllNTY1MGE3NWUyMzAiLCJ1c2VySWQiOiI0MzIzMTk2MTEifQ==</vt:lpwstr>
  </property>
</Properties>
</file>