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6C2CC7">
      <w:r>
        <w:rPr>
          <w:b/>
          <w:sz w:val="26"/>
        </w:rPr>
        <w:t>Additional file 1. Supplementary Tables</w:t>
      </w:r>
    </w:p>
    <w:p w14:paraId="060B32E6">
      <w:pPr>
        <w:rPr>
          <w:sz w:val="22"/>
          <w:szCs w:val="22"/>
        </w:rPr>
      </w:pPr>
      <w:r>
        <w:rPr>
          <w:sz w:val="22"/>
          <w:szCs w:val="22"/>
        </w:rPr>
        <w:t>Supplementary Table S1 and Supplementary Tables S3-S</w:t>
      </w:r>
      <w:r>
        <w:rPr>
          <w:rFonts w:hint="eastAsia" w:eastAsia="宋体"/>
          <w:sz w:val="22"/>
          <w:szCs w:val="22"/>
          <w:lang w:val="en-US" w:eastAsia="zh-CN"/>
        </w:rPr>
        <w:t>9</w:t>
      </w:r>
      <w:r>
        <w:rPr>
          <w:sz w:val="22"/>
          <w:szCs w:val="22"/>
        </w:rPr>
        <w:t>.</w:t>
      </w:r>
    </w:p>
    <w:p w14:paraId="60B0473D">
      <w:pPr>
        <w:rPr>
          <w:rFonts w:hint="default" w:ascii="Times New Roman" w:hAnsi="Times New Roman" w:cs="Times New Roman"/>
          <w:b/>
          <w:bCs/>
          <w:sz w:val="22"/>
          <w:szCs w:val="22"/>
        </w:rPr>
      </w:pPr>
      <w:r>
        <w:rPr>
          <w:b/>
          <w:bCs/>
          <w:sz w:val="22"/>
          <w:szCs w:val="22"/>
        </w:rPr>
        <w:t>Supplementary Table S1. Baseline characteristics of the final analysis cohort (N=644)</w:t>
      </w:r>
    </w:p>
    <w:tbl>
      <w:tblPr>
        <w:tblStyle w:val="32"/>
        <w:tblW w:w="0" w:type="auto"/>
        <w:tblCellSpacing w:w="15" w:type="dxa"/>
        <w:tblInd w:w="0" w:type="dxa"/>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3947"/>
        <w:gridCol w:w="1957"/>
      </w:tblGrid>
      <w:tr w14:paraId="7292E1D1">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blCellSpacing w:w="15" w:type="dxa"/>
        </w:trPr>
        <w:tc>
          <w:tcPr>
            <w:tcW w:w="0" w:type="auto"/>
            <w:tcBorders>
              <w:tl2br w:val="nil"/>
              <w:tr2bl w:val="nil"/>
            </w:tcBorders>
            <w:shd w:val="clear" w:color="auto" w:fill="auto"/>
            <w:vAlign w:val="center"/>
          </w:tcPr>
          <w:p w14:paraId="78FC512F">
            <w:pPr>
              <w:keepNext w:val="0"/>
              <w:keepLines w:val="0"/>
              <w:widowControl/>
              <w:suppressLineNumbers w:val="0"/>
              <w:jc w:val="center"/>
              <w:rPr>
                <w:rFonts w:hint="default" w:ascii="Arial" w:hAnsi="Arial" w:cs="Arial"/>
                <w:b/>
                <w:bCs/>
                <w:sz w:val="18"/>
                <w:szCs w:val="18"/>
              </w:rPr>
            </w:pPr>
            <w:r>
              <w:rPr>
                <w:rFonts w:hint="default" w:ascii="Arial" w:hAnsi="Arial" w:eastAsia="宋体" w:cs="Arial"/>
                <w:b/>
                <w:bCs/>
                <w:kern w:val="0"/>
                <w:sz w:val="18"/>
                <w:szCs w:val="18"/>
                <w:lang w:val="en-US" w:eastAsia="zh-CN" w:bidi="ar"/>
              </w:rPr>
              <w:t>Characteristic</w:t>
            </w:r>
          </w:p>
        </w:tc>
        <w:tc>
          <w:tcPr>
            <w:tcW w:w="0" w:type="auto"/>
            <w:tcBorders>
              <w:tl2br w:val="nil"/>
              <w:tr2bl w:val="nil"/>
            </w:tcBorders>
            <w:shd w:val="clear" w:color="auto" w:fill="auto"/>
            <w:vAlign w:val="center"/>
          </w:tcPr>
          <w:p w14:paraId="49CAC794">
            <w:pPr>
              <w:keepNext w:val="0"/>
              <w:keepLines w:val="0"/>
              <w:widowControl/>
              <w:suppressLineNumbers w:val="0"/>
              <w:jc w:val="center"/>
              <w:rPr>
                <w:rFonts w:hint="default" w:ascii="Arial" w:hAnsi="Arial" w:cs="Arial"/>
                <w:b/>
                <w:bCs/>
                <w:sz w:val="18"/>
                <w:szCs w:val="18"/>
              </w:rPr>
            </w:pPr>
            <w:r>
              <w:rPr>
                <w:rFonts w:hint="default" w:ascii="Arial" w:hAnsi="Arial" w:eastAsia="宋体" w:cs="Arial"/>
                <w:b/>
                <w:bCs/>
                <w:kern w:val="0"/>
                <w:sz w:val="18"/>
                <w:szCs w:val="18"/>
                <w:lang w:val="en-US" w:eastAsia="zh-CN" w:bidi="ar"/>
              </w:rPr>
              <w:t>Overall (N = 644)</w:t>
            </w:r>
          </w:p>
        </w:tc>
      </w:tr>
      <w:tr w14:paraId="0B13BBB5">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tcBorders>
              <w:top w:val="single" w:color="000000" w:sz="8" w:space="0"/>
              <w:bottom w:val="nil"/>
            </w:tcBorders>
            <w:shd w:val="clear" w:color="auto" w:fill="auto"/>
            <w:vAlign w:val="center"/>
          </w:tcPr>
          <w:p w14:paraId="19384937">
            <w:pPr>
              <w:keepNext w:val="0"/>
              <w:keepLines w:val="0"/>
              <w:widowControl/>
              <w:suppressLineNumbers w:val="0"/>
              <w:jc w:val="left"/>
              <w:rPr>
                <w:rFonts w:hint="default" w:ascii="Arial" w:hAnsi="Arial" w:cs="Arial"/>
                <w:sz w:val="18"/>
                <w:szCs w:val="18"/>
              </w:rPr>
            </w:pPr>
            <w:r>
              <w:rPr>
                <w:rFonts w:hint="default" w:ascii="Arial" w:hAnsi="Arial" w:eastAsia="宋体" w:cs="Arial"/>
                <w:kern w:val="0"/>
                <w:sz w:val="18"/>
                <w:szCs w:val="18"/>
                <w:lang w:val="en-US" w:eastAsia="zh-CN" w:bidi="ar"/>
              </w:rPr>
              <w:t>Age, years</w:t>
            </w:r>
          </w:p>
        </w:tc>
        <w:tc>
          <w:tcPr>
            <w:tcW w:w="0" w:type="auto"/>
            <w:tcBorders>
              <w:top w:val="single" w:color="000000" w:sz="8" w:space="0"/>
              <w:bottom w:val="nil"/>
            </w:tcBorders>
            <w:shd w:val="clear" w:color="auto" w:fill="auto"/>
            <w:vAlign w:val="center"/>
          </w:tcPr>
          <w:p w14:paraId="42F20FE4">
            <w:pPr>
              <w:keepNext w:val="0"/>
              <w:keepLines w:val="0"/>
              <w:widowControl/>
              <w:suppressLineNumbers w:val="0"/>
              <w:jc w:val="center"/>
              <w:rPr>
                <w:rFonts w:hint="default" w:ascii="Arial" w:hAnsi="Arial" w:cs="Arial"/>
                <w:sz w:val="18"/>
                <w:szCs w:val="18"/>
              </w:rPr>
            </w:pPr>
            <w:r>
              <w:rPr>
                <w:rFonts w:hint="default" w:ascii="Arial" w:hAnsi="Arial" w:eastAsia="宋体" w:cs="Arial"/>
                <w:kern w:val="0"/>
                <w:sz w:val="18"/>
                <w:szCs w:val="18"/>
                <w:lang w:val="en-US" w:eastAsia="zh-CN" w:bidi="ar"/>
              </w:rPr>
              <w:t>6.00 (3.00-9.00)</w:t>
            </w:r>
          </w:p>
        </w:tc>
      </w:tr>
      <w:tr w14:paraId="45FB0D75">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tcBorders>
              <w:tl2br w:val="nil"/>
              <w:tr2bl w:val="nil"/>
            </w:tcBorders>
            <w:shd w:val="clear" w:color="auto" w:fill="auto"/>
            <w:vAlign w:val="center"/>
          </w:tcPr>
          <w:p w14:paraId="3A0F0204">
            <w:pPr>
              <w:keepNext w:val="0"/>
              <w:keepLines w:val="0"/>
              <w:widowControl/>
              <w:suppressLineNumbers w:val="0"/>
              <w:jc w:val="left"/>
              <w:rPr>
                <w:rFonts w:hint="default" w:ascii="Arial" w:hAnsi="Arial" w:cs="Arial"/>
                <w:sz w:val="18"/>
                <w:szCs w:val="18"/>
              </w:rPr>
            </w:pPr>
            <w:r>
              <w:rPr>
                <w:rFonts w:hint="default" w:ascii="Arial" w:hAnsi="Arial" w:eastAsia="宋体" w:cs="Arial"/>
                <w:kern w:val="0"/>
                <w:sz w:val="18"/>
                <w:szCs w:val="18"/>
                <w:lang w:val="en-US" w:eastAsia="zh-CN" w:bidi="ar"/>
              </w:rPr>
              <w:t>Sex, n (%)</w:t>
            </w:r>
          </w:p>
        </w:tc>
        <w:tc>
          <w:tcPr>
            <w:tcW w:w="0" w:type="auto"/>
            <w:tcBorders>
              <w:tl2br w:val="nil"/>
              <w:tr2bl w:val="nil"/>
            </w:tcBorders>
            <w:shd w:val="clear" w:color="auto" w:fill="auto"/>
            <w:vAlign w:val="center"/>
          </w:tcPr>
          <w:p w14:paraId="7AB1A6DB">
            <w:pPr>
              <w:jc w:val="center"/>
              <w:rPr>
                <w:rFonts w:hint="default" w:ascii="Arial" w:hAnsi="Arial" w:cs="Arial"/>
                <w:sz w:val="18"/>
                <w:szCs w:val="18"/>
              </w:rPr>
            </w:pPr>
          </w:p>
        </w:tc>
      </w:tr>
      <w:tr w14:paraId="32C5B7A9">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tcBorders>
              <w:tl2br w:val="nil"/>
              <w:tr2bl w:val="nil"/>
            </w:tcBorders>
            <w:shd w:val="clear" w:color="auto" w:fill="auto"/>
            <w:vAlign w:val="center"/>
          </w:tcPr>
          <w:p w14:paraId="021E7CD5">
            <w:pPr>
              <w:keepNext w:val="0"/>
              <w:keepLines w:val="0"/>
              <w:widowControl/>
              <w:suppressLineNumbers w:val="0"/>
              <w:jc w:val="left"/>
              <w:rPr>
                <w:rFonts w:hint="default" w:ascii="Arial" w:hAnsi="Arial" w:cs="Arial"/>
                <w:sz w:val="18"/>
                <w:szCs w:val="18"/>
              </w:rPr>
            </w:pPr>
            <w:r>
              <w:rPr>
                <w:rFonts w:hint="default" w:ascii="Arial" w:hAnsi="Arial" w:eastAsia="宋体" w:cs="Arial"/>
                <w:kern w:val="0"/>
                <w:sz w:val="18"/>
                <w:szCs w:val="18"/>
                <w:lang w:val="en-US" w:eastAsia="zh-CN" w:bidi="ar"/>
              </w:rPr>
              <w:t>• Male</w:t>
            </w:r>
          </w:p>
        </w:tc>
        <w:tc>
          <w:tcPr>
            <w:tcW w:w="0" w:type="auto"/>
            <w:tcBorders>
              <w:tl2br w:val="nil"/>
              <w:tr2bl w:val="nil"/>
            </w:tcBorders>
            <w:shd w:val="clear" w:color="auto" w:fill="auto"/>
            <w:vAlign w:val="center"/>
          </w:tcPr>
          <w:p w14:paraId="36AC6032">
            <w:pPr>
              <w:keepNext w:val="0"/>
              <w:keepLines w:val="0"/>
              <w:widowControl/>
              <w:suppressLineNumbers w:val="0"/>
              <w:jc w:val="center"/>
              <w:rPr>
                <w:rFonts w:hint="default" w:ascii="Arial" w:hAnsi="Arial" w:cs="Arial"/>
                <w:sz w:val="18"/>
                <w:szCs w:val="18"/>
              </w:rPr>
            </w:pPr>
            <w:r>
              <w:rPr>
                <w:rFonts w:hint="default" w:ascii="Arial" w:hAnsi="Arial" w:eastAsia="宋体" w:cs="Arial"/>
                <w:kern w:val="0"/>
                <w:sz w:val="18"/>
                <w:szCs w:val="18"/>
                <w:lang w:val="en-US" w:eastAsia="zh-CN" w:bidi="ar"/>
              </w:rPr>
              <w:t>411 (63.8%)</w:t>
            </w:r>
          </w:p>
        </w:tc>
      </w:tr>
      <w:tr w14:paraId="77888468">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tcBorders>
              <w:tl2br w:val="nil"/>
              <w:tr2bl w:val="nil"/>
            </w:tcBorders>
            <w:shd w:val="clear" w:color="auto" w:fill="auto"/>
            <w:vAlign w:val="center"/>
          </w:tcPr>
          <w:p w14:paraId="7E0C0FD8">
            <w:pPr>
              <w:keepNext w:val="0"/>
              <w:keepLines w:val="0"/>
              <w:widowControl/>
              <w:suppressLineNumbers w:val="0"/>
              <w:jc w:val="left"/>
              <w:rPr>
                <w:rFonts w:hint="default" w:ascii="Arial" w:hAnsi="Arial" w:cs="Arial"/>
                <w:sz w:val="18"/>
                <w:szCs w:val="18"/>
              </w:rPr>
            </w:pPr>
            <w:r>
              <w:rPr>
                <w:rFonts w:hint="default" w:ascii="Arial" w:hAnsi="Arial" w:eastAsia="宋体" w:cs="Arial"/>
                <w:kern w:val="0"/>
                <w:sz w:val="18"/>
                <w:szCs w:val="18"/>
                <w:lang w:val="en-US" w:eastAsia="zh-CN" w:bidi="ar"/>
              </w:rPr>
              <w:t>• Female</w:t>
            </w:r>
          </w:p>
        </w:tc>
        <w:tc>
          <w:tcPr>
            <w:tcW w:w="0" w:type="auto"/>
            <w:tcBorders>
              <w:tl2br w:val="nil"/>
              <w:tr2bl w:val="nil"/>
            </w:tcBorders>
            <w:shd w:val="clear" w:color="auto" w:fill="auto"/>
            <w:vAlign w:val="center"/>
          </w:tcPr>
          <w:p w14:paraId="1B9F6919">
            <w:pPr>
              <w:keepNext w:val="0"/>
              <w:keepLines w:val="0"/>
              <w:widowControl/>
              <w:suppressLineNumbers w:val="0"/>
              <w:jc w:val="center"/>
              <w:rPr>
                <w:rFonts w:hint="default" w:ascii="Arial" w:hAnsi="Arial" w:cs="Arial"/>
                <w:sz w:val="18"/>
                <w:szCs w:val="18"/>
              </w:rPr>
            </w:pPr>
            <w:r>
              <w:rPr>
                <w:rFonts w:hint="default" w:ascii="Arial" w:hAnsi="Arial" w:eastAsia="宋体" w:cs="Arial"/>
                <w:kern w:val="0"/>
                <w:sz w:val="18"/>
                <w:szCs w:val="18"/>
                <w:lang w:val="en-US" w:eastAsia="zh-CN" w:bidi="ar"/>
              </w:rPr>
              <w:t>233 (36.2%)</w:t>
            </w:r>
          </w:p>
        </w:tc>
      </w:tr>
      <w:tr w14:paraId="33237D6F">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tcBorders>
              <w:tl2br w:val="nil"/>
              <w:tr2bl w:val="nil"/>
            </w:tcBorders>
            <w:shd w:val="clear" w:color="auto" w:fill="auto"/>
            <w:vAlign w:val="center"/>
          </w:tcPr>
          <w:p w14:paraId="6AAC6270">
            <w:pPr>
              <w:keepNext w:val="0"/>
              <w:keepLines w:val="0"/>
              <w:widowControl/>
              <w:suppressLineNumbers w:val="0"/>
              <w:jc w:val="left"/>
              <w:rPr>
                <w:rFonts w:hint="default" w:ascii="Arial" w:hAnsi="Arial" w:cs="Arial"/>
                <w:sz w:val="18"/>
                <w:szCs w:val="18"/>
              </w:rPr>
            </w:pPr>
            <w:r>
              <w:rPr>
                <w:rFonts w:hint="default" w:ascii="Arial" w:hAnsi="Arial" w:eastAsia="宋体" w:cs="Arial"/>
                <w:kern w:val="0"/>
                <w:sz w:val="18"/>
                <w:szCs w:val="18"/>
                <w:lang w:val="en-US" w:eastAsia="zh-CN" w:bidi="ar"/>
              </w:rPr>
              <w:t>Primary diagnosis, n (%)</w:t>
            </w:r>
          </w:p>
        </w:tc>
        <w:tc>
          <w:tcPr>
            <w:tcW w:w="0" w:type="auto"/>
            <w:tcBorders>
              <w:tl2br w:val="nil"/>
              <w:tr2bl w:val="nil"/>
            </w:tcBorders>
            <w:shd w:val="clear" w:color="auto" w:fill="auto"/>
            <w:vAlign w:val="center"/>
          </w:tcPr>
          <w:p w14:paraId="23A7E2D8">
            <w:pPr>
              <w:jc w:val="center"/>
              <w:rPr>
                <w:rFonts w:hint="default" w:ascii="Arial" w:hAnsi="Arial" w:cs="Arial"/>
                <w:sz w:val="18"/>
                <w:szCs w:val="18"/>
              </w:rPr>
            </w:pPr>
          </w:p>
        </w:tc>
      </w:tr>
      <w:tr w14:paraId="2E7A1025">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tcBorders>
              <w:tl2br w:val="nil"/>
              <w:tr2bl w:val="nil"/>
            </w:tcBorders>
            <w:shd w:val="clear" w:color="auto" w:fill="auto"/>
            <w:vAlign w:val="center"/>
          </w:tcPr>
          <w:p w14:paraId="0EA33817">
            <w:pPr>
              <w:keepNext w:val="0"/>
              <w:keepLines w:val="0"/>
              <w:widowControl/>
              <w:suppressLineNumbers w:val="0"/>
              <w:jc w:val="left"/>
              <w:rPr>
                <w:rFonts w:hint="default" w:ascii="Arial" w:hAnsi="Arial" w:cs="Arial"/>
                <w:sz w:val="18"/>
                <w:szCs w:val="18"/>
              </w:rPr>
            </w:pPr>
            <w:r>
              <w:rPr>
                <w:rFonts w:hint="default" w:ascii="Arial" w:hAnsi="Arial" w:eastAsia="宋体" w:cs="Arial"/>
                <w:kern w:val="0"/>
                <w:sz w:val="18"/>
                <w:szCs w:val="18"/>
                <w:lang w:val="en-US" w:eastAsia="zh-CN" w:bidi="ar"/>
              </w:rPr>
              <w:t>• Lymphoma</w:t>
            </w:r>
          </w:p>
        </w:tc>
        <w:tc>
          <w:tcPr>
            <w:tcW w:w="0" w:type="auto"/>
            <w:tcBorders>
              <w:tl2br w:val="nil"/>
              <w:tr2bl w:val="nil"/>
            </w:tcBorders>
            <w:shd w:val="clear" w:color="auto" w:fill="auto"/>
            <w:vAlign w:val="center"/>
          </w:tcPr>
          <w:p w14:paraId="663E68D1">
            <w:pPr>
              <w:keepNext w:val="0"/>
              <w:keepLines w:val="0"/>
              <w:widowControl/>
              <w:suppressLineNumbers w:val="0"/>
              <w:jc w:val="center"/>
              <w:rPr>
                <w:rFonts w:hint="default" w:ascii="Arial" w:hAnsi="Arial" w:cs="Arial"/>
                <w:sz w:val="18"/>
                <w:szCs w:val="18"/>
              </w:rPr>
            </w:pPr>
            <w:r>
              <w:rPr>
                <w:rFonts w:hint="default" w:ascii="Arial" w:hAnsi="Arial" w:eastAsia="宋体" w:cs="Arial"/>
                <w:kern w:val="0"/>
                <w:sz w:val="18"/>
                <w:szCs w:val="18"/>
                <w:lang w:val="en-US" w:eastAsia="zh-CN" w:bidi="ar"/>
              </w:rPr>
              <w:t>131 (20.3%)</w:t>
            </w:r>
          </w:p>
        </w:tc>
      </w:tr>
      <w:tr w14:paraId="1DC2C7FC">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tcBorders>
              <w:tl2br w:val="nil"/>
              <w:tr2bl w:val="nil"/>
            </w:tcBorders>
            <w:shd w:val="clear" w:color="auto" w:fill="auto"/>
            <w:vAlign w:val="center"/>
          </w:tcPr>
          <w:p w14:paraId="79DC8C5A">
            <w:pPr>
              <w:keepNext w:val="0"/>
              <w:keepLines w:val="0"/>
              <w:widowControl/>
              <w:suppressLineNumbers w:val="0"/>
              <w:jc w:val="left"/>
              <w:rPr>
                <w:rFonts w:hint="default" w:ascii="Arial" w:hAnsi="Arial" w:cs="Arial"/>
                <w:sz w:val="18"/>
                <w:szCs w:val="18"/>
              </w:rPr>
            </w:pPr>
            <w:r>
              <w:rPr>
                <w:rFonts w:hint="default" w:ascii="Arial" w:hAnsi="Arial" w:eastAsia="宋体" w:cs="Arial"/>
                <w:kern w:val="0"/>
                <w:sz w:val="18"/>
                <w:szCs w:val="18"/>
                <w:lang w:val="en-US" w:eastAsia="zh-CN" w:bidi="ar"/>
              </w:rPr>
              <w:t>• Neuroblastoma</w:t>
            </w:r>
          </w:p>
        </w:tc>
        <w:tc>
          <w:tcPr>
            <w:tcW w:w="0" w:type="auto"/>
            <w:tcBorders>
              <w:tl2br w:val="nil"/>
              <w:tr2bl w:val="nil"/>
            </w:tcBorders>
            <w:shd w:val="clear" w:color="auto" w:fill="auto"/>
            <w:vAlign w:val="center"/>
          </w:tcPr>
          <w:p w14:paraId="56E6D444">
            <w:pPr>
              <w:keepNext w:val="0"/>
              <w:keepLines w:val="0"/>
              <w:widowControl/>
              <w:suppressLineNumbers w:val="0"/>
              <w:jc w:val="center"/>
              <w:rPr>
                <w:rFonts w:hint="default" w:ascii="Arial" w:hAnsi="Arial" w:cs="Arial"/>
                <w:sz w:val="18"/>
                <w:szCs w:val="18"/>
              </w:rPr>
            </w:pPr>
            <w:r>
              <w:rPr>
                <w:rFonts w:hint="default" w:ascii="Arial" w:hAnsi="Arial" w:eastAsia="宋体" w:cs="Arial"/>
                <w:kern w:val="0"/>
                <w:sz w:val="18"/>
                <w:szCs w:val="18"/>
                <w:lang w:val="en-US" w:eastAsia="zh-CN" w:bidi="ar"/>
              </w:rPr>
              <w:t>121 (18.8%)</w:t>
            </w:r>
          </w:p>
        </w:tc>
      </w:tr>
      <w:tr w14:paraId="4293EBD3">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34" w:hRule="atLeast"/>
          <w:tblCellSpacing w:w="15" w:type="dxa"/>
        </w:trPr>
        <w:tc>
          <w:tcPr>
            <w:tcW w:w="0" w:type="auto"/>
            <w:tcBorders>
              <w:tl2br w:val="nil"/>
              <w:tr2bl w:val="nil"/>
            </w:tcBorders>
            <w:shd w:val="clear" w:color="auto" w:fill="auto"/>
            <w:vAlign w:val="center"/>
          </w:tcPr>
          <w:p w14:paraId="494B0E50">
            <w:pPr>
              <w:keepNext w:val="0"/>
              <w:keepLines w:val="0"/>
              <w:widowControl/>
              <w:suppressLineNumbers w:val="0"/>
              <w:jc w:val="left"/>
              <w:rPr>
                <w:rFonts w:hint="default" w:ascii="Arial" w:hAnsi="Arial" w:cs="Arial"/>
                <w:sz w:val="18"/>
                <w:szCs w:val="18"/>
              </w:rPr>
            </w:pPr>
            <w:r>
              <w:rPr>
                <w:rFonts w:hint="default" w:ascii="Arial" w:hAnsi="Arial" w:eastAsia="宋体" w:cs="Arial"/>
                <w:kern w:val="0"/>
                <w:sz w:val="18"/>
                <w:szCs w:val="18"/>
                <w:lang w:val="en-US" w:eastAsia="zh-CN" w:bidi="ar"/>
              </w:rPr>
              <w:t>• Rhabdomyosarcoma</w:t>
            </w:r>
          </w:p>
        </w:tc>
        <w:tc>
          <w:tcPr>
            <w:tcW w:w="0" w:type="auto"/>
            <w:tcBorders>
              <w:tl2br w:val="nil"/>
              <w:tr2bl w:val="nil"/>
            </w:tcBorders>
            <w:shd w:val="clear" w:color="auto" w:fill="auto"/>
            <w:vAlign w:val="center"/>
          </w:tcPr>
          <w:p w14:paraId="7CB8CC24">
            <w:pPr>
              <w:keepNext w:val="0"/>
              <w:keepLines w:val="0"/>
              <w:widowControl/>
              <w:suppressLineNumbers w:val="0"/>
              <w:jc w:val="center"/>
              <w:rPr>
                <w:rFonts w:hint="default" w:ascii="Arial" w:hAnsi="Arial" w:cs="Arial"/>
                <w:sz w:val="18"/>
                <w:szCs w:val="18"/>
              </w:rPr>
            </w:pPr>
            <w:r>
              <w:rPr>
                <w:rFonts w:hint="default" w:ascii="Arial" w:hAnsi="Arial" w:eastAsia="宋体" w:cs="Arial"/>
                <w:kern w:val="0"/>
                <w:sz w:val="18"/>
                <w:szCs w:val="18"/>
                <w:lang w:val="en-US" w:eastAsia="zh-CN" w:bidi="ar"/>
              </w:rPr>
              <w:t>99 (15.4%)</w:t>
            </w:r>
          </w:p>
        </w:tc>
      </w:tr>
      <w:tr w14:paraId="013C7048">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tcBorders>
              <w:tl2br w:val="nil"/>
              <w:tr2bl w:val="nil"/>
            </w:tcBorders>
            <w:shd w:val="clear" w:color="auto" w:fill="auto"/>
            <w:vAlign w:val="center"/>
          </w:tcPr>
          <w:p w14:paraId="5063FC30">
            <w:pPr>
              <w:keepNext w:val="0"/>
              <w:keepLines w:val="0"/>
              <w:widowControl/>
              <w:suppressLineNumbers w:val="0"/>
              <w:jc w:val="left"/>
              <w:rPr>
                <w:rFonts w:hint="default" w:ascii="Arial" w:hAnsi="Arial" w:cs="Arial"/>
                <w:sz w:val="18"/>
                <w:szCs w:val="18"/>
              </w:rPr>
            </w:pPr>
            <w:r>
              <w:rPr>
                <w:rFonts w:hint="default" w:ascii="Arial" w:hAnsi="Arial" w:eastAsia="宋体" w:cs="Arial"/>
                <w:kern w:val="0"/>
                <w:sz w:val="18"/>
                <w:szCs w:val="18"/>
                <w:lang w:val="en-US" w:eastAsia="zh-CN" w:bidi="ar"/>
              </w:rPr>
              <w:t>• Nephroblastoma</w:t>
            </w:r>
          </w:p>
        </w:tc>
        <w:tc>
          <w:tcPr>
            <w:tcW w:w="0" w:type="auto"/>
            <w:tcBorders>
              <w:tl2br w:val="nil"/>
              <w:tr2bl w:val="nil"/>
            </w:tcBorders>
            <w:shd w:val="clear" w:color="auto" w:fill="auto"/>
            <w:vAlign w:val="center"/>
          </w:tcPr>
          <w:p w14:paraId="2B6C095E">
            <w:pPr>
              <w:keepNext w:val="0"/>
              <w:keepLines w:val="0"/>
              <w:widowControl/>
              <w:suppressLineNumbers w:val="0"/>
              <w:jc w:val="center"/>
              <w:rPr>
                <w:rFonts w:hint="default" w:ascii="Arial" w:hAnsi="Arial" w:cs="Arial"/>
                <w:sz w:val="18"/>
                <w:szCs w:val="18"/>
              </w:rPr>
            </w:pPr>
            <w:r>
              <w:rPr>
                <w:rFonts w:hint="default" w:ascii="Arial" w:hAnsi="Arial" w:eastAsia="宋体" w:cs="Arial"/>
                <w:kern w:val="0"/>
                <w:sz w:val="18"/>
                <w:szCs w:val="18"/>
                <w:lang w:val="en-US" w:eastAsia="zh-CN" w:bidi="ar"/>
              </w:rPr>
              <w:t>82 (12.7%)</w:t>
            </w:r>
          </w:p>
        </w:tc>
      </w:tr>
      <w:tr w14:paraId="787CCA62">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tcBorders>
              <w:tl2br w:val="nil"/>
              <w:tr2bl w:val="nil"/>
            </w:tcBorders>
            <w:shd w:val="clear" w:color="auto" w:fill="auto"/>
            <w:vAlign w:val="center"/>
          </w:tcPr>
          <w:p w14:paraId="512E7FE5">
            <w:pPr>
              <w:keepNext w:val="0"/>
              <w:keepLines w:val="0"/>
              <w:widowControl/>
              <w:suppressLineNumbers w:val="0"/>
              <w:jc w:val="left"/>
              <w:rPr>
                <w:rFonts w:hint="default" w:ascii="Arial" w:hAnsi="Arial" w:cs="Arial"/>
                <w:sz w:val="18"/>
                <w:szCs w:val="18"/>
              </w:rPr>
            </w:pPr>
            <w:r>
              <w:rPr>
                <w:rFonts w:hint="default" w:ascii="Arial" w:hAnsi="Arial" w:eastAsia="宋体" w:cs="Arial"/>
                <w:kern w:val="0"/>
                <w:sz w:val="18"/>
                <w:szCs w:val="18"/>
                <w:lang w:val="en-US" w:eastAsia="zh-CN" w:bidi="ar"/>
              </w:rPr>
              <w:t>• Ewing sarcoma</w:t>
            </w:r>
          </w:p>
        </w:tc>
        <w:tc>
          <w:tcPr>
            <w:tcW w:w="0" w:type="auto"/>
            <w:tcBorders>
              <w:tl2br w:val="nil"/>
              <w:tr2bl w:val="nil"/>
            </w:tcBorders>
            <w:shd w:val="clear" w:color="auto" w:fill="auto"/>
            <w:vAlign w:val="center"/>
          </w:tcPr>
          <w:p w14:paraId="601DA849">
            <w:pPr>
              <w:keepNext w:val="0"/>
              <w:keepLines w:val="0"/>
              <w:widowControl/>
              <w:suppressLineNumbers w:val="0"/>
              <w:jc w:val="center"/>
              <w:rPr>
                <w:rFonts w:hint="default" w:ascii="Arial" w:hAnsi="Arial" w:cs="Arial"/>
                <w:sz w:val="18"/>
                <w:szCs w:val="18"/>
              </w:rPr>
            </w:pPr>
            <w:r>
              <w:rPr>
                <w:rFonts w:hint="default" w:ascii="Arial" w:hAnsi="Arial" w:eastAsia="宋体" w:cs="Arial"/>
                <w:kern w:val="0"/>
                <w:sz w:val="18"/>
                <w:szCs w:val="18"/>
                <w:lang w:val="en-US" w:eastAsia="zh-CN" w:bidi="ar"/>
              </w:rPr>
              <w:t>56 (8.7%)</w:t>
            </w:r>
          </w:p>
        </w:tc>
      </w:tr>
      <w:tr w14:paraId="0ADCCD63">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tcBorders>
              <w:tl2br w:val="nil"/>
              <w:tr2bl w:val="nil"/>
            </w:tcBorders>
            <w:shd w:val="clear" w:color="auto" w:fill="auto"/>
            <w:vAlign w:val="center"/>
          </w:tcPr>
          <w:p w14:paraId="61EB3D86">
            <w:pPr>
              <w:keepNext w:val="0"/>
              <w:keepLines w:val="0"/>
              <w:widowControl/>
              <w:suppressLineNumbers w:val="0"/>
              <w:jc w:val="left"/>
              <w:rPr>
                <w:rFonts w:hint="default" w:ascii="Arial" w:hAnsi="Arial" w:cs="Arial"/>
                <w:sz w:val="18"/>
                <w:szCs w:val="18"/>
              </w:rPr>
            </w:pPr>
            <w:r>
              <w:rPr>
                <w:rFonts w:hint="default" w:ascii="Arial" w:hAnsi="Arial" w:eastAsia="宋体" w:cs="Arial"/>
                <w:kern w:val="0"/>
                <w:sz w:val="18"/>
                <w:szCs w:val="18"/>
                <w:lang w:val="en-US" w:eastAsia="zh-CN" w:bidi="ar"/>
              </w:rPr>
              <w:t>• Other sarcoma</w:t>
            </w:r>
          </w:p>
        </w:tc>
        <w:tc>
          <w:tcPr>
            <w:tcW w:w="0" w:type="auto"/>
            <w:tcBorders>
              <w:tl2br w:val="nil"/>
              <w:tr2bl w:val="nil"/>
            </w:tcBorders>
            <w:shd w:val="clear" w:color="auto" w:fill="auto"/>
            <w:vAlign w:val="center"/>
          </w:tcPr>
          <w:p w14:paraId="69889DCC">
            <w:pPr>
              <w:keepNext w:val="0"/>
              <w:keepLines w:val="0"/>
              <w:widowControl/>
              <w:suppressLineNumbers w:val="0"/>
              <w:jc w:val="center"/>
              <w:rPr>
                <w:rFonts w:hint="default" w:ascii="Arial" w:hAnsi="Arial" w:cs="Arial"/>
                <w:sz w:val="18"/>
                <w:szCs w:val="18"/>
              </w:rPr>
            </w:pPr>
            <w:r>
              <w:rPr>
                <w:rFonts w:hint="default" w:ascii="Arial" w:hAnsi="Arial" w:eastAsia="宋体" w:cs="Arial"/>
                <w:kern w:val="0"/>
                <w:sz w:val="18"/>
                <w:szCs w:val="18"/>
                <w:lang w:val="en-US" w:eastAsia="zh-CN" w:bidi="ar"/>
              </w:rPr>
              <w:t>32 (5.0%)</w:t>
            </w:r>
          </w:p>
        </w:tc>
      </w:tr>
      <w:tr w14:paraId="32B858B4">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tcBorders>
              <w:tl2br w:val="nil"/>
              <w:tr2bl w:val="nil"/>
            </w:tcBorders>
            <w:shd w:val="clear" w:color="auto" w:fill="auto"/>
            <w:vAlign w:val="center"/>
          </w:tcPr>
          <w:p w14:paraId="581944ED">
            <w:pPr>
              <w:keepNext w:val="0"/>
              <w:keepLines w:val="0"/>
              <w:widowControl/>
              <w:suppressLineNumbers w:val="0"/>
              <w:jc w:val="left"/>
              <w:rPr>
                <w:rFonts w:hint="default" w:ascii="Arial" w:hAnsi="Arial" w:cs="Arial"/>
                <w:sz w:val="18"/>
                <w:szCs w:val="18"/>
              </w:rPr>
            </w:pPr>
            <w:r>
              <w:rPr>
                <w:rFonts w:hint="default" w:ascii="Arial" w:hAnsi="Arial" w:eastAsia="宋体" w:cs="Arial"/>
                <w:kern w:val="0"/>
                <w:sz w:val="18"/>
                <w:szCs w:val="18"/>
                <w:lang w:val="en-US" w:eastAsia="zh-CN" w:bidi="ar"/>
              </w:rPr>
              <w:t>• Other malignancy</w:t>
            </w:r>
          </w:p>
        </w:tc>
        <w:tc>
          <w:tcPr>
            <w:tcW w:w="0" w:type="auto"/>
            <w:tcBorders>
              <w:tl2br w:val="nil"/>
              <w:tr2bl w:val="nil"/>
            </w:tcBorders>
            <w:shd w:val="clear" w:color="auto" w:fill="auto"/>
            <w:vAlign w:val="center"/>
          </w:tcPr>
          <w:p w14:paraId="1B4473C7">
            <w:pPr>
              <w:keepNext w:val="0"/>
              <w:keepLines w:val="0"/>
              <w:widowControl/>
              <w:suppressLineNumbers w:val="0"/>
              <w:jc w:val="center"/>
              <w:rPr>
                <w:rFonts w:hint="default" w:ascii="Arial" w:hAnsi="Arial" w:cs="Arial"/>
                <w:sz w:val="18"/>
                <w:szCs w:val="18"/>
              </w:rPr>
            </w:pPr>
            <w:r>
              <w:rPr>
                <w:rFonts w:hint="default" w:ascii="Arial" w:hAnsi="Arial" w:eastAsia="宋体" w:cs="Arial"/>
                <w:kern w:val="0"/>
                <w:sz w:val="18"/>
                <w:szCs w:val="18"/>
                <w:lang w:val="en-US" w:eastAsia="zh-CN" w:bidi="ar"/>
              </w:rPr>
              <w:t>29 (4.5%)</w:t>
            </w:r>
          </w:p>
        </w:tc>
      </w:tr>
      <w:tr w14:paraId="6D04BE14">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tcBorders>
              <w:tl2br w:val="nil"/>
              <w:tr2bl w:val="nil"/>
            </w:tcBorders>
            <w:shd w:val="clear" w:color="auto" w:fill="auto"/>
            <w:vAlign w:val="center"/>
          </w:tcPr>
          <w:p w14:paraId="06BA38E5">
            <w:pPr>
              <w:keepNext w:val="0"/>
              <w:keepLines w:val="0"/>
              <w:widowControl/>
              <w:suppressLineNumbers w:val="0"/>
              <w:jc w:val="left"/>
              <w:rPr>
                <w:rFonts w:hint="default" w:ascii="Arial" w:hAnsi="Arial" w:cs="Arial"/>
                <w:sz w:val="18"/>
                <w:szCs w:val="18"/>
              </w:rPr>
            </w:pPr>
            <w:r>
              <w:rPr>
                <w:rFonts w:hint="default" w:ascii="Arial" w:hAnsi="Arial" w:eastAsia="宋体" w:cs="Arial"/>
                <w:kern w:val="0"/>
                <w:sz w:val="18"/>
                <w:szCs w:val="18"/>
                <w:lang w:val="en-US" w:eastAsia="zh-CN" w:bidi="ar"/>
              </w:rPr>
              <w:t>• Acute lymphoblastic leukemia</w:t>
            </w:r>
          </w:p>
        </w:tc>
        <w:tc>
          <w:tcPr>
            <w:tcW w:w="0" w:type="auto"/>
            <w:tcBorders>
              <w:tl2br w:val="nil"/>
              <w:tr2bl w:val="nil"/>
            </w:tcBorders>
            <w:shd w:val="clear" w:color="auto" w:fill="auto"/>
            <w:vAlign w:val="center"/>
          </w:tcPr>
          <w:p w14:paraId="32E3778E">
            <w:pPr>
              <w:keepNext w:val="0"/>
              <w:keepLines w:val="0"/>
              <w:widowControl/>
              <w:suppressLineNumbers w:val="0"/>
              <w:jc w:val="center"/>
              <w:rPr>
                <w:rFonts w:hint="default" w:ascii="Arial" w:hAnsi="Arial" w:cs="Arial"/>
                <w:sz w:val="18"/>
                <w:szCs w:val="18"/>
              </w:rPr>
            </w:pPr>
            <w:r>
              <w:rPr>
                <w:rFonts w:hint="default" w:ascii="Arial" w:hAnsi="Arial" w:eastAsia="宋体" w:cs="Arial"/>
                <w:kern w:val="0"/>
                <w:sz w:val="18"/>
                <w:szCs w:val="18"/>
                <w:lang w:val="en-US" w:eastAsia="zh-CN" w:bidi="ar"/>
              </w:rPr>
              <w:t>23 (3.6%)</w:t>
            </w:r>
          </w:p>
        </w:tc>
      </w:tr>
      <w:tr w14:paraId="45D43414">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tcBorders>
              <w:tl2br w:val="nil"/>
              <w:tr2bl w:val="nil"/>
            </w:tcBorders>
            <w:shd w:val="clear" w:color="auto" w:fill="auto"/>
            <w:vAlign w:val="center"/>
          </w:tcPr>
          <w:p w14:paraId="1A11A30D">
            <w:pPr>
              <w:keepNext w:val="0"/>
              <w:keepLines w:val="0"/>
              <w:widowControl/>
              <w:suppressLineNumbers w:val="0"/>
              <w:jc w:val="left"/>
              <w:rPr>
                <w:rFonts w:hint="default" w:ascii="Arial" w:hAnsi="Arial" w:cs="Arial"/>
                <w:sz w:val="18"/>
                <w:szCs w:val="18"/>
              </w:rPr>
            </w:pPr>
            <w:r>
              <w:rPr>
                <w:rFonts w:hint="default" w:ascii="Arial" w:hAnsi="Arial" w:eastAsia="宋体" w:cs="Arial"/>
                <w:kern w:val="0"/>
                <w:sz w:val="18"/>
                <w:szCs w:val="18"/>
                <w:lang w:val="en-US" w:eastAsia="zh-CN" w:bidi="ar"/>
              </w:rPr>
              <w:t>• Osteosarcoma</w:t>
            </w:r>
          </w:p>
        </w:tc>
        <w:tc>
          <w:tcPr>
            <w:tcW w:w="0" w:type="auto"/>
            <w:tcBorders>
              <w:tl2br w:val="nil"/>
              <w:tr2bl w:val="nil"/>
            </w:tcBorders>
            <w:shd w:val="clear" w:color="auto" w:fill="auto"/>
            <w:vAlign w:val="center"/>
          </w:tcPr>
          <w:p w14:paraId="52120492">
            <w:pPr>
              <w:keepNext w:val="0"/>
              <w:keepLines w:val="0"/>
              <w:widowControl/>
              <w:suppressLineNumbers w:val="0"/>
              <w:jc w:val="center"/>
              <w:rPr>
                <w:rFonts w:hint="default" w:ascii="Arial" w:hAnsi="Arial" w:cs="Arial"/>
                <w:sz w:val="18"/>
                <w:szCs w:val="18"/>
              </w:rPr>
            </w:pPr>
            <w:r>
              <w:rPr>
                <w:rFonts w:hint="default" w:ascii="Arial" w:hAnsi="Arial" w:eastAsia="宋体" w:cs="Arial"/>
                <w:kern w:val="0"/>
                <w:sz w:val="18"/>
                <w:szCs w:val="18"/>
                <w:lang w:val="en-US" w:eastAsia="zh-CN" w:bidi="ar"/>
              </w:rPr>
              <w:t>20 (3.1%)</w:t>
            </w:r>
          </w:p>
        </w:tc>
      </w:tr>
      <w:tr w14:paraId="4CA5977A">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tcBorders>
              <w:tl2br w:val="nil"/>
              <w:tr2bl w:val="nil"/>
            </w:tcBorders>
            <w:shd w:val="clear" w:color="auto" w:fill="auto"/>
            <w:vAlign w:val="center"/>
          </w:tcPr>
          <w:p w14:paraId="452FA866">
            <w:pPr>
              <w:keepNext w:val="0"/>
              <w:keepLines w:val="0"/>
              <w:widowControl/>
              <w:suppressLineNumbers w:val="0"/>
              <w:jc w:val="left"/>
              <w:rPr>
                <w:rFonts w:hint="default" w:ascii="Arial" w:hAnsi="Arial" w:cs="Arial"/>
                <w:sz w:val="18"/>
                <w:szCs w:val="18"/>
              </w:rPr>
            </w:pPr>
            <w:r>
              <w:rPr>
                <w:rFonts w:hint="default" w:ascii="Arial" w:hAnsi="Arial" w:eastAsia="宋体" w:cs="Arial"/>
                <w:kern w:val="0"/>
                <w:sz w:val="18"/>
                <w:szCs w:val="18"/>
                <w:lang w:val="en-US" w:eastAsia="zh-CN" w:bidi="ar"/>
              </w:rPr>
              <w:t>• Primitive neuroectodermal tumor</w:t>
            </w:r>
          </w:p>
        </w:tc>
        <w:tc>
          <w:tcPr>
            <w:tcW w:w="0" w:type="auto"/>
            <w:tcBorders>
              <w:tl2br w:val="nil"/>
              <w:tr2bl w:val="nil"/>
            </w:tcBorders>
            <w:shd w:val="clear" w:color="auto" w:fill="auto"/>
            <w:vAlign w:val="center"/>
          </w:tcPr>
          <w:p w14:paraId="77437532">
            <w:pPr>
              <w:keepNext w:val="0"/>
              <w:keepLines w:val="0"/>
              <w:widowControl/>
              <w:suppressLineNumbers w:val="0"/>
              <w:jc w:val="center"/>
              <w:rPr>
                <w:rFonts w:hint="default" w:ascii="Arial" w:hAnsi="Arial" w:cs="Arial"/>
                <w:sz w:val="18"/>
                <w:szCs w:val="18"/>
              </w:rPr>
            </w:pPr>
            <w:r>
              <w:rPr>
                <w:rFonts w:hint="default" w:ascii="Arial" w:hAnsi="Arial" w:eastAsia="宋体" w:cs="Arial"/>
                <w:kern w:val="0"/>
                <w:sz w:val="18"/>
                <w:szCs w:val="18"/>
                <w:lang w:val="en-US" w:eastAsia="zh-CN" w:bidi="ar"/>
              </w:rPr>
              <w:t>14 (2.2%)</w:t>
            </w:r>
          </w:p>
        </w:tc>
      </w:tr>
      <w:tr w14:paraId="17C3DA1A">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tcBorders>
              <w:tl2br w:val="nil"/>
              <w:tr2bl w:val="nil"/>
            </w:tcBorders>
            <w:shd w:val="clear" w:color="auto" w:fill="auto"/>
            <w:vAlign w:val="center"/>
          </w:tcPr>
          <w:p w14:paraId="17E42085">
            <w:pPr>
              <w:keepNext w:val="0"/>
              <w:keepLines w:val="0"/>
              <w:widowControl/>
              <w:suppressLineNumbers w:val="0"/>
              <w:jc w:val="left"/>
              <w:rPr>
                <w:rFonts w:hint="default" w:ascii="Arial" w:hAnsi="Arial" w:cs="Arial"/>
                <w:sz w:val="18"/>
                <w:szCs w:val="18"/>
              </w:rPr>
            </w:pPr>
            <w:r>
              <w:rPr>
                <w:rFonts w:hint="default" w:ascii="Arial" w:hAnsi="Arial" w:eastAsia="宋体" w:cs="Arial"/>
                <w:kern w:val="0"/>
                <w:sz w:val="18"/>
                <w:szCs w:val="18"/>
                <w:lang w:val="en-US" w:eastAsia="zh-CN" w:bidi="ar"/>
              </w:rPr>
              <w:t>• Leukemia (other)</w:t>
            </w:r>
          </w:p>
        </w:tc>
        <w:tc>
          <w:tcPr>
            <w:tcW w:w="0" w:type="auto"/>
            <w:tcBorders>
              <w:tl2br w:val="nil"/>
              <w:tr2bl w:val="nil"/>
            </w:tcBorders>
            <w:shd w:val="clear" w:color="auto" w:fill="auto"/>
            <w:vAlign w:val="center"/>
          </w:tcPr>
          <w:p w14:paraId="5676A01D">
            <w:pPr>
              <w:keepNext w:val="0"/>
              <w:keepLines w:val="0"/>
              <w:widowControl/>
              <w:suppressLineNumbers w:val="0"/>
              <w:jc w:val="center"/>
              <w:rPr>
                <w:rFonts w:hint="default" w:ascii="Arial" w:hAnsi="Arial" w:cs="Arial"/>
                <w:sz w:val="18"/>
                <w:szCs w:val="18"/>
              </w:rPr>
            </w:pPr>
            <w:r>
              <w:rPr>
                <w:rFonts w:hint="default" w:ascii="Arial" w:hAnsi="Arial" w:eastAsia="宋体" w:cs="Arial"/>
                <w:kern w:val="0"/>
                <w:sz w:val="18"/>
                <w:szCs w:val="18"/>
                <w:lang w:val="en-US" w:eastAsia="zh-CN" w:bidi="ar"/>
              </w:rPr>
              <w:t>10 (1.6%)</w:t>
            </w:r>
          </w:p>
        </w:tc>
      </w:tr>
      <w:tr w14:paraId="3DCB61B6">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tcBorders>
              <w:tl2br w:val="nil"/>
              <w:tr2bl w:val="nil"/>
            </w:tcBorders>
            <w:shd w:val="clear" w:color="auto" w:fill="auto"/>
            <w:vAlign w:val="center"/>
          </w:tcPr>
          <w:p w14:paraId="101C5C3A">
            <w:pPr>
              <w:keepNext w:val="0"/>
              <w:keepLines w:val="0"/>
              <w:widowControl/>
              <w:suppressLineNumbers w:val="0"/>
              <w:jc w:val="left"/>
              <w:rPr>
                <w:rFonts w:hint="default" w:ascii="Arial" w:hAnsi="Arial" w:cs="Arial"/>
                <w:sz w:val="18"/>
                <w:szCs w:val="18"/>
              </w:rPr>
            </w:pPr>
            <w:r>
              <w:rPr>
                <w:rFonts w:hint="default" w:ascii="Arial" w:hAnsi="Arial" w:eastAsia="宋体" w:cs="Arial"/>
                <w:kern w:val="0"/>
                <w:sz w:val="18"/>
                <w:szCs w:val="18"/>
                <w:lang w:val="en-US" w:eastAsia="zh-CN" w:bidi="ar"/>
              </w:rPr>
              <w:t>• Clear cell sarcoma of kidney</w:t>
            </w:r>
          </w:p>
        </w:tc>
        <w:tc>
          <w:tcPr>
            <w:tcW w:w="0" w:type="auto"/>
            <w:tcBorders>
              <w:tl2br w:val="nil"/>
              <w:tr2bl w:val="nil"/>
            </w:tcBorders>
            <w:shd w:val="clear" w:color="auto" w:fill="auto"/>
            <w:vAlign w:val="center"/>
          </w:tcPr>
          <w:p w14:paraId="1185354D">
            <w:pPr>
              <w:keepNext w:val="0"/>
              <w:keepLines w:val="0"/>
              <w:widowControl/>
              <w:suppressLineNumbers w:val="0"/>
              <w:jc w:val="center"/>
              <w:rPr>
                <w:rFonts w:hint="default" w:ascii="Arial" w:hAnsi="Arial" w:cs="Arial"/>
                <w:sz w:val="18"/>
                <w:szCs w:val="18"/>
              </w:rPr>
            </w:pPr>
            <w:r>
              <w:rPr>
                <w:rFonts w:hint="default" w:ascii="Arial" w:hAnsi="Arial" w:eastAsia="宋体" w:cs="Arial"/>
                <w:kern w:val="0"/>
                <w:sz w:val="18"/>
                <w:szCs w:val="18"/>
                <w:lang w:val="en-US" w:eastAsia="zh-CN" w:bidi="ar"/>
              </w:rPr>
              <w:t>9 (1.4%)</w:t>
            </w:r>
          </w:p>
        </w:tc>
      </w:tr>
      <w:tr w14:paraId="20B3530C">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tcBorders>
              <w:tl2br w:val="nil"/>
              <w:tr2bl w:val="nil"/>
            </w:tcBorders>
            <w:shd w:val="clear" w:color="auto" w:fill="auto"/>
            <w:vAlign w:val="center"/>
          </w:tcPr>
          <w:p w14:paraId="4DF1B796">
            <w:pPr>
              <w:keepNext w:val="0"/>
              <w:keepLines w:val="0"/>
              <w:widowControl/>
              <w:suppressLineNumbers w:val="0"/>
              <w:jc w:val="left"/>
              <w:rPr>
                <w:rFonts w:hint="default" w:ascii="Arial" w:hAnsi="Arial" w:cs="Arial"/>
                <w:sz w:val="18"/>
                <w:szCs w:val="18"/>
              </w:rPr>
            </w:pPr>
            <w:r>
              <w:rPr>
                <w:rFonts w:hint="default" w:ascii="Arial" w:hAnsi="Arial" w:eastAsia="宋体" w:cs="Arial"/>
                <w:kern w:val="0"/>
                <w:sz w:val="18"/>
                <w:szCs w:val="18"/>
                <w:lang w:val="en-US" w:eastAsia="zh-CN" w:bidi="ar"/>
              </w:rPr>
              <w:t>• Hepatoblastoma</w:t>
            </w:r>
          </w:p>
        </w:tc>
        <w:tc>
          <w:tcPr>
            <w:tcW w:w="0" w:type="auto"/>
            <w:tcBorders>
              <w:tl2br w:val="nil"/>
              <w:tr2bl w:val="nil"/>
            </w:tcBorders>
            <w:shd w:val="clear" w:color="auto" w:fill="auto"/>
            <w:vAlign w:val="center"/>
          </w:tcPr>
          <w:p w14:paraId="554BE70F">
            <w:pPr>
              <w:keepNext w:val="0"/>
              <w:keepLines w:val="0"/>
              <w:widowControl/>
              <w:suppressLineNumbers w:val="0"/>
              <w:jc w:val="center"/>
              <w:rPr>
                <w:rFonts w:hint="default" w:ascii="Arial" w:hAnsi="Arial" w:cs="Arial"/>
                <w:sz w:val="18"/>
                <w:szCs w:val="18"/>
              </w:rPr>
            </w:pPr>
            <w:r>
              <w:rPr>
                <w:rFonts w:hint="default" w:ascii="Arial" w:hAnsi="Arial" w:eastAsia="宋体" w:cs="Arial"/>
                <w:kern w:val="0"/>
                <w:sz w:val="18"/>
                <w:szCs w:val="18"/>
                <w:lang w:val="en-US" w:eastAsia="zh-CN" w:bidi="ar"/>
              </w:rPr>
              <w:t>6 (0.9%)</w:t>
            </w:r>
          </w:p>
        </w:tc>
      </w:tr>
      <w:tr w14:paraId="0F82FAA6">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tcBorders>
              <w:tl2br w:val="nil"/>
              <w:tr2bl w:val="nil"/>
            </w:tcBorders>
            <w:shd w:val="clear" w:color="auto" w:fill="auto"/>
            <w:vAlign w:val="center"/>
          </w:tcPr>
          <w:p w14:paraId="126D476D">
            <w:pPr>
              <w:keepNext w:val="0"/>
              <w:keepLines w:val="0"/>
              <w:widowControl/>
              <w:suppressLineNumbers w:val="0"/>
              <w:jc w:val="left"/>
              <w:rPr>
                <w:rFonts w:hint="default" w:ascii="Arial" w:hAnsi="Arial" w:cs="Arial"/>
                <w:sz w:val="18"/>
                <w:szCs w:val="18"/>
              </w:rPr>
            </w:pPr>
            <w:r>
              <w:rPr>
                <w:rFonts w:hint="default" w:ascii="Arial" w:hAnsi="Arial" w:eastAsia="宋体" w:cs="Arial"/>
                <w:kern w:val="0"/>
                <w:sz w:val="18"/>
                <w:szCs w:val="18"/>
                <w:lang w:val="en-US" w:eastAsia="zh-CN" w:bidi="ar"/>
              </w:rPr>
              <w:t>• Synovial sarcoma</w:t>
            </w:r>
          </w:p>
        </w:tc>
        <w:tc>
          <w:tcPr>
            <w:tcW w:w="0" w:type="auto"/>
            <w:tcBorders>
              <w:tl2br w:val="nil"/>
              <w:tr2bl w:val="nil"/>
            </w:tcBorders>
            <w:shd w:val="clear" w:color="auto" w:fill="auto"/>
            <w:vAlign w:val="center"/>
          </w:tcPr>
          <w:p w14:paraId="2EA7E085">
            <w:pPr>
              <w:keepNext w:val="0"/>
              <w:keepLines w:val="0"/>
              <w:widowControl/>
              <w:suppressLineNumbers w:val="0"/>
              <w:jc w:val="center"/>
              <w:rPr>
                <w:rFonts w:hint="default" w:ascii="Arial" w:hAnsi="Arial" w:cs="Arial"/>
                <w:sz w:val="18"/>
                <w:szCs w:val="18"/>
              </w:rPr>
            </w:pPr>
            <w:r>
              <w:rPr>
                <w:rFonts w:hint="default" w:ascii="Arial" w:hAnsi="Arial" w:eastAsia="宋体" w:cs="Arial"/>
                <w:kern w:val="0"/>
                <w:sz w:val="18"/>
                <w:szCs w:val="18"/>
                <w:lang w:val="en-US" w:eastAsia="zh-CN" w:bidi="ar"/>
              </w:rPr>
              <w:t>6 (0.9%)</w:t>
            </w:r>
          </w:p>
        </w:tc>
      </w:tr>
      <w:tr w14:paraId="51BC7281">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tcBorders>
              <w:tl2br w:val="nil"/>
              <w:tr2bl w:val="nil"/>
            </w:tcBorders>
            <w:shd w:val="clear" w:color="auto" w:fill="auto"/>
            <w:vAlign w:val="center"/>
          </w:tcPr>
          <w:p w14:paraId="44A081A2">
            <w:pPr>
              <w:keepNext w:val="0"/>
              <w:keepLines w:val="0"/>
              <w:widowControl/>
              <w:suppressLineNumbers w:val="0"/>
              <w:jc w:val="left"/>
              <w:rPr>
                <w:rFonts w:hint="default" w:ascii="Arial" w:hAnsi="Arial" w:cs="Arial"/>
                <w:sz w:val="18"/>
                <w:szCs w:val="18"/>
              </w:rPr>
            </w:pPr>
            <w:r>
              <w:rPr>
                <w:rFonts w:hint="default" w:ascii="Arial" w:hAnsi="Arial" w:eastAsia="宋体" w:cs="Arial"/>
                <w:kern w:val="0"/>
                <w:sz w:val="18"/>
                <w:szCs w:val="18"/>
                <w:lang w:val="en-US" w:eastAsia="zh-CN" w:bidi="ar"/>
              </w:rPr>
              <w:t>• Fibrosarcoma</w:t>
            </w:r>
          </w:p>
        </w:tc>
        <w:tc>
          <w:tcPr>
            <w:tcW w:w="0" w:type="auto"/>
            <w:tcBorders>
              <w:tl2br w:val="nil"/>
              <w:tr2bl w:val="nil"/>
            </w:tcBorders>
            <w:shd w:val="clear" w:color="auto" w:fill="auto"/>
            <w:vAlign w:val="center"/>
          </w:tcPr>
          <w:p w14:paraId="2D2D8D4A">
            <w:pPr>
              <w:keepNext w:val="0"/>
              <w:keepLines w:val="0"/>
              <w:widowControl/>
              <w:suppressLineNumbers w:val="0"/>
              <w:jc w:val="center"/>
              <w:rPr>
                <w:rFonts w:hint="default" w:ascii="Arial" w:hAnsi="Arial" w:cs="Arial"/>
                <w:sz w:val="18"/>
                <w:szCs w:val="18"/>
              </w:rPr>
            </w:pPr>
            <w:r>
              <w:rPr>
                <w:rFonts w:hint="default" w:ascii="Arial" w:hAnsi="Arial" w:eastAsia="宋体" w:cs="Arial"/>
                <w:kern w:val="0"/>
                <w:sz w:val="18"/>
                <w:szCs w:val="18"/>
                <w:lang w:val="en-US" w:eastAsia="zh-CN" w:bidi="ar"/>
              </w:rPr>
              <w:t>3 (0.5%)</w:t>
            </w:r>
          </w:p>
        </w:tc>
      </w:tr>
      <w:tr w14:paraId="0DF8EDAB">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tcBorders>
              <w:tl2br w:val="nil"/>
              <w:tr2bl w:val="nil"/>
            </w:tcBorders>
            <w:shd w:val="clear" w:color="auto" w:fill="auto"/>
            <w:vAlign w:val="center"/>
          </w:tcPr>
          <w:p w14:paraId="690EB8E2">
            <w:pPr>
              <w:keepNext w:val="0"/>
              <w:keepLines w:val="0"/>
              <w:widowControl/>
              <w:suppressLineNumbers w:val="0"/>
              <w:jc w:val="left"/>
              <w:rPr>
                <w:rFonts w:hint="default" w:ascii="Arial" w:hAnsi="Arial" w:cs="Arial"/>
                <w:sz w:val="18"/>
                <w:szCs w:val="18"/>
              </w:rPr>
            </w:pPr>
            <w:r>
              <w:rPr>
                <w:rFonts w:hint="default" w:ascii="Arial" w:hAnsi="Arial" w:eastAsia="宋体" w:cs="Arial"/>
                <w:kern w:val="0"/>
                <w:sz w:val="18"/>
                <w:szCs w:val="18"/>
                <w:lang w:val="en-US" w:eastAsia="zh-CN" w:bidi="ar"/>
              </w:rPr>
              <w:t>• Germ cell tumor</w:t>
            </w:r>
          </w:p>
        </w:tc>
        <w:tc>
          <w:tcPr>
            <w:tcW w:w="0" w:type="auto"/>
            <w:tcBorders>
              <w:tl2br w:val="nil"/>
              <w:tr2bl w:val="nil"/>
            </w:tcBorders>
            <w:shd w:val="clear" w:color="auto" w:fill="auto"/>
            <w:vAlign w:val="center"/>
          </w:tcPr>
          <w:p w14:paraId="79F372F7">
            <w:pPr>
              <w:keepNext w:val="0"/>
              <w:keepLines w:val="0"/>
              <w:widowControl/>
              <w:suppressLineNumbers w:val="0"/>
              <w:jc w:val="center"/>
              <w:rPr>
                <w:rFonts w:hint="default" w:ascii="Arial" w:hAnsi="Arial" w:cs="Arial"/>
                <w:sz w:val="18"/>
                <w:szCs w:val="18"/>
              </w:rPr>
            </w:pPr>
            <w:r>
              <w:rPr>
                <w:rFonts w:hint="default" w:ascii="Arial" w:hAnsi="Arial" w:eastAsia="宋体" w:cs="Arial"/>
                <w:kern w:val="0"/>
                <w:sz w:val="18"/>
                <w:szCs w:val="18"/>
                <w:lang w:val="en-US" w:eastAsia="zh-CN" w:bidi="ar"/>
              </w:rPr>
              <w:t>2 (0.3%)</w:t>
            </w:r>
          </w:p>
        </w:tc>
      </w:tr>
      <w:tr w14:paraId="30F3A5DD">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tcBorders>
              <w:tl2br w:val="nil"/>
              <w:tr2bl w:val="nil"/>
            </w:tcBorders>
            <w:shd w:val="clear" w:color="auto" w:fill="auto"/>
            <w:vAlign w:val="center"/>
          </w:tcPr>
          <w:p w14:paraId="21999142">
            <w:pPr>
              <w:keepNext w:val="0"/>
              <w:keepLines w:val="0"/>
              <w:widowControl/>
              <w:suppressLineNumbers w:val="0"/>
              <w:jc w:val="left"/>
              <w:rPr>
                <w:rFonts w:hint="default" w:ascii="Arial" w:hAnsi="Arial" w:cs="Arial"/>
                <w:sz w:val="18"/>
                <w:szCs w:val="18"/>
              </w:rPr>
            </w:pPr>
            <w:r>
              <w:rPr>
                <w:rFonts w:hint="default" w:ascii="Arial" w:hAnsi="Arial" w:eastAsia="宋体" w:cs="Arial"/>
                <w:kern w:val="0"/>
                <w:sz w:val="18"/>
                <w:szCs w:val="18"/>
                <w:lang w:val="en-US" w:eastAsia="zh-CN" w:bidi="ar"/>
              </w:rPr>
              <w:t>• Medulloblastoma</w:t>
            </w:r>
          </w:p>
        </w:tc>
        <w:tc>
          <w:tcPr>
            <w:tcW w:w="0" w:type="auto"/>
            <w:tcBorders>
              <w:tl2br w:val="nil"/>
              <w:tr2bl w:val="nil"/>
            </w:tcBorders>
            <w:shd w:val="clear" w:color="auto" w:fill="auto"/>
            <w:vAlign w:val="center"/>
          </w:tcPr>
          <w:p w14:paraId="622CBBF1">
            <w:pPr>
              <w:keepNext w:val="0"/>
              <w:keepLines w:val="0"/>
              <w:widowControl/>
              <w:suppressLineNumbers w:val="0"/>
              <w:jc w:val="center"/>
              <w:rPr>
                <w:rFonts w:hint="default" w:ascii="Arial" w:hAnsi="Arial" w:cs="Arial"/>
                <w:sz w:val="18"/>
                <w:szCs w:val="18"/>
              </w:rPr>
            </w:pPr>
            <w:r>
              <w:rPr>
                <w:rFonts w:hint="default" w:ascii="Arial" w:hAnsi="Arial" w:eastAsia="宋体" w:cs="Arial"/>
                <w:kern w:val="0"/>
                <w:sz w:val="18"/>
                <w:szCs w:val="18"/>
                <w:lang w:val="en-US" w:eastAsia="zh-CN" w:bidi="ar"/>
              </w:rPr>
              <w:t>1 (0.2%)</w:t>
            </w:r>
          </w:p>
        </w:tc>
      </w:tr>
      <w:tr w14:paraId="0D6D5C57">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tcBorders>
              <w:tl2br w:val="nil"/>
              <w:tr2bl w:val="nil"/>
            </w:tcBorders>
            <w:shd w:val="clear" w:color="auto" w:fill="auto"/>
            <w:vAlign w:val="center"/>
          </w:tcPr>
          <w:p w14:paraId="6420EE91">
            <w:pPr>
              <w:keepNext w:val="0"/>
              <w:keepLines w:val="0"/>
              <w:widowControl/>
              <w:suppressLineNumbers w:val="0"/>
              <w:jc w:val="left"/>
              <w:rPr>
                <w:rFonts w:hint="default" w:ascii="Arial" w:hAnsi="Arial" w:cs="Arial"/>
                <w:sz w:val="18"/>
                <w:szCs w:val="18"/>
              </w:rPr>
            </w:pPr>
            <w:r>
              <w:rPr>
                <w:rFonts w:hint="default" w:ascii="Arial" w:hAnsi="Arial" w:eastAsia="宋体" w:cs="Arial"/>
                <w:kern w:val="0"/>
                <w:sz w:val="18"/>
                <w:szCs w:val="18"/>
                <w:lang w:val="en-US" w:eastAsia="zh-CN" w:bidi="ar"/>
              </w:rPr>
              <w:t>Cumulative doxorubicin-equivalent dose (mg/m²)</w:t>
            </w:r>
          </w:p>
        </w:tc>
        <w:tc>
          <w:tcPr>
            <w:tcW w:w="0" w:type="auto"/>
            <w:tcBorders>
              <w:tl2br w:val="nil"/>
              <w:tr2bl w:val="nil"/>
            </w:tcBorders>
            <w:shd w:val="clear" w:color="auto" w:fill="auto"/>
            <w:vAlign w:val="center"/>
          </w:tcPr>
          <w:p w14:paraId="53E6D183">
            <w:pPr>
              <w:keepNext w:val="0"/>
              <w:keepLines w:val="0"/>
              <w:widowControl/>
              <w:suppressLineNumbers w:val="0"/>
              <w:jc w:val="center"/>
              <w:rPr>
                <w:rFonts w:hint="default" w:ascii="Arial" w:hAnsi="Arial" w:cs="Arial"/>
                <w:sz w:val="18"/>
                <w:szCs w:val="18"/>
              </w:rPr>
            </w:pPr>
            <w:r>
              <w:rPr>
                <w:rFonts w:hint="default" w:ascii="Arial" w:hAnsi="Arial" w:eastAsia="宋体" w:cs="Arial"/>
                <w:kern w:val="0"/>
                <w:sz w:val="18"/>
                <w:szCs w:val="18"/>
                <w:lang w:val="en-US" w:eastAsia="zh-CN" w:bidi="ar"/>
              </w:rPr>
              <w:t>161.09 (133.25-203.16)</w:t>
            </w:r>
          </w:p>
        </w:tc>
      </w:tr>
      <w:tr w14:paraId="218C9CD2">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tcBorders>
              <w:tl2br w:val="nil"/>
              <w:tr2bl w:val="nil"/>
            </w:tcBorders>
            <w:shd w:val="clear" w:color="auto" w:fill="auto"/>
            <w:vAlign w:val="center"/>
          </w:tcPr>
          <w:p w14:paraId="4D547375">
            <w:pPr>
              <w:keepNext w:val="0"/>
              <w:keepLines w:val="0"/>
              <w:widowControl/>
              <w:suppressLineNumbers w:val="0"/>
              <w:jc w:val="left"/>
              <w:rPr>
                <w:rFonts w:hint="default" w:ascii="Arial" w:hAnsi="Arial" w:cs="Arial"/>
                <w:sz w:val="18"/>
                <w:szCs w:val="18"/>
              </w:rPr>
            </w:pPr>
            <w:r>
              <w:rPr>
                <w:rFonts w:hint="default" w:ascii="Arial" w:hAnsi="Arial" w:eastAsia="宋体" w:cs="Arial"/>
                <w:kern w:val="0"/>
                <w:sz w:val="18"/>
                <w:szCs w:val="18"/>
                <w:lang w:val="en-US" w:eastAsia="zh-CN" w:bidi="ar"/>
              </w:rPr>
              <w:t>Cumulative dose category, n (%)</w:t>
            </w:r>
          </w:p>
        </w:tc>
        <w:tc>
          <w:tcPr>
            <w:tcW w:w="0" w:type="auto"/>
            <w:tcBorders>
              <w:tl2br w:val="nil"/>
              <w:tr2bl w:val="nil"/>
            </w:tcBorders>
            <w:shd w:val="clear" w:color="auto" w:fill="auto"/>
            <w:vAlign w:val="center"/>
          </w:tcPr>
          <w:p w14:paraId="4F562A77">
            <w:pPr>
              <w:jc w:val="center"/>
              <w:rPr>
                <w:rFonts w:hint="default" w:ascii="Arial" w:hAnsi="Arial" w:cs="Arial"/>
                <w:sz w:val="18"/>
                <w:szCs w:val="18"/>
              </w:rPr>
            </w:pPr>
          </w:p>
        </w:tc>
      </w:tr>
      <w:tr w14:paraId="6590DAFF">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tcBorders>
              <w:tl2br w:val="nil"/>
              <w:tr2bl w:val="nil"/>
            </w:tcBorders>
            <w:shd w:val="clear" w:color="auto" w:fill="auto"/>
            <w:vAlign w:val="center"/>
          </w:tcPr>
          <w:p w14:paraId="04C9C711">
            <w:pPr>
              <w:keepNext w:val="0"/>
              <w:keepLines w:val="0"/>
              <w:widowControl/>
              <w:suppressLineNumbers w:val="0"/>
              <w:jc w:val="left"/>
              <w:rPr>
                <w:rFonts w:hint="default" w:ascii="Arial" w:hAnsi="Arial" w:cs="Arial"/>
                <w:sz w:val="18"/>
                <w:szCs w:val="18"/>
              </w:rPr>
            </w:pPr>
            <w:r>
              <w:rPr>
                <w:rFonts w:hint="default" w:ascii="Arial" w:hAnsi="Arial" w:eastAsia="宋体" w:cs="Arial"/>
                <w:kern w:val="0"/>
                <w:sz w:val="18"/>
                <w:szCs w:val="18"/>
                <w:lang w:val="en-US" w:eastAsia="zh-CN" w:bidi="ar"/>
              </w:rPr>
              <w:t>• 100-199 mg/m²</w:t>
            </w:r>
          </w:p>
        </w:tc>
        <w:tc>
          <w:tcPr>
            <w:tcW w:w="0" w:type="auto"/>
            <w:tcBorders>
              <w:tl2br w:val="nil"/>
              <w:tr2bl w:val="nil"/>
            </w:tcBorders>
            <w:shd w:val="clear" w:color="auto" w:fill="auto"/>
            <w:vAlign w:val="center"/>
          </w:tcPr>
          <w:p w14:paraId="5FB87E42">
            <w:pPr>
              <w:keepNext w:val="0"/>
              <w:keepLines w:val="0"/>
              <w:widowControl/>
              <w:suppressLineNumbers w:val="0"/>
              <w:jc w:val="center"/>
              <w:rPr>
                <w:rFonts w:hint="default" w:ascii="Arial" w:hAnsi="Arial" w:cs="Arial"/>
                <w:sz w:val="18"/>
                <w:szCs w:val="18"/>
              </w:rPr>
            </w:pPr>
            <w:r>
              <w:rPr>
                <w:rFonts w:hint="default" w:ascii="Arial" w:hAnsi="Arial" w:eastAsia="宋体" w:cs="Arial"/>
                <w:kern w:val="0"/>
                <w:sz w:val="18"/>
                <w:szCs w:val="18"/>
                <w:lang w:val="en-US" w:eastAsia="zh-CN" w:bidi="ar"/>
              </w:rPr>
              <w:t>464 (72.0%)</w:t>
            </w:r>
          </w:p>
        </w:tc>
      </w:tr>
      <w:tr w14:paraId="147009C8">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tcBorders>
              <w:tl2br w:val="nil"/>
              <w:tr2bl w:val="nil"/>
            </w:tcBorders>
            <w:shd w:val="clear" w:color="auto" w:fill="auto"/>
            <w:vAlign w:val="center"/>
          </w:tcPr>
          <w:p w14:paraId="30BBD91F">
            <w:pPr>
              <w:keepNext w:val="0"/>
              <w:keepLines w:val="0"/>
              <w:widowControl/>
              <w:suppressLineNumbers w:val="0"/>
              <w:jc w:val="left"/>
              <w:rPr>
                <w:rFonts w:hint="default" w:ascii="Arial" w:hAnsi="Arial" w:cs="Arial"/>
                <w:sz w:val="18"/>
                <w:szCs w:val="18"/>
              </w:rPr>
            </w:pPr>
            <w:r>
              <w:rPr>
                <w:rFonts w:hint="default" w:ascii="Arial" w:hAnsi="Arial" w:eastAsia="宋体" w:cs="Arial"/>
                <w:kern w:val="0"/>
                <w:sz w:val="18"/>
                <w:szCs w:val="18"/>
                <w:lang w:val="en-US" w:eastAsia="zh-CN" w:bidi="ar"/>
              </w:rPr>
              <w:t>• 200-299 mg/m²</w:t>
            </w:r>
          </w:p>
        </w:tc>
        <w:tc>
          <w:tcPr>
            <w:tcW w:w="0" w:type="auto"/>
            <w:tcBorders>
              <w:tl2br w:val="nil"/>
              <w:tr2bl w:val="nil"/>
            </w:tcBorders>
            <w:shd w:val="clear" w:color="auto" w:fill="auto"/>
            <w:vAlign w:val="center"/>
          </w:tcPr>
          <w:p w14:paraId="131D81BA">
            <w:pPr>
              <w:keepNext w:val="0"/>
              <w:keepLines w:val="0"/>
              <w:widowControl/>
              <w:suppressLineNumbers w:val="0"/>
              <w:jc w:val="center"/>
              <w:rPr>
                <w:rFonts w:hint="default" w:ascii="Arial" w:hAnsi="Arial" w:cs="Arial"/>
                <w:sz w:val="18"/>
                <w:szCs w:val="18"/>
              </w:rPr>
            </w:pPr>
            <w:r>
              <w:rPr>
                <w:rFonts w:hint="default" w:ascii="Arial" w:hAnsi="Arial" w:eastAsia="宋体" w:cs="Arial"/>
                <w:kern w:val="0"/>
                <w:sz w:val="18"/>
                <w:szCs w:val="18"/>
                <w:lang w:val="en-US" w:eastAsia="zh-CN" w:bidi="ar"/>
              </w:rPr>
              <w:t>145 (22.5%)</w:t>
            </w:r>
          </w:p>
        </w:tc>
      </w:tr>
      <w:tr w14:paraId="21E4C7D1">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tcBorders>
              <w:tl2br w:val="nil"/>
              <w:tr2bl w:val="nil"/>
            </w:tcBorders>
            <w:shd w:val="clear" w:color="auto" w:fill="auto"/>
            <w:vAlign w:val="center"/>
          </w:tcPr>
          <w:p w14:paraId="12887F2E">
            <w:pPr>
              <w:keepNext w:val="0"/>
              <w:keepLines w:val="0"/>
              <w:widowControl/>
              <w:suppressLineNumbers w:val="0"/>
              <w:jc w:val="left"/>
              <w:rPr>
                <w:rFonts w:hint="default" w:ascii="Arial" w:hAnsi="Arial" w:cs="Arial"/>
                <w:sz w:val="18"/>
                <w:szCs w:val="18"/>
              </w:rPr>
            </w:pPr>
            <w:r>
              <w:rPr>
                <w:rFonts w:hint="default" w:ascii="Arial" w:hAnsi="Arial" w:eastAsia="宋体" w:cs="Arial"/>
                <w:kern w:val="0"/>
                <w:sz w:val="18"/>
                <w:szCs w:val="18"/>
                <w:lang w:val="en-US" w:eastAsia="zh-CN" w:bidi="ar"/>
              </w:rPr>
              <w:t>• 300-399 mg/m²</w:t>
            </w:r>
          </w:p>
        </w:tc>
        <w:tc>
          <w:tcPr>
            <w:tcW w:w="0" w:type="auto"/>
            <w:tcBorders>
              <w:tl2br w:val="nil"/>
              <w:tr2bl w:val="nil"/>
            </w:tcBorders>
            <w:shd w:val="clear" w:color="auto" w:fill="auto"/>
            <w:vAlign w:val="center"/>
          </w:tcPr>
          <w:p w14:paraId="72A356E0">
            <w:pPr>
              <w:keepNext w:val="0"/>
              <w:keepLines w:val="0"/>
              <w:widowControl/>
              <w:suppressLineNumbers w:val="0"/>
              <w:jc w:val="center"/>
              <w:rPr>
                <w:rFonts w:hint="default" w:ascii="Arial" w:hAnsi="Arial" w:cs="Arial"/>
                <w:sz w:val="18"/>
                <w:szCs w:val="18"/>
              </w:rPr>
            </w:pPr>
            <w:r>
              <w:rPr>
                <w:rFonts w:hint="default" w:ascii="Arial" w:hAnsi="Arial" w:eastAsia="宋体" w:cs="Arial"/>
                <w:kern w:val="0"/>
                <w:sz w:val="18"/>
                <w:szCs w:val="18"/>
                <w:lang w:val="en-US" w:eastAsia="zh-CN" w:bidi="ar"/>
              </w:rPr>
              <w:t>23 (3.6%)</w:t>
            </w:r>
          </w:p>
        </w:tc>
      </w:tr>
      <w:tr w14:paraId="31C8CA0D">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tcBorders>
              <w:tl2br w:val="nil"/>
              <w:tr2bl w:val="nil"/>
            </w:tcBorders>
            <w:shd w:val="clear" w:color="auto" w:fill="auto"/>
            <w:vAlign w:val="center"/>
          </w:tcPr>
          <w:p w14:paraId="5A4702CA">
            <w:pPr>
              <w:keepNext w:val="0"/>
              <w:keepLines w:val="0"/>
              <w:widowControl/>
              <w:suppressLineNumbers w:val="0"/>
              <w:jc w:val="left"/>
              <w:rPr>
                <w:rFonts w:hint="default" w:ascii="Arial" w:hAnsi="Arial" w:cs="Arial"/>
                <w:sz w:val="18"/>
                <w:szCs w:val="18"/>
              </w:rPr>
            </w:pPr>
            <w:r>
              <w:rPr>
                <w:rFonts w:hint="default" w:ascii="Arial" w:hAnsi="Arial" w:eastAsia="宋体" w:cs="Arial"/>
                <w:kern w:val="0"/>
                <w:sz w:val="18"/>
                <w:szCs w:val="18"/>
                <w:lang w:val="en-US" w:eastAsia="zh-CN" w:bidi="ar"/>
              </w:rPr>
              <w:t>• ≥400 mg/m²</w:t>
            </w:r>
          </w:p>
        </w:tc>
        <w:tc>
          <w:tcPr>
            <w:tcW w:w="0" w:type="auto"/>
            <w:tcBorders>
              <w:tl2br w:val="nil"/>
              <w:tr2bl w:val="nil"/>
            </w:tcBorders>
            <w:shd w:val="clear" w:color="auto" w:fill="auto"/>
            <w:vAlign w:val="center"/>
          </w:tcPr>
          <w:p w14:paraId="3A0F682C">
            <w:pPr>
              <w:keepNext w:val="0"/>
              <w:keepLines w:val="0"/>
              <w:widowControl/>
              <w:suppressLineNumbers w:val="0"/>
              <w:jc w:val="center"/>
              <w:rPr>
                <w:rFonts w:hint="default" w:ascii="Arial" w:hAnsi="Arial" w:cs="Arial"/>
                <w:sz w:val="18"/>
                <w:szCs w:val="18"/>
              </w:rPr>
            </w:pPr>
            <w:r>
              <w:rPr>
                <w:rFonts w:hint="default" w:ascii="Arial" w:hAnsi="Arial" w:eastAsia="宋体" w:cs="Arial"/>
                <w:kern w:val="0"/>
                <w:sz w:val="18"/>
                <w:szCs w:val="18"/>
                <w:lang w:val="en-US" w:eastAsia="zh-CN" w:bidi="ar"/>
              </w:rPr>
              <w:t>12 (1.9%)</w:t>
            </w:r>
          </w:p>
        </w:tc>
      </w:tr>
      <w:tr w14:paraId="5785EC66">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tcBorders>
              <w:tl2br w:val="nil"/>
              <w:tr2bl w:val="nil"/>
            </w:tcBorders>
            <w:shd w:val="clear" w:color="auto" w:fill="auto"/>
            <w:vAlign w:val="center"/>
          </w:tcPr>
          <w:p w14:paraId="60FAD003">
            <w:pPr>
              <w:keepNext w:val="0"/>
              <w:keepLines w:val="0"/>
              <w:widowControl/>
              <w:suppressLineNumbers w:val="0"/>
              <w:jc w:val="left"/>
              <w:rPr>
                <w:rFonts w:hint="default" w:ascii="Arial" w:hAnsi="Arial" w:cs="Arial"/>
                <w:sz w:val="18"/>
                <w:szCs w:val="18"/>
              </w:rPr>
            </w:pPr>
            <w:r>
              <w:rPr>
                <w:rFonts w:hint="default" w:ascii="Arial" w:hAnsi="Arial" w:eastAsia="宋体" w:cs="Arial"/>
                <w:kern w:val="0"/>
                <w:sz w:val="18"/>
                <w:szCs w:val="18"/>
                <w:lang w:val="en-US" w:eastAsia="zh-CN" w:bidi="ar"/>
              </w:rPr>
              <w:t>Follow-up duration, months</w:t>
            </w:r>
          </w:p>
        </w:tc>
        <w:tc>
          <w:tcPr>
            <w:tcW w:w="0" w:type="auto"/>
            <w:tcBorders>
              <w:tl2br w:val="nil"/>
              <w:tr2bl w:val="nil"/>
            </w:tcBorders>
            <w:shd w:val="clear" w:color="auto" w:fill="auto"/>
            <w:vAlign w:val="center"/>
          </w:tcPr>
          <w:p w14:paraId="12AE3981">
            <w:pPr>
              <w:keepNext w:val="0"/>
              <w:keepLines w:val="0"/>
              <w:widowControl/>
              <w:suppressLineNumbers w:val="0"/>
              <w:jc w:val="center"/>
              <w:rPr>
                <w:rFonts w:hint="default" w:ascii="Arial" w:hAnsi="Arial" w:cs="Arial"/>
                <w:sz w:val="18"/>
                <w:szCs w:val="18"/>
              </w:rPr>
            </w:pPr>
            <w:r>
              <w:rPr>
                <w:rFonts w:hint="default" w:ascii="Arial" w:hAnsi="Arial" w:eastAsia="宋体" w:cs="Arial"/>
                <w:kern w:val="0"/>
                <w:sz w:val="18"/>
                <w:szCs w:val="18"/>
                <w:lang w:val="en-US" w:eastAsia="zh-CN" w:bidi="ar"/>
              </w:rPr>
              <w:t>37.86 (19.70-74.25)</w:t>
            </w:r>
          </w:p>
        </w:tc>
      </w:tr>
      <w:tr w14:paraId="55DC86DA">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tcBorders>
              <w:tl2br w:val="nil"/>
              <w:tr2bl w:val="nil"/>
            </w:tcBorders>
            <w:shd w:val="clear" w:color="auto" w:fill="auto"/>
            <w:vAlign w:val="center"/>
          </w:tcPr>
          <w:p w14:paraId="3B00C2EA">
            <w:pPr>
              <w:keepNext w:val="0"/>
              <w:keepLines w:val="0"/>
              <w:widowControl/>
              <w:suppressLineNumbers w:val="0"/>
              <w:jc w:val="left"/>
              <w:rPr>
                <w:rFonts w:hint="default" w:ascii="Arial" w:hAnsi="Arial" w:cs="Arial"/>
                <w:sz w:val="18"/>
                <w:szCs w:val="18"/>
              </w:rPr>
            </w:pPr>
            <w:r>
              <w:rPr>
                <w:rFonts w:hint="default" w:ascii="Arial" w:hAnsi="Arial" w:eastAsia="宋体" w:cs="Arial"/>
                <w:kern w:val="0"/>
                <w:sz w:val="18"/>
                <w:szCs w:val="18"/>
                <w:lang w:val="en-US" w:eastAsia="zh-CN" w:bidi="ar"/>
              </w:rPr>
              <w:t>ECG abnormality, n (%)</w:t>
            </w:r>
          </w:p>
        </w:tc>
        <w:tc>
          <w:tcPr>
            <w:tcW w:w="0" w:type="auto"/>
            <w:tcBorders>
              <w:tl2br w:val="nil"/>
              <w:tr2bl w:val="nil"/>
            </w:tcBorders>
            <w:shd w:val="clear" w:color="auto" w:fill="auto"/>
            <w:vAlign w:val="center"/>
          </w:tcPr>
          <w:p w14:paraId="499FA5C7">
            <w:pPr>
              <w:keepNext w:val="0"/>
              <w:keepLines w:val="0"/>
              <w:widowControl/>
              <w:suppressLineNumbers w:val="0"/>
              <w:jc w:val="center"/>
              <w:rPr>
                <w:rFonts w:hint="default" w:ascii="Arial" w:hAnsi="Arial" w:cs="Arial"/>
                <w:sz w:val="18"/>
                <w:szCs w:val="18"/>
              </w:rPr>
            </w:pPr>
            <w:r>
              <w:rPr>
                <w:rFonts w:hint="default" w:ascii="Arial" w:hAnsi="Arial" w:eastAsia="宋体" w:cs="Arial"/>
                <w:kern w:val="0"/>
                <w:sz w:val="18"/>
                <w:szCs w:val="18"/>
                <w:lang w:val="en-US" w:eastAsia="zh-CN" w:bidi="ar"/>
              </w:rPr>
              <w:t>575 (89.3%)</w:t>
            </w:r>
          </w:p>
        </w:tc>
      </w:tr>
      <w:tr w14:paraId="5E9F3341">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tcBorders>
              <w:tl2br w:val="nil"/>
              <w:tr2bl w:val="nil"/>
            </w:tcBorders>
            <w:shd w:val="clear" w:color="auto" w:fill="auto"/>
            <w:vAlign w:val="center"/>
          </w:tcPr>
          <w:p w14:paraId="5DD0C203">
            <w:pPr>
              <w:keepNext w:val="0"/>
              <w:keepLines w:val="0"/>
              <w:widowControl/>
              <w:suppressLineNumbers w:val="0"/>
              <w:jc w:val="left"/>
              <w:rPr>
                <w:rFonts w:hint="default" w:ascii="Arial" w:hAnsi="Arial" w:cs="Arial"/>
                <w:sz w:val="18"/>
                <w:szCs w:val="18"/>
              </w:rPr>
            </w:pPr>
            <w:r>
              <w:rPr>
                <w:rFonts w:hint="default" w:ascii="Arial" w:hAnsi="Arial" w:eastAsia="宋体" w:cs="Arial"/>
                <w:kern w:val="0"/>
                <w:sz w:val="18"/>
                <w:szCs w:val="18"/>
                <w:lang w:val="en-US" w:eastAsia="zh-CN" w:bidi="ar"/>
              </w:rPr>
              <w:t>Echocardiographic abnormality, n (%)</w:t>
            </w:r>
          </w:p>
        </w:tc>
        <w:tc>
          <w:tcPr>
            <w:tcW w:w="0" w:type="auto"/>
            <w:tcBorders>
              <w:tl2br w:val="nil"/>
              <w:tr2bl w:val="nil"/>
            </w:tcBorders>
            <w:shd w:val="clear" w:color="auto" w:fill="auto"/>
            <w:vAlign w:val="center"/>
          </w:tcPr>
          <w:p w14:paraId="196C6466">
            <w:pPr>
              <w:keepNext w:val="0"/>
              <w:keepLines w:val="0"/>
              <w:widowControl/>
              <w:suppressLineNumbers w:val="0"/>
              <w:jc w:val="center"/>
              <w:rPr>
                <w:rFonts w:hint="default" w:ascii="Arial" w:hAnsi="Arial" w:cs="Arial"/>
                <w:sz w:val="18"/>
                <w:szCs w:val="18"/>
              </w:rPr>
            </w:pPr>
            <w:r>
              <w:rPr>
                <w:rFonts w:hint="default" w:ascii="Arial" w:hAnsi="Arial" w:eastAsia="宋体" w:cs="Arial"/>
                <w:kern w:val="0"/>
                <w:sz w:val="18"/>
                <w:szCs w:val="18"/>
                <w:lang w:val="en-US" w:eastAsia="zh-CN" w:bidi="ar"/>
              </w:rPr>
              <w:t>37(5.7%)</w:t>
            </w:r>
          </w:p>
        </w:tc>
      </w:tr>
      <w:tr w14:paraId="7717E673">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tcBorders>
              <w:tl2br w:val="nil"/>
              <w:tr2bl w:val="nil"/>
            </w:tcBorders>
            <w:shd w:val="clear" w:color="auto" w:fill="auto"/>
            <w:vAlign w:val="center"/>
          </w:tcPr>
          <w:p w14:paraId="3F4F37D2">
            <w:pPr>
              <w:keepNext w:val="0"/>
              <w:keepLines w:val="0"/>
              <w:widowControl/>
              <w:suppressLineNumbers w:val="0"/>
              <w:jc w:val="left"/>
              <w:rPr>
                <w:rFonts w:hint="default" w:ascii="Arial" w:hAnsi="Arial" w:cs="Arial"/>
                <w:sz w:val="18"/>
                <w:szCs w:val="18"/>
              </w:rPr>
            </w:pPr>
            <w:r>
              <w:rPr>
                <w:rFonts w:hint="default" w:ascii="Arial" w:hAnsi="Arial" w:eastAsia="宋体" w:cs="Arial"/>
                <w:kern w:val="0"/>
                <w:sz w:val="18"/>
                <w:szCs w:val="18"/>
                <w:lang w:val="en-US" w:eastAsia="zh-CN" w:bidi="ar"/>
              </w:rPr>
              <w:t>Cardiac enzyme abnormality, n (%)</w:t>
            </w:r>
          </w:p>
        </w:tc>
        <w:tc>
          <w:tcPr>
            <w:tcW w:w="0" w:type="auto"/>
            <w:tcBorders>
              <w:tl2br w:val="nil"/>
              <w:tr2bl w:val="nil"/>
            </w:tcBorders>
            <w:shd w:val="clear" w:color="auto" w:fill="auto"/>
            <w:vAlign w:val="center"/>
          </w:tcPr>
          <w:p w14:paraId="7EE9EBDF">
            <w:pPr>
              <w:keepNext w:val="0"/>
              <w:keepLines w:val="0"/>
              <w:widowControl/>
              <w:suppressLineNumbers w:val="0"/>
              <w:jc w:val="center"/>
              <w:rPr>
                <w:rFonts w:hint="default" w:ascii="Arial" w:hAnsi="Arial" w:cs="Arial"/>
                <w:sz w:val="18"/>
                <w:szCs w:val="18"/>
              </w:rPr>
            </w:pPr>
            <w:r>
              <w:rPr>
                <w:rFonts w:hint="default" w:ascii="Arial" w:hAnsi="Arial" w:eastAsia="宋体" w:cs="Arial"/>
                <w:kern w:val="0"/>
                <w:sz w:val="18"/>
                <w:szCs w:val="18"/>
                <w:lang w:val="en-US" w:eastAsia="zh-CN" w:bidi="ar"/>
              </w:rPr>
              <w:t>94 (14.6%)</w:t>
            </w:r>
          </w:p>
        </w:tc>
      </w:tr>
      <w:tr w14:paraId="66C26FB1">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tcBorders>
              <w:tl2br w:val="nil"/>
              <w:tr2bl w:val="nil"/>
            </w:tcBorders>
            <w:shd w:val="clear" w:color="auto" w:fill="auto"/>
            <w:vAlign w:val="center"/>
          </w:tcPr>
          <w:p w14:paraId="2C151B72">
            <w:pPr>
              <w:keepNext w:val="0"/>
              <w:keepLines w:val="0"/>
              <w:widowControl/>
              <w:suppressLineNumbers w:val="0"/>
              <w:jc w:val="left"/>
              <w:rPr>
                <w:rFonts w:hint="default" w:ascii="Arial" w:hAnsi="Arial" w:cs="Arial"/>
                <w:sz w:val="18"/>
                <w:szCs w:val="18"/>
              </w:rPr>
            </w:pPr>
            <w:r>
              <w:rPr>
                <w:rFonts w:hint="default" w:ascii="Arial" w:hAnsi="Arial" w:eastAsia="宋体" w:cs="Arial"/>
                <w:kern w:val="0"/>
                <w:sz w:val="18"/>
                <w:szCs w:val="18"/>
                <w:lang w:val="en-US" w:eastAsia="zh-CN" w:bidi="ar"/>
              </w:rPr>
              <w:t>Any cardiac abnormality, n (%)</w:t>
            </w:r>
          </w:p>
        </w:tc>
        <w:tc>
          <w:tcPr>
            <w:tcW w:w="0" w:type="auto"/>
            <w:tcBorders>
              <w:tl2br w:val="nil"/>
              <w:tr2bl w:val="nil"/>
            </w:tcBorders>
            <w:shd w:val="clear" w:color="auto" w:fill="auto"/>
            <w:vAlign w:val="center"/>
          </w:tcPr>
          <w:p w14:paraId="4D8B6673">
            <w:pPr>
              <w:keepNext w:val="0"/>
              <w:keepLines w:val="0"/>
              <w:widowControl/>
              <w:suppressLineNumbers w:val="0"/>
              <w:jc w:val="center"/>
              <w:rPr>
                <w:rFonts w:hint="default" w:ascii="Arial" w:hAnsi="Arial" w:cs="Arial"/>
                <w:sz w:val="18"/>
                <w:szCs w:val="18"/>
              </w:rPr>
            </w:pPr>
            <w:r>
              <w:rPr>
                <w:rFonts w:hint="default" w:ascii="Arial" w:hAnsi="Arial" w:eastAsia="宋体" w:cs="Arial"/>
                <w:kern w:val="0"/>
                <w:sz w:val="18"/>
                <w:szCs w:val="18"/>
                <w:lang w:val="en-US" w:eastAsia="zh-CN" w:bidi="ar"/>
              </w:rPr>
              <w:t>584 (90.7%)</w:t>
            </w:r>
          </w:p>
        </w:tc>
      </w:tr>
    </w:tbl>
    <w:p w14:paraId="4F032FED">
      <w:pPr>
        <w:rPr>
          <w:rFonts w:hint="default" w:ascii="Arial" w:hAnsi="Arial" w:cs="Arial"/>
          <w:sz w:val="18"/>
          <w:szCs w:val="18"/>
        </w:rPr>
      </w:pPr>
      <w:r>
        <w:rPr>
          <w:rFonts w:hint="default" w:ascii="Arial" w:hAnsi="Arial" w:cs="Arial"/>
          <w:sz w:val="18"/>
          <w:szCs w:val="18"/>
        </w:rPr>
        <w:t>Continuous variables are presented as median (interquartile range, IQR).</w:t>
      </w:r>
    </w:p>
    <w:p w14:paraId="4038EA22">
      <w:pPr>
        <w:rPr>
          <w:rFonts w:hint="default" w:ascii="Arial" w:hAnsi="Arial" w:cs="Arial"/>
          <w:sz w:val="18"/>
          <w:szCs w:val="18"/>
        </w:rPr>
      </w:pPr>
      <w:r>
        <w:rPr>
          <w:rFonts w:hint="default" w:ascii="Arial" w:hAnsi="Arial" w:cs="Arial"/>
          <w:sz w:val="18"/>
          <w:szCs w:val="18"/>
        </w:rPr>
        <w:t>Categorical variables are presented as number (percentage).</w:t>
      </w:r>
    </w:p>
    <w:p w14:paraId="14318201">
      <w:pPr>
        <w:rPr>
          <w:rFonts w:hint="default" w:ascii="Arial" w:hAnsi="Arial" w:cs="Arial"/>
          <w:sz w:val="18"/>
          <w:szCs w:val="18"/>
        </w:rPr>
      </w:pPr>
      <w:r>
        <w:rPr>
          <w:rFonts w:hint="default" w:ascii="Arial" w:hAnsi="Arial" w:cs="Arial"/>
          <w:sz w:val="18"/>
          <w:szCs w:val="18"/>
        </w:rPr>
        <w:t>The final analysis cohort included 644 pediatric patients with baseline-normal cardiac evaluation and a cumulative doxorubicin-equivalent dose ≥100 mg/m².</w:t>
      </w:r>
    </w:p>
    <w:p w14:paraId="141F7CF3">
      <w:pPr>
        <w:rPr>
          <w:rFonts w:hint="default" w:ascii="Arial" w:hAnsi="Arial" w:cs="Arial"/>
          <w:sz w:val="18"/>
          <w:szCs w:val="18"/>
        </w:rPr>
      </w:pPr>
      <w:r>
        <w:rPr>
          <w:rFonts w:hint="default" w:ascii="Arial" w:hAnsi="Arial" w:cs="Arial"/>
          <w:sz w:val="18"/>
          <w:szCs w:val="18"/>
        </w:rPr>
        <w:t>Cumulative anthracycline exposure was expressed as doxorubicin-equivalent dose.</w:t>
      </w:r>
    </w:p>
    <w:p w14:paraId="34374D8B">
      <w:pPr>
        <w:rPr>
          <w:b/>
          <w:sz w:val="26"/>
        </w:rPr>
      </w:pPr>
    </w:p>
    <w:p w14:paraId="62B586DA">
      <w:pPr>
        <w:rPr>
          <w:b/>
          <w:sz w:val="26"/>
        </w:rPr>
      </w:pPr>
    </w:p>
    <w:p w14:paraId="0821EF15">
      <w:pPr>
        <w:rPr>
          <w:b/>
          <w:sz w:val="26"/>
        </w:rPr>
      </w:pPr>
    </w:p>
    <w:p w14:paraId="06F7575B">
      <w:pPr>
        <w:rPr>
          <w:b/>
          <w:sz w:val="26"/>
        </w:rPr>
      </w:pPr>
    </w:p>
    <w:p w14:paraId="60FF7E82">
      <w:pPr>
        <w:rPr>
          <w:b/>
          <w:sz w:val="26"/>
        </w:rPr>
      </w:pPr>
    </w:p>
    <w:p w14:paraId="303BD488">
      <w:pPr>
        <w:rPr>
          <w:b/>
          <w:sz w:val="26"/>
        </w:rPr>
      </w:pPr>
    </w:p>
    <w:p w14:paraId="79658CED">
      <w:pPr>
        <w:rPr>
          <w:b/>
          <w:sz w:val="26"/>
        </w:rPr>
      </w:pPr>
    </w:p>
    <w:p w14:paraId="4EDE3D0E">
      <w:pPr>
        <w:rPr>
          <w:b/>
          <w:sz w:val="26"/>
        </w:rPr>
      </w:pPr>
    </w:p>
    <w:p w14:paraId="4FAEF7D8">
      <w:pPr>
        <w:rPr>
          <w:b/>
          <w:sz w:val="26"/>
        </w:rPr>
      </w:pPr>
    </w:p>
    <w:p w14:paraId="3461566C">
      <w:pPr>
        <w:rPr>
          <w:b/>
          <w:sz w:val="26"/>
        </w:rPr>
      </w:pPr>
    </w:p>
    <w:p w14:paraId="4DA753B8">
      <w:pPr>
        <w:rPr>
          <w:b/>
          <w:sz w:val="26"/>
        </w:rPr>
      </w:pPr>
    </w:p>
    <w:p w14:paraId="04C4A7CA">
      <w:pPr>
        <w:rPr>
          <w:b/>
          <w:sz w:val="26"/>
        </w:rPr>
      </w:pPr>
    </w:p>
    <w:p w14:paraId="20D92830">
      <w:pPr>
        <w:jc w:val="left"/>
      </w:pPr>
      <w:r>
        <w:rPr>
          <w:rFonts w:ascii="Arial" w:hAnsi="Arial"/>
          <w:b/>
          <w:sz w:val="22"/>
        </w:rPr>
        <w:t>Supplementary Table S3. Echocardiographic or cardiac enzyme abnormality according to cumulative doxorubicin-equivalent dose quartiles</w:t>
      </w:r>
    </w:p>
    <w:tbl>
      <w:tblPr>
        <w:tblStyle w:val="32"/>
        <w:tblW w:w="0" w:type="auto"/>
        <w:jc w:val="center"/>
        <w:tblLayout w:type="autofit"/>
        <w:tblCellMar>
          <w:top w:w="0" w:type="dxa"/>
          <w:left w:w="108" w:type="dxa"/>
          <w:bottom w:w="0" w:type="dxa"/>
          <w:right w:w="108" w:type="dxa"/>
        </w:tblCellMar>
      </w:tblPr>
      <w:tblGrid>
        <w:gridCol w:w="1461"/>
        <w:gridCol w:w="1461"/>
        <w:gridCol w:w="1461"/>
        <w:gridCol w:w="1461"/>
        <w:gridCol w:w="1461"/>
        <w:gridCol w:w="1461"/>
        <w:gridCol w:w="1461"/>
      </w:tblGrid>
      <w:tr w14:paraId="1C9753BB">
        <w:tblPrEx>
          <w:tblCellMar>
            <w:top w:w="0" w:type="dxa"/>
            <w:left w:w="108" w:type="dxa"/>
            <w:bottom w:w="0" w:type="dxa"/>
            <w:right w:w="108" w:type="dxa"/>
          </w:tblCellMar>
        </w:tblPrEx>
        <w:trPr>
          <w:jc w:val="center"/>
        </w:trPr>
        <w:tc>
          <w:tcPr>
            <w:tcW w:w="1461" w:type="dxa"/>
            <w:tcBorders>
              <w:top w:val="single" w:color="000000" w:sz="8" w:space="0"/>
              <w:bottom w:val="single" w:color="000000" w:sz="6" w:space="0"/>
            </w:tcBorders>
            <w:vAlign w:val="center"/>
          </w:tcPr>
          <w:p w14:paraId="5997EE48">
            <w:pPr>
              <w:jc w:val="left"/>
              <w:rPr>
                <w:sz w:val="18"/>
                <w:szCs w:val="18"/>
              </w:rPr>
            </w:pPr>
            <w:r>
              <w:rPr>
                <w:rFonts w:ascii="Arial" w:hAnsi="Arial"/>
                <w:b/>
                <w:sz w:val="18"/>
                <w:szCs w:val="18"/>
              </w:rPr>
              <w:t>Sensitivity endpoint</w:t>
            </w:r>
          </w:p>
        </w:tc>
        <w:tc>
          <w:tcPr>
            <w:tcW w:w="1461" w:type="dxa"/>
            <w:tcBorders>
              <w:top w:val="single" w:color="000000" w:sz="8" w:space="0"/>
              <w:bottom w:val="single" w:color="000000" w:sz="6" w:space="0"/>
            </w:tcBorders>
            <w:vAlign w:val="center"/>
          </w:tcPr>
          <w:p w14:paraId="5F30CACA">
            <w:pPr>
              <w:jc w:val="center"/>
              <w:rPr>
                <w:sz w:val="18"/>
                <w:szCs w:val="18"/>
              </w:rPr>
            </w:pPr>
            <w:r>
              <w:rPr>
                <w:rFonts w:ascii="Arial" w:hAnsi="Arial"/>
                <w:b/>
                <w:sz w:val="18"/>
                <w:szCs w:val="18"/>
              </w:rPr>
              <w:t>Q1 (n=161)</w:t>
            </w:r>
          </w:p>
        </w:tc>
        <w:tc>
          <w:tcPr>
            <w:tcW w:w="1461" w:type="dxa"/>
            <w:tcBorders>
              <w:top w:val="single" w:color="000000" w:sz="8" w:space="0"/>
              <w:bottom w:val="single" w:color="000000" w:sz="6" w:space="0"/>
            </w:tcBorders>
            <w:vAlign w:val="center"/>
          </w:tcPr>
          <w:p w14:paraId="6836E4A1">
            <w:pPr>
              <w:jc w:val="center"/>
              <w:rPr>
                <w:sz w:val="18"/>
                <w:szCs w:val="18"/>
              </w:rPr>
            </w:pPr>
            <w:r>
              <w:rPr>
                <w:rFonts w:ascii="Arial" w:hAnsi="Arial"/>
                <w:b/>
                <w:sz w:val="18"/>
                <w:szCs w:val="18"/>
              </w:rPr>
              <w:t>Q2 (n=161)</w:t>
            </w:r>
          </w:p>
        </w:tc>
        <w:tc>
          <w:tcPr>
            <w:tcW w:w="1461" w:type="dxa"/>
            <w:tcBorders>
              <w:top w:val="single" w:color="000000" w:sz="8" w:space="0"/>
              <w:bottom w:val="single" w:color="000000" w:sz="6" w:space="0"/>
            </w:tcBorders>
            <w:vAlign w:val="center"/>
          </w:tcPr>
          <w:p w14:paraId="3FE60455">
            <w:pPr>
              <w:jc w:val="center"/>
              <w:rPr>
                <w:sz w:val="18"/>
                <w:szCs w:val="18"/>
              </w:rPr>
            </w:pPr>
            <w:r>
              <w:rPr>
                <w:rFonts w:ascii="Arial" w:hAnsi="Arial"/>
                <w:b/>
                <w:sz w:val="18"/>
                <w:szCs w:val="18"/>
              </w:rPr>
              <w:t>Q3 (n=161)</w:t>
            </w:r>
          </w:p>
        </w:tc>
        <w:tc>
          <w:tcPr>
            <w:tcW w:w="1461" w:type="dxa"/>
            <w:tcBorders>
              <w:top w:val="single" w:color="000000" w:sz="8" w:space="0"/>
              <w:bottom w:val="single" w:color="000000" w:sz="6" w:space="0"/>
            </w:tcBorders>
            <w:vAlign w:val="center"/>
          </w:tcPr>
          <w:p w14:paraId="42871C9C">
            <w:pPr>
              <w:jc w:val="center"/>
              <w:rPr>
                <w:sz w:val="18"/>
                <w:szCs w:val="18"/>
              </w:rPr>
            </w:pPr>
            <w:r>
              <w:rPr>
                <w:rFonts w:ascii="Arial" w:hAnsi="Arial"/>
                <w:b/>
                <w:sz w:val="18"/>
                <w:szCs w:val="18"/>
              </w:rPr>
              <w:t>Q4 (n=161)</w:t>
            </w:r>
          </w:p>
        </w:tc>
        <w:tc>
          <w:tcPr>
            <w:tcW w:w="1461" w:type="dxa"/>
            <w:tcBorders>
              <w:top w:val="single" w:color="000000" w:sz="8" w:space="0"/>
              <w:bottom w:val="single" w:color="000000" w:sz="6" w:space="0"/>
            </w:tcBorders>
            <w:vAlign w:val="center"/>
          </w:tcPr>
          <w:p w14:paraId="47C9819F">
            <w:pPr>
              <w:jc w:val="center"/>
              <w:rPr>
                <w:sz w:val="18"/>
                <w:szCs w:val="18"/>
              </w:rPr>
            </w:pPr>
            <w:r>
              <w:rPr>
                <w:rFonts w:ascii="Arial" w:hAnsi="Arial"/>
                <w:b/>
                <w:sz w:val="18"/>
                <w:szCs w:val="18"/>
              </w:rPr>
              <w:t>P value</w:t>
            </w:r>
          </w:p>
        </w:tc>
        <w:tc>
          <w:tcPr>
            <w:tcW w:w="1461" w:type="dxa"/>
            <w:tcBorders>
              <w:top w:val="single" w:color="000000" w:sz="8" w:space="0"/>
              <w:bottom w:val="single" w:color="000000" w:sz="6" w:space="0"/>
            </w:tcBorders>
            <w:vAlign w:val="center"/>
          </w:tcPr>
          <w:p w14:paraId="03699E95">
            <w:pPr>
              <w:jc w:val="center"/>
              <w:rPr>
                <w:sz w:val="18"/>
                <w:szCs w:val="18"/>
              </w:rPr>
            </w:pPr>
            <w:r>
              <w:rPr>
                <w:rFonts w:ascii="Arial" w:hAnsi="Arial"/>
                <w:b/>
                <w:sz w:val="18"/>
                <w:szCs w:val="18"/>
              </w:rPr>
              <w:t>P for trend</w:t>
            </w:r>
          </w:p>
        </w:tc>
      </w:tr>
      <w:tr w14:paraId="3B621EC1">
        <w:tblPrEx>
          <w:tblCellMar>
            <w:top w:w="0" w:type="dxa"/>
            <w:left w:w="108" w:type="dxa"/>
            <w:bottom w:w="0" w:type="dxa"/>
            <w:right w:w="108" w:type="dxa"/>
          </w:tblCellMar>
        </w:tblPrEx>
        <w:trPr>
          <w:jc w:val="center"/>
        </w:trPr>
        <w:tc>
          <w:tcPr>
            <w:tcW w:w="1461" w:type="dxa"/>
            <w:tcBorders>
              <w:bottom w:val="single" w:color="000000" w:sz="8" w:space="0"/>
            </w:tcBorders>
            <w:vAlign w:val="center"/>
          </w:tcPr>
          <w:p w14:paraId="0095A2FA">
            <w:pPr>
              <w:jc w:val="left"/>
              <w:rPr>
                <w:sz w:val="18"/>
                <w:szCs w:val="18"/>
              </w:rPr>
            </w:pPr>
            <w:r>
              <w:rPr>
                <w:rFonts w:ascii="Arial" w:hAnsi="Arial"/>
                <w:sz w:val="18"/>
                <w:szCs w:val="18"/>
              </w:rPr>
              <w:t>Echo or cardiac enzyme abnormality</w:t>
            </w:r>
          </w:p>
        </w:tc>
        <w:tc>
          <w:tcPr>
            <w:tcW w:w="1461" w:type="dxa"/>
            <w:tcBorders>
              <w:bottom w:val="single" w:color="000000" w:sz="8" w:space="0"/>
            </w:tcBorders>
            <w:vAlign w:val="center"/>
          </w:tcPr>
          <w:p w14:paraId="47C624A0">
            <w:pPr>
              <w:jc w:val="center"/>
              <w:rPr>
                <w:sz w:val="18"/>
                <w:szCs w:val="18"/>
              </w:rPr>
            </w:pPr>
            <w:r>
              <w:rPr>
                <w:rFonts w:ascii="Arial" w:hAnsi="Arial"/>
                <w:sz w:val="18"/>
                <w:szCs w:val="18"/>
              </w:rPr>
              <w:t>26 (16.1%)</w:t>
            </w:r>
          </w:p>
        </w:tc>
        <w:tc>
          <w:tcPr>
            <w:tcW w:w="1461" w:type="dxa"/>
            <w:tcBorders>
              <w:bottom w:val="single" w:color="000000" w:sz="8" w:space="0"/>
            </w:tcBorders>
            <w:vAlign w:val="center"/>
          </w:tcPr>
          <w:p w14:paraId="3D4335A9">
            <w:pPr>
              <w:jc w:val="center"/>
              <w:rPr>
                <w:sz w:val="18"/>
                <w:szCs w:val="18"/>
              </w:rPr>
            </w:pPr>
            <w:r>
              <w:rPr>
                <w:rFonts w:ascii="Arial" w:hAnsi="Arial"/>
                <w:sz w:val="18"/>
                <w:szCs w:val="18"/>
              </w:rPr>
              <w:t>33 (20.5%)</w:t>
            </w:r>
          </w:p>
        </w:tc>
        <w:tc>
          <w:tcPr>
            <w:tcW w:w="1461" w:type="dxa"/>
            <w:tcBorders>
              <w:bottom w:val="single" w:color="000000" w:sz="8" w:space="0"/>
            </w:tcBorders>
            <w:vAlign w:val="center"/>
          </w:tcPr>
          <w:p w14:paraId="38DAEFC0">
            <w:pPr>
              <w:jc w:val="center"/>
              <w:rPr>
                <w:sz w:val="18"/>
                <w:szCs w:val="18"/>
              </w:rPr>
            </w:pPr>
            <w:r>
              <w:rPr>
                <w:rFonts w:ascii="Arial" w:hAnsi="Arial"/>
                <w:sz w:val="18"/>
                <w:szCs w:val="18"/>
              </w:rPr>
              <w:t>24 (14.9%)</w:t>
            </w:r>
          </w:p>
        </w:tc>
        <w:tc>
          <w:tcPr>
            <w:tcW w:w="1461" w:type="dxa"/>
            <w:tcBorders>
              <w:bottom w:val="single" w:color="000000" w:sz="8" w:space="0"/>
            </w:tcBorders>
            <w:vAlign w:val="center"/>
          </w:tcPr>
          <w:p w14:paraId="50404375">
            <w:pPr>
              <w:jc w:val="center"/>
              <w:rPr>
                <w:sz w:val="18"/>
                <w:szCs w:val="18"/>
              </w:rPr>
            </w:pPr>
            <w:r>
              <w:rPr>
                <w:rFonts w:ascii="Arial" w:hAnsi="Arial"/>
                <w:sz w:val="18"/>
                <w:szCs w:val="18"/>
              </w:rPr>
              <w:t>37 (23.0%)</w:t>
            </w:r>
          </w:p>
        </w:tc>
        <w:tc>
          <w:tcPr>
            <w:tcW w:w="1461" w:type="dxa"/>
            <w:tcBorders>
              <w:bottom w:val="single" w:color="000000" w:sz="8" w:space="0"/>
            </w:tcBorders>
            <w:vAlign w:val="center"/>
          </w:tcPr>
          <w:p w14:paraId="2D75F4D4">
            <w:pPr>
              <w:jc w:val="center"/>
              <w:rPr>
                <w:sz w:val="18"/>
                <w:szCs w:val="18"/>
              </w:rPr>
            </w:pPr>
            <w:r>
              <w:rPr>
                <w:rFonts w:ascii="Arial" w:hAnsi="Arial"/>
                <w:sz w:val="18"/>
                <w:szCs w:val="18"/>
              </w:rPr>
              <w:t>0.212</w:t>
            </w:r>
          </w:p>
        </w:tc>
        <w:tc>
          <w:tcPr>
            <w:tcW w:w="1461" w:type="dxa"/>
            <w:tcBorders>
              <w:bottom w:val="single" w:color="000000" w:sz="8" w:space="0"/>
            </w:tcBorders>
            <w:vAlign w:val="center"/>
          </w:tcPr>
          <w:p w14:paraId="1ADDE24B">
            <w:pPr>
              <w:jc w:val="center"/>
              <w:rPr>
                <w:sz w:val="18"/>
                <w:szCs w:val="18"/>
              </w:rPr>
            </w:pPr>
            <w:r>
              <w:rPr>
                <w:rFonts w:ascii="Arial" w:hAnsi="Arial"/>
                <w:sz w:val="18"/>
                <w:szCs w:val="18"/>
              </w:rPr>
              <w:t>0.277</w:t>
            </w:r>
          </w:p>
        </w:tc>
      </w:tr>
    </w:tbl>
    <w:p w14:paraId="2A1CA40B">
      <w:pPr>
        <w:spacing w:before="120"/>
        <w:rPr>
          <w:sz w:val="18"/>
          <w:szCs w:val="18"/>
        </w:rPr>
      </w:pPr>
      <w:r>
        <w:rPr>
          <w:rFonts w:ascii="Arial" w:hAnsi="Arial"/>
          <w:sz w:val="18"/>
          <w:szCs w:val="18"/>
        </w:rPr>
        <w:t>Data are presented as number (percentage). This sensitivity endpoint excluded ECG abnormalities. P values were calculated using Pearson's chi-square test; P for trend was calculated using the Cochran-Armitage trend test.</w:t>
      </w:r>
    </w:p>
    <w:p w14:paraId="137B4522">
      <w:r>
        <w:br w:type="page"/>
      </w:r>
    </w:p>
    <w:p w14:paraId="176DE281">
      <w:pPr>
        <w:jc w:val="left"/>
      </w:pPr>
      <w:r>
        <w:rPr>
          <w:rFonts w:ascii="Arial" w:hAnsi="Arial"/>
          <w:b/>
          <w:sz w:val="22"/>
        </w:rPr>
        <w:t>Supplementary Table S4. Cox proportional hazards analysis of the echocardiographic-or-cardiac-enzyme sensitivity endpoint</w:t>
      </w:r>
    </w:p>
    <w:tbl>
      <w:tblPr>
        <w:tblStyle w:val="32"/>
        <w:tblW w:w="0" w:type="auto"/>
        <w:jc w:val="center"/>
        <w:tblLayout w:type="autofit"/>
        <w:tblCellMar>
          <w:top w:w="0" w:type="dxa"/>
          <w:left w:w="108" w:type="dxa"/>
          <w:bottom w:w="0" w:type="dxa"/>
          <w:right w:w="108" w:type="dxa"/>
        </w:tblCellMar>
      </w:tblPr>
      <w:tblGrid>
        <w:gridCol w:w="1704"/>
        <w:gridCol w:w="1704"/>
        <w:gridCol w:w="1704"/>
        <w:gridCol w:w="1704"/>
        <w:gridCol w:w="1704"/>
        <w:gridCol w:w="1704"/>
      </w:tblGrid>
      <w:tr w14:paraId="2AA6F519">
        <w:tblPrEx>
          <w:tblCellMar>
            <w:top w:w="0" w:type="dxa"/>
            <w:left w:w="108" w:type="dxa"/>
            <w:bottom w:w="0" w:type="dxa"/>
            <w:right w:w="108" w:type="dxa"/>
          </w:tblCellMar>
        </w:tblPrEx>
        <w:trPr>
          <w:jc w:val="center"/>
        </w:trPr>
        <w:tc>
          <w:tcPr>
            <w:tcW w:w="1704" w:type="dxa"/>
            <w:tcBorders>
              <w:top w:val="single" w:color="000000" w:sz="8" w:space="0"/>
              <w:bottom w:val="single" w:color="000000" w:sz="6" w:space="0"/>
            </w:tcBorders>
            <w:vAlign w:val="center"/>
          </w:tcPr>
          <w:p w14:paraId="3C37DE04">
            <w:pPr>
              <w:jc w:val="left"/>
              <w:rPr>
                <w:sz w:val="18"/>
                <w:szCs w:val="18"/>
              </w:rPr>
            </w:pPr>
            <w:r>
              <w:rPr>
                <w:rFonts w:ascii="Arial" w:hAnsi="Arial"/>
                <w:b/>
                <w:sz w:val="18"/>
                <w:szCs w:val="18"/>
              </w:rPr>
              <w:t>Comparison</w:t>
            </w:r>
          </w:p>
        </w:tc>
        <w:tc>
          <w:tcPr>
            <w:tcW w:w="1704" w:type="dxa"/>
            <w:tcBorders>
              <w:top w:val="single" w:color="000000" w:sz="8" w:space="0"/>
              <w:bottom w:val="single" w:color="000000" w:sz="6" w:space="0"/>
            </w:tcBorders>
            <w:vAlign w:val="center"/>
          </w:tcPr>
          <w:p w14:paraId="15EB4523">
            <w:pPr>
              <w:jc w:val="center"/>
              <w:rPr>
                <w:sz w:val="18"/>
                <w:szCs w:val="18"/>
              </w:rPr>
            </w:pPr>
            <w:r>
              <w:rPr>
                <w:rFonts w:ascii="Arial" w:hAnsi="Arial"/>
                <w:b/>
                <w:sz w:val="18"/>
                <w:szCs w:val="18"/>
              </w:rPr>
              <w:t>Events</w:t>
            </w:r>
          </w:p>
        </w:tc>
        <w:tc>
          <w:tcPr>
            <w:tcW w:w="1704" w:type="dxa"/>
            <w:tcBorders>
              <w:top w:val="single" w:color="000000" w:sz="8" w:space="0"/>
              <w:bottom w:val="single" w:color="000000" w:sz="6" w:space="0"/>
            </w:tcBorders>
            <w:vAlign w:val="center"/>
          </w:tcPr>
          <w:p w14:paraId="7EDF7C2F">
            <w:pPr>
              <w:jc w:val="center"/>
              <w:rPr>
                <w:sz w:val="18"/>
                <w:szCs w:val="18"/>
              </w:rPr>
            </w:pPr>
            <w:r>
              <w:rPr>
                <w:rFonts w:ascii="Arial" w:hAnsi="Arial"/>
                <w:b/>
                <w:sz w:val="18"/>
                <w:szCs w:val="18"/>
              </w:rPr>
              <w:t>Unadjusted HR (95% CI)</w:t>
            </w:r>
          </w:p>
        </w:tc>
        <w:tc>
          <w:tcPr>
            <w:tcW w:w="1704" w:type="dxa"/>
            <w:tcBorders>
              <w:top w:val="single" w:color="000000" w:sz="8" w:space="0"/>
              <w:bottom w:val="single" w:color="000000" w:sz="6" w:space="0"/>
            </w:tcBorders>
            <w:vAlign w:val="center"/>
          </w:tcPr>
          <w:p w14:paraId="189827B1">
            <w:pPr>
              <w:jc w:val="center"/>
              <w:rPr>
                <w:sz w:val="18"/>
                <w:szCs w:val="18"/>
              </w:rPr>
            </w:pPr>
            <w:r>
              <w:rPr>
                <w:rFonts w:ascii="Arial" w:hAnsi="Arial"/>
                <w:b/>
                <w:sz w:val="18"/>
                <w:szCs w:val="18"/>
              </w:rPr>
              <w:t>P value</w:t>
            </w:r>
          </w:p>
        </w:tc>
        <w:tc>
          <w:tcPr>
            <w:tcW w:w="1704" w:type="dxa"/>
            <w:tcBorders>
              <w:top w:val="single" w:color="000000" w:sz="8" w:space="0"/>
              <w:bottom w:val="single" w:color="000000" w:sz="6" w:space="0"/>
            </w:tcBorders>
            <w:vAlign w:val="center"/>
          </w:tcPr>
          <w:p w14:paraId="19336E04">
            <w:pPr>
              <w:jc w:val="center"/>
              <w:rPr>
                <w:sz w:val="18"/>
                <w:szCs w:val="18"/>
              </w:rPr>
            </w:pPr>
            <w:r>
              <w:rPr>
                <w:rFonts w:ascii="Arial" w:hAnsi="Arial"/>
                <w:b/>
                <w:sz w:val="18"/>
                <w:szCs w:val="18"/>
              </w:rPr>
              <w:t>Adjusted HR (95% CI)</w:t>
            </w:r>
          </w:p>
        </w:tc>
        <w:tc>
          <w:tcPr>
            <w:tcW w:w="1704" w:type="dxa"/>
            <w:tcBorders>
              <w:top w:val="single" w:color="000000" w:sz="8" w:space="0"/>
              <w:bottom w:val="single" w:color="000000" w:sz="6" w:space="0"/>
            </w:tcBorders>
            <w:vAlign w:val="center"/>
          </w:tcPr>
          <w:p w14:paraId="6ADEC82C">
            <w:pPr>
              <w:jc w:val="center"/>
              <w:rPr>
                <w:sz w:val="18"/>
                <w:szCs w:val="18"/>
              </w:rPr>
            </w:pPr>
            <w:r>
              <w:rPr>
                <w:rFonts w:ascii="Arial" w:hAnsi="Arial"/>
                <w:b/>
                <w:sz w:val="18"/>
                <w:szCs w:val="18"/>
              </w:rPr>
              <w:t>P value</w:t>
            </w:r>
          </w:p>
        </w:tc>
      </w:tr>
      <w:tr w14:paraId="089631E1">
        <w:tblPrEx>
          <w:tblCellMar>
            <w:top w:w="0" w:type="dxa"/>
            <w:left w:w="108" w:type="dxa"/>
            <w:bottom w:w="0" w:type="dxa"/>
            <w:right w:w="108" w:type="dxa"/>
          </w:tblCellMar>
        </w:tblPrEx>
        <w:trPr>
          <w:jc w:val="center"/>
        </w:trPr>
        <w:tc>
          <w:tcPr>
            <w:tcW w:w="1704" w:type="dxa"/>
            <w:vAlign w:val="center"/>
          </w:tcPr>
          <w:p w14:paraId="516D7EF7">
            <w:pPr>
              <w:jc w:val="left"/>
              <w:rPr>
                <w:sz w:val="18"/>
                <w:szCs w:val="18"/>
              </w:rPr>
            </w:pPr>
            <w:r>
              <w:rPr>
                <w:rFonts w:ascii="Arial" w:hAnsi="Arial"/>
                <w:sz w:val="18"/>
                <w:szCs w:val="18"/>
              </w:rPr>
              <w:t>Q1 (reference)</w:t>
            </w:r>
          </w:p>
        </w:tc>
        <w:tc>
          <w:tcPr>
            <w:tcW w:w="1704" w:type="dxa"/>
            <w:vAlign w:val="center"/>
          </w:tcPr>
          <w:p w14:paraId="38381E78">
            <w:pPr>
              <w:jc w:val="center"/>
              <w:rPr>
                <w:sz w:val="18"/>
                <w:szCs w:val="18"/>
              </w:rPr>
            </w:pPr>
            <w:r>
              <w:rPr>
                <w:rFonts w:ascii="Arial" w:hAnsi="Arial"/>
                <w:sz w:val="18"/>
                <w:szCs w:val="18"/>
              </w:rPr>
              <w:t>120 overall</w:t>
            </w:r>
          </w:p>
        </w:tc>
        <w:tc>
          <w:tcPr>
            <w:tcW w:w="1704" w:type="dxa"/>
            <w:vAlign w:val="center"/>
          </w:tcPr>
          <w:p w14:paraId="3C96AC13">
            <w:pPr>
              <w:jc w:val="center"/>
              <w:rPr>
                <w:sz w:val="18"/>
                <w:szCs w:val="18"/>
              </w:rPr>
            </w:pPr>
            <w:r>
              <w:rPr>
                <w:rFonts w:ascii="Arial" w:hAnsi="Arial"/>
                <w:sz w:val="18"/>
                <w:szCs w:val="18"/>
              </w:rPr>
              <w:t>1.00 (reference)</w:t>
            </w:r>
          </w:p>
        </w:tc>
        <w:tc>
          <w:tcPr>
            <w:tcW w:w="1704" w:type="dxa"/>
            <w:vAlign w:val="center"/>
          </w:tcPr>
          <w:p w14:paraId="41E736D1">
            <w:pPr>
              <w:jc w:val="center"/>
              <w:rPr>
                <w:sz w:val="18"/>
                <w:szCs w:val="18"/>
              </w:rPr>
            </w:pPr>
            <w:r>
              <w:rPr>
                <w:rFonts w:ascii="Arial" w:hAnsi="Arial"/>
                <w:sz w:val="18"/>
                <w:szCs w:val="18"/>
              </w:rPr>
              <w:t>—</w:t>
            </w:r>
          </w:p>
        </w:tc>
        <w:tc>
          <w:tcPr>
            <w:tcW w:w="1704" w:type="dxa"/>
            <w:vAlign w:val="center"/>
          </w:tcPr>
          <w:p w14:paraId="2756F8A2">
            <w:pPr>
              <w:jc w:val="center"/>
              <w:rPr>
                <w:sz w:val="18"/>
                <w:szCs w:val="18"/>
              </w:rPr>
            </w:pPr>
            <w:r>
              <w:rPr>
                <w:rFonts w:ascii="Arial" w:hAnsi="Arial"/>
                <w:sz w:val="18"/>
                <w:szCs w:val="18"/>
              </w:rPr>
              <w:t>1.00 (reference)</w:t>
            </w:r>
          </w:p>
        </w:tc>
        <w:tc>
          <w:tcPr>
            <w:tcW w:w="1704" w:type="dxa"/>
            <w:vAlign w:val="center"/>
          </w:tcPr>
          <w:p w14:paraId="72D54897">
            <w:pPr>
              <w:jc w:val="center"/>
              <w:rPr>
                <w:sz w:val="18"/>
                <w:szCs w:val="18"/>
              </w:rPr>
            </w:pPr>
            <w:r>
              <w:rPr>
                <w:rFonts w:ascii="Arial" w:hAnsi="Arial"/>
                <w:sz w:val="18"/>
                <w:szCs w:val="18"/>
              </w:rPr>
              <w:t>—</w:t>
            </w:r>
          </w:p>
        </w:tc>
      </w:tr>
      <w:tr w14:paraId="54597D2D">
        <w:tblPrEx>
          <w:tblCellMar>
            <w:top w:w="0" w:type="dxa"/>
            <w:left w:w="108" w:type="dxa"/>
            <w:bottom w:w="0" w:type="dxa"/>
            <w:right w:w="108" w:type="dxa"/>
          </w:tblCellMar>
        </w:tblPrEx>
        <w:trPr>
          <w:jc w:val="center"/>
        </w:trPr>
        <w:tc>
          <w:tcPr>
            <w:tcW w:w="1704" w:type="dxa"/>
            <w:vAlign w:val="center"/>
          </w:tcPr>
          <w:p w14:paraId="3EE3AB3F">
            <w:pPr>
              <w:jc w:val="left"/>
              <w:rPr>
                <w:sz w:val="18"/>
                <w:szCs w:val="18"/>
              </w:rPr>
            </w:pPr>
            <w:r>
              <w:rPr>
                <w:rFonts w:ascii="Arial" w:hAnsi="Arial"/>
                <w:sz w:val="18"/>
                <w:szCs w:val="18"/>
              </w:rPr>
              <w:t>Q2 vs Q1</w:t>
            </w:r>
          </w:p>
        </w:tc>
        <w:tc>
          <w:tcPr>
            <w:tcW w:w="1704" w:type="dxa"/>
            <w:vAlign w:val="center"/>
          </w:tcPr>
          <w:p w14:paraId="38167632">
            <w:pPr>
              <w:jc w:val="center"/>
              <w:rPr>
                <w:sz w:val="18"/>
                <w:szCs w:val="18"/>
              </w:rPr>
            </w:pPr>
          </w:p>
        </w:tc>
        <w:tc>
          <w:tcPr>
            <w:tcW w:w="1704" w:type="dxa"/>
            <w:vAlign w:val="center"/>
          </w:tcPr>
          <w:p w14:paraId="27A7423B">
            <w:pPr>
              <w:jc w:val="center"/>
              <w:rPr>
                <w:sz w:val="18"/>
                <w:szCs w:val="18"/>
              </w:rPr>
            </w:pPr>
            <w:r>
              <w:rPr>
                <w:rFonts w:ascii="Arial" w:hAnsi="Arial"/>
                <w:sz w:val="18"/>
                <w:szCs w:val="18"/>
              </w:rPr>
              <w:t>1.28 (0.77–2.14)</w:t>
            </w:r>
          </w:p>
        </w:tc>
        <w:tc>
          <w:tcPr>
            <w:tcW w:w="1704" w:type="dxa"/>
            <w:vAlign w:val="center"/>
          </w:tcPr>
          <w:p w14:paraId="3E74D646">
            <w:pPr>
              <w:jc w:val="center"/>
              <w:rPr>
                <w:sz w:val="18"/>
                <w:szCs w:val="18"/>
              </w:rPr>
            </w:pPr>
            <w:r>
              <w:rPr>
                <w:rFonts w:ascii="Arial" w:hAnsi="Arial"/>
                <w:sz w:val="18"/>
                <w:szCs w:val="18"/>
              </w:rPr>
              <w:t>0.343</w:t>
            </w:r>
          </w:p>
        </w:tc>
        <w:tc>
          <w:tcPr>
            <w:tcW w:w="1704" w:type="dxa"/>
            <w:vAlign w:val="center"/>
          </w:tcPr>
          <w:p w14:paraId="06A4044D">
            <w:pPr>
              <w:jc w:val="center"/>
              <w:rPr>
                <w:sz w:val="18"/>
                <w:szCs w:val="18"/>
              </w:rPr>
            </w:pPr>
            <w:r>
              <w:rPr>
                <w:rFonts w:ascii="Arial" w:hAnsi="Arial"/>
                <w:sz w:val="18"/>
                <w:szCs w:val="18"/>
              </w:rPr>
              <w:t>1.25 (0.75–2.10)</w:t>
            </w:r>
          </w:p>
        </w:tc>
        <w:tc>
          <w:tcPr>
            <w:tcW w:w="1704" w:type="dxa"/>
            <w:vAlign w:val="center"/>
          </w:tcPr>
          <w:p w14:paraId="2C2F4DBB">
            <w:pPr>
              <w:jc w:val="center"/>
              <w:rPr>
                <w:sz w:val="18"/>
                <w:szCs w:val="18"/>
              </w:rPr>
            </w:pPr>
            <w:r>
              <w:rPr>
                <w:rFonts w:ascii="Arial" w:hAnsi="Arial"/>
                <w:sz w:val="18"/>
                <w:szCs w:val="18"/>
              </w:rPr>
              <w:t>0.393</w:t>
            </w:r>
          </w:p>
        </w:tc>
      </w:tr>
      <w:tr w14:paraId="463183B5">
        <w:tblPrEx>
          <w:tblCellMar>
            <w:top w:w="0" w:type="dxa"/>
            <w:left w:w="108" w:type="dxa"/>
            <w:bottom w:w="0" w:type="dxa"/>
            <w:right w:w="108" w:type="dxa"/>
          </w:tblCellMar>
        </w:tblPrEx>
        <w:trPr>
          <w:jc w:val="center"/>
        </w:trPr>
        <w:tc>
          <w:tcPr>
            <w:tcW w:w="1704" w:type="dxa"/>
            <w:vAlign w:val="center"/>
          </w:tcPr>
          <w:p w14:paraId="021232CA">
            <w:pPr>
              <w:jc w:val="left"/>
              <w:rPr>
                <w:sz w:val="18"/>
                <w:szCs w:val="18"/>
              </w:rPr>
            </w:pPr>
            <w:r>
              <w:rPr>
                <w:rFonts w:ascii="Arial" w:hAnsi="Arial"/>
                <w:sz w:val="18"/>
                <w:szCs w:val="18"/>
              </w:rPr>
              <w:t>Q3 vs Q1</w:t>
            </w:r>
          </w:p>
        </w:tc>
        <w:tc>
          <w:tcPr>
            <w:tcW w:w="1704" w:type="dxa"/>
            <w:vAlign w:val="center"/>
          </w:tcPr>
          <w:p w14:paraId="5722BC9C">
            <w:pPr>
              <w:jc w:val="center"/>
              <w:rPr>
                <w:sz w:val="18"/>
                <w:szCs w:val="18"/>
              </w:rPr>
            </w:pPr>
          </w:p>
        </w:tc>
        <w:tc>
          <w:tcPr>
            <w:tcW w:w="1704" w:type="dxa"/>
            <w:vAlign w:val="center"/>
          </w:tcPr>
          <w:p w14:paraId="09A02A93">
            <w:pPr>
              <w:jc w:val="center"/>
              <w:rPr>
                <w:sz w:val="18"/>
                <w:szCs w:val="18"/>
              </w:rPr>
            </w:pPr>
            <w:r>
              <w:rPr>
                <w:rFonts w:ascii="Arial" w:hAnsi="Arial"/>
                <w:sz w:val="18"/>
                <w:szCs w:val="18"/>
              </w:rPr>
              <w:t>0.83 (0.48–1.45)</w:t>
            </w:r>
          </w:p>
        </w:tc>
        <w:tc>
          <w:tcPr>
            <w:tcW w:w="1704" w:type="dxa"/>
            <w:vAlign w:val="center"/>
          </w:tcPr>
          <w:p w14:paraId="6CEF42F2">
            <w:pPr>
              <w:jc w:val="center"/>
              <w:rPr>
                <w:sz w:val="18"/>
                <w:szCs w:val="18"/>
              </w:rPr>
            </w:pPr>
            <w:r>
              <w:rPr>
                <w:rFonts w:ascii="Arial" w:hAnsi="Arial"/>
                <w:sz w:val="18"/>
                <w:szCs w:val="18"/>
              </w:rPr>
              <w:t>0.510</w:t>
            </w:r>
          </w:p>
        </w:tc>
        <w:tc>
          <w:tcPr>
            <w:tcW w:w="1704" w:type="dxa"/>
            <w:vAlign w:val="center"/>
          </w:tcPr>
          <w:p w14:paraId="05055CC6">
            <w:pPr>
              <w:jc w:val="center"/>
              <w:rPr>
                <w:sz w:val="18"/>
                <w:szCs w:val="18"/>
              </w:rPr>
            </w:pPr>
            <w:r>
              <w:rPr>
                <w:rFonts w:ascii="Arial" w:hAnsi="Arial"/>
                <w:sz w:val="18"/>
                <w:szCs w:val="18"/>
              </w:rPr>
              <w:t>0.82 (0.47–1.43)</w:t>
            </w:r>
          </w:p>
        </w:tc>
        <w:tc>
          <w:tcPr>
            <w:tcW w:w="1704" w:type="dxa"/>
            <w:vAlign w:val="center"/>
          </w:tcPr>
          <w:p w14:paraId="468AC705">
            <w:pPr>
              <w:jc w:val="center"/>
              <w:rPr>
                <w:sz w:val="18"/>
                <w:szCs w:val="18"/>
              </w:rPr>
            </w:pPr>
            <w:r>
              <w:rPr>
                <w:rFonts w:ascii="Arial" w:hAnsi="Arial"/>
                <w:sz w:val="18"/>
                <w:szCs w:val="18"/>
              </w:rPr>
              <w:t>0.479</w:t>
            </w:r>
          </w:p>
        </w:tc>
      </w:tr>
      <w:tr w14:paraId="37ECF2F5">
        <w:tblPrEx>
          <w:tblCellMar>
            <w:top w:w="0" w:type="dxa"/>
            <w:left w:w="108" w:type="dxa"/>
            <w:bottom w:w="0" w:type="dxa"/>
            <w:right w:w="108" w:type="dxa"/>
          </w:tblCellMar>
        </w:tblPrEx>
        <w:trPr>
          <w:jc w:val="center"/>
        </w:trPr>
        <w:tc>
          <w:tcPr>
            <w:tcW w:w="1704" w:type="dxa"/>
            <w:vAlign w:val="center"/>
          </w:tcPr>
          <w:p w14:paraId="6D703840">
            <w:pPr>
              <w:jc w:val="left"/>
              <w:rPr>
                <w:sz w:val="18"/>
                <w:szCs w:val="18"/>
              </w:rPr>
            </w:pPr>
            <w:r>
              <w:rPr>
                <w:rFonts w:ascii="Arial" w:hAnsi="Arial"/>
                <w:sz w:val="18"/>
                <w:szCs w:val="18"/>
              </w:rPr>
              <w:t>Q4 vs Q1</w:t>
            </w:r>
          </w:p>
        </w:tc>
        <w:tc>
          <w:tcPr>
            <w:tcW w:w="1704" w:type="dxa"/>
            <w:vAlign w:val="center"/>
          </w:tcPr>
          <w:p w14:paraId="14E7076A">
            <w:pPr>
              <w:jc w:val="center"/>
              <w:rPr>
                <w:sz w:val="18"/>
                <w:szCs w:val="18"/>
              </w:rPr>
            </w:pPr>
          </w:p>
        </w:tc>
        <w:tc>
          <w:tcPr>
            <w:tcW w:w="1704" w:type="dxa"/>
            <w:vAlign w:val="center"/>
          </w:tcPr>
          <w:p w14:paraId="4A89F693">
            <w:pPr>
              <w:jc w:val="center"/>
              <w:rPr>
                <w:sz w:val="18"/>
                <w:szCs w:val="18"/>
              </w:rPr>
            </w:pPr>
            <w:r>
              <w:rPr>
                <w:rFonts w:ascii="Arial" w:hAnsi="Arial"/>
                <w:sz w:val="18"/>
                <w:szCs w:val="18"/>
              </w:rPr>
              <w:t>1.40 (0.85–2.32)</w:t>
            </w:r>
          </w:p>
        </w:tc>
        <w:tc>
          <w:tcPr>
            <w:tcW w:w="1704" w:type="dxa"/>
            <w:vAlign w:val="center"/>
          </w:tcPr>
          <w:p w14:paraId="083E8EA0">
            <w:pPr>
              <w:jc w:val="center"/>
              <w:rPr>
                <w:sz w:val="18"/>
                <w:szCs w:val="18"/>
              </w:rPr>
            </w:pPr>
            <w:r>
              <w:rPr>
                <w:rFonts w:ascii="Arial" w:hAnsi="Arial"/>
                <w:sz w:val="18"/>
                <w:szCs w:val="18"/>
              </w:rPr>
              <w:t>0.188</w:t>
            </w:r>
          </w:p>
        </w:tc>
        <w:tc>
          <w:tcPr>
            <w:tcW w:w="1704" w:type="dxa"/>
            <w:vAlign w:val="center"/>
          </w:tcPr>
          <w:p w14:paraId="4A9847CF">
            <w:pPr>
              <w:jc w:val="center"/>
              <w:rPr>
                <w:sz w:val="18"/>
                <w:szCs w:val="18"/>
              </w:rPr>
            </w:pPr>
            <w:r>
              <w:rPr>
                <w:rFonts w:ascii="Arial" w:hAnsi="Arial"/>
                <w:sz w:val="18"/>
                <w:szCs w:val="18"/>
              </w:rPr>
              <w:t>1.38 (0.83–2.29)</w:t>
            </w:r>
          </w:p>
        </w:tc>
        <w:tc>
          <w:tcPr>
            <w:tcW w:w="1704" w:type="dxa"/>
            <w:vAlign w:val="center"/>
          </w:tcPr>
          <w:p w14:paraId="0C65DBD9">
            <w:pPr>
              <w:jc w:val="center"/>
              <w:rPr>
                <w:sz w:val="18"/>
                <w:szCs w:val="18"/>
              </w:rPr>
            </w:pPr>
            <w:r>
              <w:rPr>
                <w:rFonts w:ascii="Arial" w:hAnsi="Arial"/>
                <w:sz w:val="18"/>
                <w:szCs w:val="18"/>
              </w:rPr>
              <w:t>0.216</w:t>
            </w:r>
          </w:p>
        </w:tc>
      </w:tr>
      <w:tr w14:paraId="495FB41A">
        <w:tblPrEx>
          <w:tblCellMar>
            <w:top w:w="0" w:type="dxa"/>
            <w:left w:w="108" w:type="dxa"/>
            <w:bottom w:w="0" w:type="dxa"/>
            <w:right w:w="108" w:type="dxa"/>
          </w:tblCellMar>
        </w:tblPrEx>
        <w:trPr>
          <w:jc w:val="center"/>
        </w:trPr>
        <w:tc>
          <w:tcPr>
            <w:tcW w:w="1704" w:type="dxa"/>
            <w:tcBorders>
              <w:bottom w:val="single" w:color="000000" w:sz="8" w:space="0"/>
            </w:tcBorders>
            <w:vAlign w:val="center"/>
          </w:tcPr>
          <w:p w14:paraId="7E0D6B39">
            <w:pPr>
              <w:jc w:val="left"/>
              <w:rPr>
                <w:sz w:val="18"/>
                <w:szCs w:val="18"/>
              </w:rPr>
            </w:pPr>
            <w:r>
              <w:rPr>
                <w:rFonts w:ascii="Arial" w:hAnsi="Arial"/>
                <w:sz w:val="18"/>
                <w:szCs w:val="18"/>
              </w:rPr>
              <w:t>Per quartile increase</w:t>
            </w:r>
          </w:p>
        </w:tc>
        <w:tc>
          <w:tcPr>
            <w:tcW w:w="1704" w:type="dxa"/>
            <w:tcBorders>
              <w:bottom w:val="single" w:color="000000" w:sz="8" w:space="0"/>
            </w:tcBorders>
            <w:vAlign w:val="center"/>
          </w:tcPr>
          <w:p w14:paraId="7A3FEEF9">
            <w:pPr>
              <w:jc w:val="center"/>
              <w:rPr>
                <w:sz w:val="18"/>
                <w:szCs w:val="18"/>
              </w:rPr>
            </w:pPr>
          </w:p>
        </w:tc>
        <w:tc>
          <w:tcPr>
            <w:tcW w:w="1704" w:type="dxa"/>
            <w:tcBorders>
              <w:bottom w:val="single" w:color="000000" w:sz="8" w:space="0"/>
            </w:tcBorders>
            <w:vAlign w:val="center"/>
          </w:tcPr>
          <w:p w14:paraId="35A17255">
            <w:pPr>
              <w:jc w:val="center"/>
              <w:rPr>
                <w:sz w:val="18"/>
                <w:szCs w:val="18"/>
              </w:rPr>
            </w:pPr>
            <w:r>
              <w:rPr>
                <w:rFonts w:ascii="Arial" w:hAnsi="Arial"/>
                <w:sz w:val="18"/>
                <w:szCs w:val="18"/>
              </w:rPr>
              <w:t>—</w:t>
            </w:r>
          </w:p>
        </w:tc>
        <w:tc>
          <w:tcPr>
            <w:tcW w:w="1704" w:type="dxa"/>
            <w:tcBorders>
              <w:bottom w:val="single" w:color="000000" w:sz="8" w:space="0"/>
            </w:tcBorders>
            <w:vAlign w:val="center"/>
          </w:tcPr>
          <w:p w14:paraId="209F21D2">
            <w:pPr>
              <w:jc w:val="center"/>
              <w:rPr>
                <w:sz w:val="18"/>
                <w:szCs w:val="18"/>
              </w:rPr>
            </w:pPr>
            <w:r>
              <w:rPr>
                <w:rFonts w:ascii="Arial" w:hAnsi="Arial"/>
                <w:sz w:val="18"/>
                <w:szCs w:val="18"/>
              </w:rPr>
              <w:t>—</w:t>
            </w:r>
          </w:p>
        </w:tc>
        <w:tc>
          <w:tcPr>
            <w:tcW w:w="1704" w:type="dxa"/>
            <w:tcBorders>
              <w:bottom w:val="single" w:color="000000" w:sz="8" w:space="0"/>
            </w:tcBorders>
            <w:vAlign w:val="center"/>
          </w:tcPr>
          <w:p w14:paraId="6919D465">
            <w:pPr>
              <w:jc w:val="center"/>
              <w:rPr>
                <w:sz w:val="18"/>
                <w:szCs w:val="18"/>
              </w:rPr>
            </w:pPr>
            <w:r>
              <w:rPr>
                <w:rFonts w:ascii="Arial" w:hAnsi="Arial"/>
                <w:sz w:val="18"/>
                <w:szCs w:val="18"/>
              </w:rPr>
              <w:t>1.06 (0.90–1.25)</w:t>
            </w:r>
          </w:p>
        </w:tc>
        <w:tc>
          <w:tcPr>
            <w:tcW w:w="1704" w:type="dxa"/>
            <w:tcBorders>
              <w:bottom w:val="single" w:color="000000" w:sz="8" w:space="0"/>
            </w:tcBorders>
            <w:vAlign w:val="center"/>
          </w:tcPr>
          <w:p w14:paraId="0E94F72A">
            <w:pPr>
              <w:jc w:val="center"/>
              <w:rPr>
                <w:sz w:val="18"/>
                <w:szCs w:val="18"/>
              </w:rPr>
            </w:pPr>
            <w:r>
              <w:rPr>
                <w:rFonts w:ascii="Arial" w:hAnsi="Arial"/>
                <w:sz w:val="18"/>
                <w:szCs w:val="18"/>
              </w:rPr>
              <w:t>0.466</w:t>
            </w:r>
          </w:p>
        </w:tc>
      </w:tr>
    </w:tbl>
    <w:p w14:paraId="7B92AB6B">
      <w:pPr>
        <w:spacing w:before="120"/>
        <w:jc w:val="both"/>
        <w:rPr>
          <w:sz w:val="18"/>
          <w:szCs w:val="18"/>
        </w:rPr>
      </w:pPr>
      <w:r>
        <w:rPr>
          <w:rFonts w:ascii="Arial" w:hAnsi="Arial"/>
          <w:sz w:val="18"/>
          <w:szCs w:val="18"/>
        </w:rPr>
        <w:t>HR, hazard ratio; CI, confidence interval. The endpoint comprised incident echocardiographic or cardiac enzyme abnormalities and excluded ECG abnormalities. Q1 was the reference group. Adjusted models included age at diagnosis and sex. The trend model treated dose quartile as an ordinal variable (1</w:t>
      </w:r>
      <w:r>
        <w:rPr>
          <w:rFonts w:hint="eastAsia" w:eastAsia="宋体"/>
          <w:sz w:val="18"/>
          <w:szCs w:val="18"/>
          <w:lang w:val="en-US" w:eastAsia="zh-CN"/>
        </w:rPr>
        <w:t>-</w:t>
      </w:r>
      <w:r>
        <w:rPr>
          <w:rFonts w:ascii="Arial" w:hAnsi="Arial"/>
          <w:sz w:val="18"/>
          <w:szCs w:val="18"/>
        </w:rPr>
        <w:t>4).</w:t>
      </w:r>
    </w:p>
    <w:p w14:paraId="6C76207A">
      <w:r>
        <w:br w:type="page"/>
      </w:r>
    </w:p>
    <w:p w14:paraId="5CE77D61">
      <w:r>
        <w:rPr>
          <w:rFonts w:ascii="Arial" w:hAnsi="Arial"/>
          <w:b/>
          <w:sz w:val="22"/>
        </w:rPr>
        <w:t>Supplementary Table S5. Exploratory subgroup analyses of incident echocardiographic abnormality</w:t>
      </w:r>
    </w:p>
    <w:tbl>
      <w:tblPr>
        <w:tblStyle w:val="32"/>
        <w:tblW w:w="0" w:type="auto"/>
        <w:jc w:val="center"/>
        <w:tblLayout w:type="autofit"/>
        <w:tblCellMar>
          <w:top w:w="0" w:type="dxa"/>
          <w:left w:w="108" w:type="dxa"/>
          <w:bottom w:w="0" w:type="dxa"/>
          <w:right w:w="108" w:type="dxa"/>
        </w:tblCellMar>
      </w:tblPr>
      <w:tblGrid>
        <w:gridCol w:w="2045"/>
        <w:gridCol w:w="2045"/>
        <w:gridCol w:w="2045"/>
        <w:gridCol w:w="2045"/>
        <w:gridCol w:w="2045"/>
      </w:tblGrid>
      <w:tr w14:paraId="160F69F6">
        <w:tblPrEx>
          <w:tblCellMar>
            <w:top w:w="0" w:type="dxa"/>
            <w:left w:w="108" w:type="dxa"/>
            <w:bottom w:w="0" w:type="dxa"/>
            <w:right w:w="108" w:type="dxa"/>
          </w:tblCellMar>
        </w:tblPrEx>
        <w:trPr>
          <w:jc w:val="center"/>
        </w:trPr>
        <w:tc>
          <w:tcPr>
            <w:tcW w:w="2045" w:type="dxa"/>
            <w:tcBorders>
              <w:top w:val="single" w:color="000000" w:sz="8" w:space="0"/>
              <w:bottom w:val="single" w:color="000000" w:sz="6" w:space="0"/>
            </w:tcBorders>
            <w:vAlign w:val="center"/>
          </w:tcPr>
          <w:p w14:paraId="57D795D4">
            <w:pPr>
              <w:jc w:val="left"/>
              <w:rPr>
                <w:rFonts w:hint="default" w:ascii="Arial" w:hAnsi="Arial" w:cs="Arial"/>
                <w:sz w:val="18"/>
                <w:szCs w:val="18"/>
              </w:rPr>
            </w:pPr>
            <w:r>
              <w:rPr>
                <w:rFonts w:hint="default" w:ascii="Arial" w:hAnsi="Arial" w:cs="Arial"/>
                <w:b/>
                <w:sz w:val="18"/>
                <w:szCs w:val="18"/>
              </w:rPr>
              <w:t>Subgroup</w:t>
            </w:r>
          </w:p>
        </w:tc>
        <w:tc>
          <w:tcPr>
            <w:tcW w:w="2045" w:type="dxa"/>
            <w:tcBorders>
              <w:top w:val="single" w:color="000000" w:sz="8" w:space="0"/>
              <w:bottom w:val="single" w:color="000000" w:sz="6" w:space="0"/>
            </w:tcBorders>
            <w:vAlign w:val="center"/>
          </w:tcPr>
          <w:p w14:paraId="6478587F">
            <w:pPr>
              <w:jc w:val="left"/>
              <w:rPr>
                <w:rFonts w:hint="default" w:ascii="Arial" w:hAnsi="Arial" w:cs="Arial"/>
                <w:sz w:val="18"/>
                <w:szCs w:val="18"/>
              </w:rPr>
            </w:pPr>
            <w:r>
              <w:rPr>
                <w:rFonts w:hint="default" w:ascii="Arial" w:hAnsi="Arial" w:cs="Arial"/>
                <w:b/>
                <w:sz w:val="18"/>
                <w:szCs w:val="18"/>
              </w:rPr>
              <w:t>Level</w:t>
            </w:r>
          </w:p>
        </w:tc>
        <w:tc>
          <w:tcPr>
            <w:tcW w:w="2045" w:type="dxa"/>
            <w:tcBorders>
              <w:top w:val="single" w:color="000000" w:sz="8" w:space="0"/>
              <w:bottom w:val="single" w:color="000000" w:sz="6" w:space="0"/>
            </w:tcBorders>
            <w:vAlign w:val="center"/>
          </w:tcPr>
          <w:p w14:paraId="314FDABD">
            <w:pPr>
              <w:jc w:val="center"/>
              <w:rPr>
                <w:rFonts w:hint="default" w:ascii="Arial" w:hAnsi="Arial" w:cs="Arial"/>
                <w:sz w:val="18"/>
                <w:szCs w:val="18"/>
              </w:rPr>
            </w:pPr>
            <w:r>
              <w:rPr>
                <w:rFonts w:hint="default" w:ascii="Arial" w:hAnsi="Arial" w:cs="Arial"/>
                <w:b/>
                <w:sz w:val="18"/>
                <w:szCs w:val="18"/>
              </w:rPr>
              <w:t>N / events</w:t>
            </w:r>
          </w:p>
        </w:tc>
        <w:tc>
          <w:tcPr>
            <w:tcW w:w="2045" w:type="dxa"/>
            <w:tcBorders>
              <w:top w:val="single" w:color="000000" w:sz="8" w:space="0"/>
              <w:bottom w:val="single" w:color="000000" w:sz="6" w:space="0"/>
            </w:tcBorders>
            <w:vAlign w:val="center"/>
          </w:tcPr>
          <w:p w14:paraId="45CB2D75">
            <w:pPr>
              <w:jc w:val="center"/>
              <w:rPr>
                <w:rFonts w:hint="default" w:ascii="Arial" w:hAnsi="Arial" w:cs="Arial"/>
                <w:sz w:val="18"/>
                <w:szCs w:val="18"/>
              </w:rPr>
            </w:pPr>
            <w:r>
              <w:rPr>
                <w:rFonts w:hint="default" w:ascii="Arial" w:hAnsi="Arial" w:cs="Arial"/>
                <w:b/>
                <w:sz w:val="18"/>
                <w:szCs w:val="18"/>
              </w:rPr>
              <w:t>HR per one-quartile increase (95% CI)</w:t>
            </w:r>
          </w:p>
        </w:tc>
        <w:tc>
          <w:tcPr>
            <w:tcW w:w="2045" w:type="dxa"/>
            <w:tcBorders>
              <w:top w:val="single" w:color="000000" w:sz="8" w:space="0"/>
              <w:bottom w:val="single" w:color="000000" w:sz="6" w:space="0"/>
            </w:tcBorders>
            <w:vAlign w:val="center"/>
          </w:tcPr>
          <w:p w14:paraId="793E30F8">
            <w:pPr>
              <w:jc w:val="center"/>
              <w:rPr>
                <w:rFonts w:hint="default" w:ascii="Arial" w:hAnsi="Arial" w:cs="Arial"/>
                <w:sz w:val="18"/>
                <w:szCs w:val="18"/>
              </w:rPr>
            </w:pPr>
            <w:r>
              <w:rPr>
                <w:rFonts w:hint="default" w:ascii="Arial" w:hAnsi="Arial" w:cs="Arial"/>
                <w:b/>
                <w:sz w:val="18"/>
                <w:szCs w:val="18"/>
              </w:rPr>
              <w:t>Interaction P</w:t>
            </w:r>
          </w:p>
        </w:tc>
      </w:tr>
      <w:tr w14:paraId="268B1C33">
        <w:tblPrEx>
          <w:tblCellMar>
            <w:top w:w="0" w:type="dxa"/>
            <w:left w:w="108" w:type="dxa"/>
            <w:bottom w:w="0" w:type="dxa"/>
            <w:right w:w="108" w:type="dxa"/>
          </w:tblCellMar>
        </w:tblPrEx>
        <w:trPr>
          <w:jc w:val="center"/>
        </w:trPr>
        <w:tc>
          <w:tcPr>
            <w:tcW w:w="2045" w:type="dxa"/>
            <w:vAlign w:val="center"/>
          </w:tcPr>
          <w:p w14:paraId="021F7333">
            <w:pPr>
              <w:jc w:val="left"/>
              <w:rPr>
                <w:rFonts w:hint="default" w:ascii="Arial" w:hAnsi="Arial" w:cs="Arial"/>
                <w:sz w:val="18"/>
                <w:szCs w:val="18"/>
              </w:rPr>
            </w:pPr>
            <w:r>
              <w:rPr>
                <w:rFonts w:hint="default" w:ascii="Arial" w:hAnsi="Arial" w:cs="Arial"/>
                <w:b w:val="0"/>
                <w:sz w:val="18"/>
                <w:szCs w:val="18"/>
              </w:rPr>
              <w:t>Age group</w:t>
            </w:r>
          </w:p>
        </w:tc>
        <w:tc>
          <w:tcPr>
            <w:tcW w:w="2045" w:type="dxa"/>
            <w:vAlign w:val="center"/>
          </w:tcPr>
          <w:p w14:paraId="3BB24939">
            <w:pPr>
              <w:jc w:val="left"/>
              <w:rPr>
                <w:rFonts w:hint="default" w:ascii="Arial" w:hAnsi="Arial" w:cs="Arial"/>
                <w:sz w:val="18"/>
                <w:szCs w:val="18"/>
              </w:rPr>
            </w:pPr>
            <w:r>
              <w:rPr>
                <w:rFonts w:hint="default" w:ascii="Arial" w:hAnsi="Arial" w:cs="Arial"/>
                <w:b w:val="0"/>
                <w:sz w:val="18"/>
                <w:szCs w:val="18"/>
              </w:rPr>
              <w:t>&lt;5 years</w:t>
            </w:r>
          </w:p>
        </w:tc>
        <w:tc>
          <w:tcPr>
            <w:tcW w:w="2045" w:type="dxa"/>
            <w:vAlign w:val="center"/>
          </w:tcPr>
          <w:p w14:paraId="7089DCB9">
            <w:pPr>
              <w:jc w:val="center"/>
              <w:rPr>
                <w:rFonts w:hint="default" w:ascii="Arial" w:hAnsi="Arial" w:cs="Arial"/>
                <w:sz w:val="18"/>
                <w:szCs w:val="18"/>
              </w:rPr>
            </w:pPr>
            <w:r>
              <w:rPr>
                <w:rFonts w:hint="default" w:ascii="Arial" w:hAnsi="Arial" w:cs="Arial"/>
                <w:b w:val="0"/>
                <w:sz w:val="18"/>
                <w:szCs w:val="18"/>
              </w:rPr>
              <w:t>242 / 3</w:t>
            </w:r>
          </w:p>
        </w:tc>
        <w:tc>
          <w:tcPr>
            <w:tcW w:w="2045" w:type="dxa"/>
            <w:vAlign w:val="center"/>
          </w:tcPr>
          <w:p w14:paraId="07F2E24C">
            <w:pPr>
              <w:jc w:val="center"/>
              <w:rPr>
                <w:rFonts w:hint="default" w:ascii="Arial" w:hAnsi="Arial" w:cs="Arial"/>
                <w:sz w:val="18"/>
                <w:szCs w:val="18"/>
              </w:rPr>
            </w:pPr>
            <w:r>
              <w:rPr>
                <w:rFonts w:hint="default" w:ascii="Arial" w:hAnsi="Arial" w:cs="Arial"/>
                <w:b w:val="0"/>
                <w:sz w:val="18"/>
                <w:szCs w:val="18"/>
              </w:rPr>
              <w:t>NE</w:t>
            </w:r>
          </w:p>
        </w:tc>
        <w:tc>
          <w:tcPr>
            <w:tcW w:w="2045" w:type="dxa"/>
            <w:vAlign w:val="center"/>
          </w:tcPr>
          <w:p w14:paraId="5CF65B5A">
            <w:pPr>
              <w:jc w:val="center"/>
              <w:rPr>
                <w:rFonts w:hint="default" w:ascii="Arial" w:hAnsi="Arial" w:cs="Arial"/>
                <w:sz w:val="18"/>
                <w:szCs w:val="18"/>
              </w:rPr>
            </w:pPr>
            <w:r>
              <w:rPr>
                <w:rFonts w:hint="default" w:ascii="Arial" w:hAnsi="Arial" w:cs="Arial"/>
                <w:b w:val="0"/>
                <w:sz w:val="18"/>
                <w:szCs w:val="18"/>
              </w:rPr>
              <w:t>0.459</w:t>
            </w:r>
          </w:p>
        </w:tc>
      </w:tr>
      <w:tr w14:paraId="7CE28DEF">
        <w:tblPrEx>
          <w:tblCellMar>
            <w:top w:w="0" w:type="dxa"/>
            <w:left w:w="108" w:type="dxa"/>
            <w:bottom w:w="0" w:type="dxa"/>
            <w:right w:w="108" w:type="dxa"/>
          </w:tblCellMar>
        </w:tblPrEx>
        <w:trPr>
          <w:jc w:val="center"/>
        </w:trPr>
        <w:tc>
          <w:tcPr>
            <w:tcW w:w="2045" w:type="dxa"/>
            <w:vAlign w:val="center"/>
          </w:tcPr>
          <w:p w14:paraId="74968856">
            <w:pPr>
              <w:jc w:val="left"/>
              <w:rPr>
                <w:rFonts w:hint="default" w:ascii="Arial" w:hAnsi="Arial" w:cs="Arial"/>
                <w:sz w:val="18"/>
                <w:szCs w:val="18"/>
              </w:rPr>
            </w:pPr>
          </w:p>
        </w:tc>
        <w:tc>
          <w:tcPr>
            <w:tcW w:w="2045" w:type="dxa"/>
            <w:vAlign w:val="center"/>
          </w:tcPr>
          <w:p w14:paraId="294C5E00">
            <w:pPr>
              <w:jc w:val="left"/>
              <w:rPr>
                <w:rFonts w:hint="default" w:ascii="Arial" w:hAnsi="Arial" w:cs="Arial"/>
                <w:sz w:val="18"/>
                <w:szCs w:val="18"/>
              </w:rPr>
            </w:pPr>
            <w:r>
              <w:rPr>
                <w:rFonts w:hint="default" w:ascii="Arial" w:hAnsi="Arial" w:cs="Arial"/>
                <w:b w:val="0"/>
                <w:sz w:val="18"/>
                <w:szCs w:val="18"/>
              </w:rPr>
              <w:t>≥5 years</w:t>
            </w:r>
          </w:p>
        </w:tc>
        <w:tc>
          <w:tcPr>
            <w:tcW w:w="2045" w:type="dxa"/>
            <w:vAlign w:val="center"/>
          </w:tcPr>
          <w:p w14:paraId="07903B9C">
            <w:pPr>
              <w:jc w:val="center"/>
              <w:rPr>
                <w:rFonts w:hint="default" w:ascii="Arial" w:hAnsi="Arial" w:cs="Arial"/>
                <w:sz w:val="18"/>
                <w:szCs w:val="18"/>
              </w:rPr>
            </w:pPr>
            <w:r>
              <w:rPr>
                <w:rFonts w:hint="default" w:ascii="Arial" w:hAnsi="Arial" w:cs="Arial"/>
                <w:b w:val="0"/>
                <w:sz w:val="18"/>
                <w:szCs w:val="18"/>
              </w:rPr>
              <w:t>402 / 34</w:t>
            </w:r>
          </w:p>
        </w:tc>
        <w:tc>
          <w:tcPr>
            <w:tcW w:w="2045" w:type="dxa"/>
            <w:vAlign w:val="center"/>
          </w:tcPr>
          <w:p w14:paraId="593B74FA">
            <w:pPr>
              <w:jc w:val="center"/>
              <w:rPr>
                <w:rFonts w:hint="default" w:ascii="Arial" w:hAnsi="Arial" w:cs="Arial"/>
                <w:sz w:val="18"/>
                <w:szCs w:val="18"/>
              </w:rPr>
            </w:pPr>
            <w:r>
              <w:rPr>
                <w:rFonts w:hint="default" w:ascii="Arial" w:hAnsi="Arial" w:cs="Arial"/>
                <w:b w:val="0"/>
                <w:sz w:val="18"/>
                <w:szCs w:val="18"/>
              </w:rPr>
              <w:t>1.23 (0.89</w:t>
            </w:r>
            <w:r>
              <w:rPr>
                <w:rFonts w:hint="default" w:ascii="Arial" w:hAnsi="Arial" w:cs="Arial"/>
                <w:sz w:val="18"/>
                <w:szCs w:val="18"/>
              </w:rPr>
              <w:t>–</w:t>
            </w:r>
            <w:r>
              <w:rPr>
                <w:rFonts w:hint="default" w:ascii="Arial" w:hAnsi="Arial" w:cs="Arial"/>
                <w:b w:val="0"/>
                <w:sz w:val="18"/>
                <w:szCs w:val="18"/>
              </w:rPr>
              <w:t>1.69)</w:t>
            </w:r>
          </w:p>
        </w:tc>
        <w:tc>
          <w:tcPr>
            <w:tcW w:w="2045" w:type="dxa"/>
            <w:vAlign w:val="center"/>
          </w:tcPr>
          <w:p w14:paraId="1363FCD2">
            <w:pPr>
              <w:jc w:val="center"/>
              <w:rPr>
                <w:rFonts w:hint="default" w:ascii="Arial" w:hAnsi="Arial" w:cs="Arial"/>
                <w:sz w:val="18"/>
                <w:szCs w:val="18"/>
              </w:rPr>
            </w:pPr>
          </w:p>
        </w:tc>
      </w:tr>
      <w:tr w14:paraId="6C09CC9E">
        <w:tblPrEx>
          <w:tblCellMar>
            <w:top w:w="0" w:type="dxa"/>
            <w:left w:w="108" w:type="dxa"/>
            <w:bottom w:w="0" w:type="dxa"/>
            <w:right w:w="108" w:type="dxa"/>
          </w:tblCellMar>
        </w:tblPrEx>
        <w:trPr>
          <w:jc w:val="center"/>
        </w:trPr>
        <w:tc>
          <w:tcPr>
            <w:tcW w:w="2045" w:type="dxa"/>
            <w:vAlign w:val="center"/>
          </w:tcPr>
          <w:p w14:paraId="48FF3964">
            <w:pPr>
              <w:jc w:val="left"/>
              <w:rPr>
                <w:rFonts w:hint="default" w:ascii="Arial" w:hAnsi="Arial" w:cs="Arial"/>
                <w:sz w:val="18"/>
                <w:szCs w:val="18"/>
              </w:rPr>
            </w:pPr>
            <w:r>
              <w:rPr>
                <w:rFonts w:hint="default" w:ascii="Arial" w:hAnsi="Arial" w:cs="Arial"/>
                <w:b w:val="0"/>
                <w:sz w:val="18"/>
                <w:szCs w:val="18"/>
              </w:rPr>
              <w:t>Sex</w:t>
            </w:r>
          </w:p>
        </w:tc>
        <w:tc>
          <w:tcPr>
            <w:tcW w:w="2045" w:type="dxa"/>
            <w:vAlign w:val="center"/>
          </w:tcPr>
          <w:p w14:paraId="61F9F690">
            <w:pPr>
              <w:jc w:val="left"/>
              <w:rPr>
                <w:rFonts w:hint="default" w:ascii="Arial" w:hAnsi="Arial" w:cs="Arial"/>
                <w:sz w:val="18"/>
                <w:szCs w:val="18"/>
              </w:rPr>
            </w:pPr>
            <w:r>
              <w:rPr>
                <w:rFonts w:hint="default" w:ascii="Arial" w:hAnsi="Arial" w:cs="Arial"/>
                <w:b w:val="0"/>
                <w:sz w:val="18"/>
                <w:szCs w:val="18"/>
              </w:rPr>
              <w:t>Male</w:t>
            </w:r>
          </w:p>
        </w:tc>
        <w:tc>
          <w:tcPr>
            <w:tcW w:w="2045" w:type="dxa"/>
            <w:vAlign w:val="center"/>
          </w:tcPr>
          <w:p w14:paraId="5C7026E0">
            <w:pPr>
              <w:jc w:val="center"/>
              <w:rPr>
                <w:rFonts w:hint="default" w:ascii="Arial" w:hAnsi="Arial" w:cs="Arial"/>
                <w:sz w:val="18"/>
                <w:szCs w:val="18"/>
              </w:rPr>
            </w:pPr>
            <w:r>
              <w:rPr>
                <w:rFonts w:hint="default" w:ascii="Arial" w:hAnsi="Arial" w:cs="Arial"/>
                <w:b w:val="0"/>
                <w:sz w:val="18"/>
                <w:szCs w:val="18"/>
              </w:rPr>
              <w:t>411 / 25</w:t>
            </w:r>
          </w:p>
        </w:tc>
        <w:tc>
          <w:tcPr>
            <w:tcW w:w="2045" w:type="dxa"/>
            <w:vAlign w:val="center"/>
          </w:tcPr>
          <w:p w14:paraId="31356CB8">
            <w:pPr>
              <w:jc w:val="center"/>
              <w:rPr>
                <w:rFonts w:hint="default" w:ascii="Arial" w:hAnsi="Arial" w:cs="Arial"/>
                <w:sz w:val="18"/>
                <w:szCs w:val="18"/>
              </w:rPr>
            </w:pPr>
            <w:r>
              <w:rPr>
                <w:rFonts w:hint="default" w:ascii="Arial" w:hAnsi="Arial" w:cs="Arial"/>
                <w:b w:val="0"/>
                <w:sz w:val="18"/>
                <w:szCs w:val="18"/>
              </w:rPr>
              <w:t>1.81 (1.20</w:t>
            </w:r>
            <w:r>
              <w:rPr>
                <w:rFonts w:hint="default" w:ascii="Arial" w:hAnsi="Arial" w:cs="Arial"/>
                <w:sz w:val="18"/>
                <w:szCs w:val="18"/>
              </w:rPr>
              <w:t>–</w:t>
            </w:r>
            <w:r>
              <w:rPr>
                <w:rFonts w:hint="default" w:ascii="Arial" w:hAnsi="Arial" w:cs="Arial"/>
                <w:b w:val="0"/>
                <w:sz w:val="18"/>
                <w:szCs w:val="18"/>
              </w:rPr>
              <w:t>2.72)</w:t>
            </w:r>
          </w:p>
        </w:tc>
        <w:tc>
          <w:tcPr>
            <w:tcW w:w="2045" w:type="dxa"/>
            <w:vAlign w:val="center"/>
          </w:tcPr>
          <w:p w14:paraId="0E4D2D6D">
            <w:pPr>
              <w:jc w:val="center"/>
              <w:rPr>
                <w:rFonts w:hint="default" w:ascii="Arial" w:hAnsi="Arial" w:cs="Arial"/>
                <w:sz w:val="18"/>
                <w:szCs w:val="18"/>
              </w:rPr>
            </w:pPr>
            <w:r>
              <w:rPr>
                <w:rFonts w:hint="default" w:ascii="Arial" w:hAnsi="Arial" w:cs="Arial"/>
                <w:b w:val="0"/>
                <w:sz w:val="18"/>
                <w:szCs w:val="18"/>
              </w:rPr>
              <w:t>0.044</w:t>
            </w:r>
          </w:p>
        </w:tc>
      </w:tr>
      <w:tr w14:paraId="57AD8424">
        <w:tblPrEx>
          <w:tblCellMar>
            <w:top w:w="0" w:type="dxa"/>
            <w:left w:w="108" w:type="dxa"/>
            <w:bottom w:w="0" w:type="dxa"/>
            <w:right w:w="108" w:type="dxa"/>
          </w:tblCellMar>
        </w:tblPrEx>
        <w:trPr>
          <w:jc w:val="center"/>
        </w:trPr>
        <w:tc>
          <w:tcPr>
            <w:tcW w:w="2045" w:type="dxa"/>
            <w:vAlign w:val="center"/>
          </w:tcPr>
          <w:p w14:paraId="29B2B9AE">
            <w:pPr>
              <w:jc w:val="left"/>
              <w:rPr>
                <w:rFonts w:hint="default" w:ascii="Arial" w:hAnsi="Arial" w:cs="Arial"/>
                <w:sz w:val="18"/>
                <w:szCs w:val="18"/>
              </w:rPr>
            </w:pPr>
          </w:p>
        </w:tc>
        <w:tc>
          <w:tcPr>
            <w:tcW w:w="2045" w:type="dxa"/>
            <w:vAlign w:val="center"/>
          </w:tcPr>
          <w:p w14:paraId="5B339305">
            <w:pPr>
              <w:jc w:val="left"/>
              <w:rPr>
                <w:rFonts w:hint="default" w:ascii="Arial" w:hAnsi="Arial" w:cs="Arial"/>
                <w:sz w:val="18"/>
                <w:szCs w:val="18"/>
              </w:rPr>
            </w:pPr>
            <w:r>
              <w:rPr>
                <w:rFonts w:hint="default" w:ascii="Arial" w:hAnsi="Arial" w:cs="Arial"/>
                <w:b w:val="0"/>
                <w:sz w:val="18"/>
                <w:szCs w:val="18"/>
              </w:rPr>
              <w:t>Female</w:t>
            </w:r>
          </w:p>
        </w:tc>
        <w:tc>
          <w:tcPr>
            <w:tcW w:w="2045" w:type="dxa"/>
            <w:vAlign w:val="center"/>
          </w:tcPr>
          <w:p w14:paraId="56C7AE28">
            <w:pPr>
              <w:jc w:val="center"/>
              <w:rPr>
                <w:rFonts w:hint="default" w:ascii="Arial" w:hAnsi="Arial" w:cs="Arial"/>
                <w:sz w:val="18"/>
                <w:szCs w:val="18"/>
              </w:rPr>
            </w:pPr>
            <w:r>
              <w:rPr>
                <w:rFonts w:hint="default" w:ascii="Arial" w:hAnsi="Arial" w:cs="Arial"/>
                <w:b w:val="0"/>
                <w:sz w:val="18"/>
                <w:szCs w:val="18"/>
              </w:rPr>
              <w:t>233 / 12</w:t>
            </w:r>
          </w:p>
        </w:tc>
        <w:tc>
          <w:tcPr>
            <w:tcW w:w="2045" w:type="dxa"/>
            <w:vAlign w:val="center"/>
          </w:tcPr>
          <w:p w14:paraId="24D3E323">
            <w:pPr>
              <w:jc w:val="center"/>
              <w:rPr>
                <w:rFonts w:hint="default" w:ascii="Arial" w:hAnsi="Arial" w:cs="Arial"/>
                <w:sz w:val="18"/>
                <w:szCs w:val="18"/>
              </w:rPr>
            </w:pPr>
            <w:r>
              <w:rPr>
                <w:rFonts w:hint="default" w:ascii="Arial" w:hAnsi="Arial" w:cs="Arial"/>
                <w:b w:val="0"/>
                <w:sz w:val="18"/>
                <w:szCs w:val="18"/>
              </w:rPr>
              <w:t>0.93 (0.57</w:t>
            </w:r>
            <w:r>
              <w:rPr>
                <w:rFonts w:hint="default" w:ascii="Arial" w:hAnsi="Arial" w:cs="Arial"/>
                <w:sz w:val="18"/>
                <w:szCs w:val="18"/>
              </w:rPr>
              <w:t>–</w:t>
            </w:r>
            <w:r>
              <w:rPr>
                <w:rFonts w:hint="default" w:ascii="Arial" w:hAnsi="Arial" w:cs="Arial"/>
                <w:b w:val="0"/>
                <w:sz w:val="18"/>
                <w:szCs w:val="18"/>
              </w:rPr>
              <w:t>1.52)</w:t>
            </w:r>
          </w:p>
        </w:tc>
        <w:tc>
          <w:tcPr>
            <w:tcW w:w="2045" w:type="dxa"/>
            <w:vAlign w:val="center"/>
          </w:tcPr>
          <w:p w14:paraId="2C4AB406">
            <w:pPr>
              <w:jc w:val="center"/>
              <w:rPr>
                <w:rFonts w:hint="default" w:ascii="Arial" w:hAnsi="Arial" w:cs="Arial"/>
                <w:sz w:val="18"/>
                <w:szCs w:val="18"/>
              </w:rPr>
            </w:pPr>
          </w:p>
        </w:tc>
      </w:tr>
      <w:tr w14:paraId="2493CA57">
        <w:tblPrEx>
          <w:tblCellMar>
            <w:top w:w="0" w:type="dxa"/>
            <w:left w:w="108" w:type="dxa"/>
            <w:bottom w:w="0" w:type="dxa"/>
            <w:right w:w="108" w:type="dxa"/>
          </w:tblCellMar>
        </w:tblPrEx>
        <w:trPr>
          <w:jc w:val="center"/>
        </w:trPr>
        <w:tc>
          <w:tcPr>
            <w:tcW w:w="2045" w:type="dxa"/>
            <w:vAlign w:val="center"/>
          </w:tcPr>
          <w:p w14:paraId="00D6FAD0">
            <w:pPr>
              <w:jc w:val="left"/>
              <w:rPr>
                <w:rFonts w:hint="default" w:ascii="Arial" w:hAnsi="Arial" w:cs="Arial"/>
                <w:sz w:val="18"/>
                <w:szCs w:val="18"/>
              </w:rPr>
            </w:pPr>
            <w:r>
              <w:rPr>
                <w:rFonts w:hint="default" w:ascii="Arial" w:hAnsi="Arial" w:cs="Arial"/>
                <w:b w:val="0"/>
                <w:sz w:val="18"/>
                <w:szCs w:val="18"/>
              </w:rPr>
              <w:t>Diagnosis group</w:t>
            </w:r>
          </w:p>
        </w:tc>
        <w:tc>
          <w:tcPr>
            <w:tcW w:w="2045" w:type="dxa"/>
            <w:vAlign w:val="center"/>
          </w:tcPr>
          <w:p w14:paraId="6AF84AEA">
            <w:pPr>
              <w:jc w:val="left"/>
              <w:rPr>
                <w:rFonts w:hint="default" w:ascii="Arial" w:hAnsi="Arial" w:cs="Arial"/>
                <w:sz w:val="18"/>
                <w:szCs w:val="18"/>
              </w:rPr>
            </w:pPr>
            <w:r>
              <w:rPr>
                <w:rFonts w:hint="default" w:ascii="Arial" w:hAnsi="Arial" w:cs="Arial"/>
                <w:b w:val="0"/>
                <w:sz w:val="18"/>
                <w:szCs w:val="18"/>
              </w:rPr>
              <w:t>Hematologic malignancy</w:t>
            </w:r>
          </w:p>
        </w:tc>
        <w:tc>
          <w:tcPr>
            <w:tcW w:w="2045" w:type="dxa"/>
            <w:vAlign w:val="center"/>
          </w:tcPr>
          <w:p w14:paraId="7717E038">
            <w:pPr>
              <w:jc w:val="center"/>
              <w:rPr>
                <w:rFonts w:hint="default" w:ascii="Arial" w:hAnsi="Arial" w:cs="Arial"/>
                <w:sz w:val="18"/>
                <w:szCs w:val="18"/>
              </w:rPr>
            </w:pPr>
            <w:r>
              <w:rPr>
                <w:rFonts w:hint="default" w:ascii="Arial" w:hAnsi="Arial" w:cs="Arial"/>
                <w:b w:val="0"/>
                <w:sz w:val="18"/>
                <w:szCs w:val="18"/>
              </w:rPr>
              <w:t>164 / 18</w:t>
            </w:r>
          </w:p>
        </w:tc>
        <w:tc>
          <w:tcPr>
            <w:tcW w:w="2045" w:type="dxa"/>
            <w:vAlign w:val="center"/>
          </w:tcPr>
          <w:p w14:paraId="4F05C96C">
            <w:pPr>
              <w:jc w:val="center"/>
              <w:rPr>
                <w:rFonts w:hint="default" w:ascii="Arial" w:hAnsi="Arial" w:cs="Arial"/>
                <w:sz w:val="18"/>
                <w:szCs w:val="18"/>
              </w:rPr>
            </w:pPr>
            <w:r>
              <w:rPr>
                <w:rFonts w:hint="default" w:ascii="Arial" w:hAnsi="Arial" w:cs="Arial"/>
                <w:b w:val="0"/>
                <w:sz w:val="18"/>
                <w:szCs w:val="18"/>
              </w:rPr>
              <w:t>1.02 (0.61</w:t>
            </w:r>
            <w:r>
              <w:rPr>
                <w:rFonts w:hint="default" w:ascii="Arial" w:hAnsi="Arial" w:cs="Arial"/>
                <w:sz w:val="18"/>
                <w:szCs w:val="18"/>
              </w:rPr>
              <w:t>–</w:t>
            </w:r>
            <w:r>
              <w:rPr>
                <w:rFonts w:hint="default" w:ascii="Arial" w:hAnsi="Arial" w:cs="Arial"/>
                <w:b w:val="0"/>
                <w:sz w:val="18"/>
                <w:szCs w:val="18"/>
              </w:rPr>
              <w:t>1.70)</w:t>
            </w:r>
          </w:p>
        </w:tc>
        <w:tc>
          <w:tcPr>
            <w:tcW w:w="2045" w:type="dxa"/>
            <w:vAlign w:val="center"/>
          </w:tcPr>
          <w:p w14:paraId="5CDAACC0">
            <w:pPr>
              <w:jc w:val="center"/>
              <w:rPr>
                <w:rFonts w:hint="default" w:ascii="Arial" w:hAnsi="Arial" w:cs="Arial"/>
                <w:sz w:val="18"/>
                <w:szCs w:val="18"/>
              </w:rPr>
            </w:pPr>
            <w:r>
              <w:rPr>
                <w:rFonts w:hint="default" w:ascii="Arial" w:hAnsi="Arial" w:cs="Arial"/>
                <w:b w:val="0"/>
                <w:sz w:val="18"/>
                <w:szCs w:val="18"/>
              </w:rPr>
              <w:t>0.101</w:t>
            </w:r>
          </w:p>
        </w:tc>
      </w:tr>
      <w:tr w14:paraId="692FA916">
        <w:tblPrEx>
          <w:tblCellMar>
            <w:top w:w="0" w:type="dxa"/>
            <w:left w:w="108" w:type="dxa"/>
            <w:bottom w:w="0" w:type="dxa"/>
            <w:right w:w="108" w:type="dxa"/>
          </w:tblCellMar>
        </w:tblPrEx>
        <w:trPr>
          <w:jc w:val="center"/>
        </w:trPr>
        <w:tc>
          <w:tcPr>
            <w:tcW w:w="2045" w:type="dxa"/>
            <w:vAlign w:val="center"/>
          </w:tcPr>
          <w:p w14:paraId="1A96D5E1">
            <w:pPr>
              <w:jc w:val="left"/>
              <w:rPr>
                <w:rFonts w:hint="default" w:ascii="Arial" w:hAnsi="Arial" w:cs="Arial"/>
                <w:sz w:val="18"/>
                <w:szCs w:val="18"/>
              </w:rPr>
            </w:pPr>
          </w:p>
        </w:tc>
        <w:tc>
          <w:tcPr>
            <w:tcW w:w="2045" w:type="dxa"/>
            <w:vAlign w:val="center"/>
          </w:tcPr>
          <w:p w14:paraId="6F7A8141">
            <w:pPr>
              <w:jc w:val="left"/>
              <w:rPr>
                <w:rFonts w:hint="default" w:ascii="Arial" w:hAnsi="Arial" w:cs="Arial"/>
                <w:sz w:val="18"/>
                <w:szCs w:val="18"/>
              </w:rPr>
            </w:pPr>
            <w:r>
              <w:rPr>
                <w:rFonts w:hint="default" w:ascii="Arial" w:hAnsi="Arial" w:cs="Arial"/>
                <w:b w:val="0"/>
                <w:sz w:val="18"/>
                <w:szCs w:val="18"/>
              </w:rPr>
              <w:t>Neuroblastoma</w:t>
            </w:r>
          </w:p>
        </w:tc>
        <w:tc>
          <w:tcPr>
            <w:tcW w:w="2045" w:type="dxa"/>
            <w:vAlign w:val="center"/>
          </w:tcPr>
          <w:p w14:paraId="049EABF4">
            <w:pPr>
              <w:jc w:val="center"/>
              <w:rPr>
                <w:rFonts w:hint="default" w:ascii="Arial" w:hAnsi="Arial" w:cs="Arial"/>
                <w:sz w:val="18"/>
                <w:szCs w:val="18"/>
              </w:rPr>
            </w:pPr>
            <w:r>
              <w:rPr>
                <w:rFonts w:hint="default" w:ascii="Arial" w:hAnsi="Arial" w:cs="Arial"/>
                <w:b w:val="0"/>
                <w:sz w:val="18"/>
                <w:szCs w:val="18"/>
              </w:rPr>
              <w:t>121 / 3</w:t>
            </w:r>
          </w:p>
        </w:tc>
        <w:tc>
          <w:tcPr>
            <w:tcW w:w="2045" w:type="dxa"/>
            <w:vAlign w:val="center"/>
          </w:tcPr>
          <w:p w14:paraId="7A990C72">
            <w:pPr>
              <w:jc w:val="center"/>
              <w:rPr>
                <w:rFonts w:hint="default" w:ascii="Arial" w:hAnsi="Arial" w:cs="Arial"/>
                <w:sz w:val="18"/>
                <w:szCs w:val="18"/>
              </w:rPr>
            </w:pPr>
            <w:r>
              <w:rPr>
                <w:rFonts w:hint="default" w:ascii="Arial" w:hAnsi="Arial" w:cs="Arial"/>
                <w:b w:val="0"/>
                <w:sz w:val="18"/>
                <w:szCs w:val="18"/>
              </w:rPr>
              <w:t>NE</w:t>
            </w:r>
          </w:p>
        </w:tc>
        <w:tc>
          <w:tcPr>
            <w:tcW w:w="2045" w:type="dxa"/>
            <w:vAlign w:val="center"/>
          </w:tcPr>
          <w:p w14:paraId="102A4052">
            <w:pPr>
              <w:jc w:val="center"/>
              <w:rPr>
                <w:rFonts w:hint="default" w:ascii="Arial" w:hAnsi="Arial" w:cs="Arial"/>
                <w:sz w:val="18"/>
                <w:szCs w:val="18"/>
              </w:rPr>
            </w:pPr>
          </w:p>
        </w:tc>
      </w:tr>
      <w:tr w14:paraId="34994FAB">
        <w:tblPrEx>
          <w:tblCellMar>
            <w:top w:w="0" w:type="dxa"/>
            <w:left w:w="108" w:type="dxa"/>
            <w:bottom w:w="0" w:type="dxa"/>
            <w:right w:w="108" w:type="dxa"/>
          </w:tblCellMar>
        </w:tblPrEx>
        <w:trPr>
          <w:jc w:val="center"/>
        </w:trPr>
        <w:tc>
          <w:tcPr>
            <w:tcW w:w="2045" w:type="dxa"/>
            <w:vAlign w:val="center"/>
          </w:tcPr>
          <w:p w14:paraId="4CE7BA4C">
            <w:pPr>
              <w:jc w:val="left"/>
              <w:rPr>
                <w:rFonts w:hint="default" w:ascii="Arial" w:hAnsi="Arial" w:cs="Arial"/>
                <w:sz w:val="18"/>
                <w:szCs w:val="18"/>
              </w:rPr>
            </w:pPr>
          </w:p>
        </w:tc>
        <w:tc>
          <w:tcPr>
            <w:tcW w:w="2045" w:type="dxa"/>
            <w:vAlign w:val="center"/>
          </w:tcPr>
          <w:p w14:paraId="0349D60E">
            <w:pPr>
              <w:jc w:val="left"/>
              <w:rPr>
                <w:rFonts w:hint="default" w:ascii="Arial" w:hAnsi="Arial" w:cs="Arial"/>
                <w:sz w:val="18"/>
                <w:szCs w:val="18"/>
              </w:rPr>
            </w:pPr>
            <w:r>
              <w:rPr>
                <w:rFonts w:hint="default" w:ascii="Arial" w:hAnsi="Arial" w:cs="Arial"/>
                <w:b w:val="0"/>
                <w:sz w:val="18"/>
                <w:szCs w:val="18"/>
              </w:rPr>
              <w:t>Sarcoma</w:t>
            </w:r>
          </w:p>
        </w:tc>
        <w:tc>
          <w:tcPr>
            <w:tcW w:w="2045" w:type="dxa"/>
            <w:vAlign w:val="center"/>
          </w:tcPr>
          <w:p w14:paraId="5DD599AE">
            <w:pPr>
              <w:jc w:val="center"/>
              <w:rPr>
                <w:rFonts w:hint="default" w:ascii="Arial" w:hAnsi="Arial" w:cs="Arial"/>
                <w:sz w:val="18"/>
                <w:szCs w:val="18"/>
              </w:rPr>
            </w:pPr>
            <w:r>
              <w:rPr>
                <w:rFonts w:hint="default" w:ascii="Arial" w:hAnsi="Arial" w:cs="Arial"/>
                <w:b w:val="0"/>
                <w:sz w:val="18"/>
                <w:szCs w:val="18"/>
              </w:rPr>
              <w:t>230 / 12</w:t>
            </w:r>
          </w:p>
        </w:tc>
        <w:tc>
          <w:tcPr>
            <w:tcW w:w="2045" w:type="dxa"/>
            <w:vAlign w:val="center"/>
          </w:tcPr>
          <w:p w14:paraId="56BC7FB2">
            <w:pPr>
              <w:jc w:val="center"/>
              <w:rPr>
                <w:rFonts w:hint="default" w:ascii="Arial" w:hAnsi="Arial" w:cs="Arial"/>
                <w:sz w:val="18"/>
                <w:szCs w:val="18"/>
              </w:rPr>
            </w:pPr>
            <w:r>
              <w:rPr>
                <w:rFonts w:hint="default" w:ascii="Arial" w:hAnsi="Arial" w:cs="Arial"/>
                <w:b w:val="0"/>
                <w:sz w:val="18"/>
                <w:szCs w:val="18"/>
              </w:rPr>
              <w:t>2.48 (1.07</w:t>
            </w:r>
            <w:r>
              <w:rPr>
                <w:rFonts w:hint="default" w:ascii="Arial" w:hAnsi="Arial" w:cs="Arial"/>
                <w:sz w:val="18"/>
                <w:szCs w:val="18"/>
              </w:rPr>
              <w:t>–</w:t>
            </w:r>
            <w:r>
              <w:rPr>
                <w:rFonts w:hint="default" w:ascii="Arial" w:hAnsi="Arial" w:cs="Arial"/>
                <w:b w:val="0"/>
                <w:sz w:val="18"/>
                <w:szCs w:val="18"/>
              </w:rPr>
              <w:t>5.75)</w:t>
            </w:r>
          </w:p>
        </w:tc>
        <w:tc>
          <w:tcPr>
            <w:tcW w:w="2045" w:type="dxa"/>
            <w:vAlign w:val="center"/>
          </w:tcPr>
          <w:p w14:paraId="07053FD2">
            <w:pPr>
              <w:jc w:val="center"/>
              <w:rPr>
                <w:rFonts w:hint="default" w:ascii="Arial" w:hAnsi="Arial" w:cs="Arial"/>
                <w:sz w:val="18"/>
                <w:szCs w:val="18"/>
              </w:rPr>
            </w:pPr>
          </w:p>
        </w:tc>
      </w:tr>
      <w:tr w14:paraId="65E46A0C">
        <w:tblPrEx>
          <w:tblCellMar>
            <w:top w:w="0" w:type="dxa"/>
            <w:left w:w="108" w:type="dxa"/>
            <w:bottom w:w="0" w:type="dxa"/>
            <w:right w:w="108" w:type="dxa"/>
          </w:tblCellMar>
        </w:tblPrEx>
        <w:trPr>
          <w:jc w:val="center"/>
        </w:trPr>
        <w:tc>
          <w:tcPr>
            <w:tcW w:w="2045" w:type="dxa"/>
            <w:tcBorders>
              <w:bottom w:val="single" w:color="000000" w:sz="8" w:space="0"/>
            </w:tcBorders>
            <w:vAlign w:val="center"/>
          </w:tcPr>
          <w:p w14:paraId="4A5F9EA7">
            <w:pPr>
              <w:jc w:val="left"/>
              <w:rPr>
                <w:rFonts w:hint="default" w:ascii="Arial" w:hAnsi="Arial" w:cs="Arial"/>
                <w:sz w:val="18"/>
                <w:szCs w:val="18"/>
              </w:rPr>
            </w:pPr>
          </w:p>
        </w:tc>
        <w:tc>
          <w:tcPr>
            <w:tcW w:w="2045" w:type="dxa"/>
            <w:tcBorders>
              <w:bottom w:val="single" w:color="000000" w:sz="8" w:space="0"/>
            </w:tcBorders>
            <w:vAlign w:val="center"/>
          </w:tcPr>
          <w:p w14:paraId="5823A8EA">
            <w:pPr>
              <w:jc w:val="left"/>
              <w:rPr>
                <w:rFonts w:hint="default" w:ascii="Arial" w:hAnsi="Arial" w:cs="Arial"/>
                <w:sz w:val="18"/>
                <w:szCs w:val="18"/>
              </w:rPr>
            </w:pPr>
            <w:r>
              <w:rPr>
                <w:rFonts w:hint="default" w:ascii="Arial" w:hAnsi="Arial" w:cs="Arial"/>
                <w:b w:val="0"/>
                <w:sz w:val="18"/>
                <w:szCs w:val="18"/>
              </w:rPr>
              <w:t>Other solid tumor</w:t>
            </w:r>
          </w:p>
        </w:tc>
        <w:tc>
          <w:tcPr>
            <w:tcW w:w="2045" w:type="dxa"/>
            <w:tcBorders>
              <w:bottom w:val="single" w:color="000000" w:sz="8" w:space="0"/>
            </w:tcBorders>
            <w:vAlign w:val="center"/>
          </w:tcPr>
          <w:p w14:paraId="14A6A7CE">
            <w:pPr>
              <w:jc w:val="center"/>
              <w:rPr>
                <w:rFonts w:hint="default" w:ascii="Arial" w:hAnsi="Arial" w:cs="Arial"/>
                <w:sz w:val="18"/>
                <w:szCs w:val="18"/>
              </w:rPr>
            </w:pPr>
            <w:r>
              <w:rPr>
                <w:rFonts w:hint="default" w:ascii="Arial" w:hAnsi="Arial" w:cs="Arial"/>
                <w:b w:val="0"/>
                <w:sz w:val="18"/>
                <w:szCs w:val="18"/>
              </w:rPr>
              <w:t>129 / 4</w:t>
            </w:r>
          </w:p>
        </w:tc>
        <w:tc>
          <w:tcPr>
            <w:tcW w:w="2045" w:type="dxa"/>
            <w:tcBorders>
              <w:bottom w:val="single" w:color="000000" w:sz="8" w:space="0"/>
            </w:tcBorders>
            <w:vAlign w:val="center"/>
          </w:tcPr>
          <w:p w14:paraId="7D105117">
            <w:pPr>
              <w:jc w:val="center"/>
              <w:rPr>
                <w:rFonts w:hint="default" w:ascii="Arial" w:hAnsi="Arial" w:cs="Arial"/>
                <w:sz w:val="18"/>
                <w:szCs w:val="18"/>
              </w:rPr>
            </w:pPr>
            <w:r>
              <w:rPr>
                <w:rFonts w:hint="default" w:ascii="Arial" w:hAnsi="Arial" w:cs="Arial"/>
                <w:b w:val="0"/>
                <w:sz w:val="18"/>
                <w:szCs w:val="18"/>
              </w:rPr>
              <w:t>NE</w:t>
            </w:r>
          </w:p>
        </w:tc>
        <w:tc>
          <w:tcPr>
            <w:tcW w:w="2045" w:type="dxa"/>
            <w:tcBorders>
              <w:bottom w:val="single" w:color="000000" w:sz="8" w:space="0"/>
            </w:tcBorders>
            <w:vAlign w:val="center"/>
          </w:tcPr>
          <w:p w14:paraId="5C990288">
            <w:pPr>
              <w:jc w:val="center"/>
              <w:rPr>
                <w:rFonts w:hint="default" w:ascii="Arial" w:hAnsi="Arial" w:cs="Arial"/>
                <w:sz w:val="18"/>
                <w:szCs w:val="18"/>
              </w:rPr>
            </w:pPr>
          </w:p>
        </w:tc>
      </w:tr>
    </w:tbl>
    <w:p w14:paraId="3C470E9A">
      <w:pPr>
        <w:spacing w:before="120"/>
        <w:jc w:val="both"/>
        <w:rPr>
          <w:sz w:val="18"/>
          <w:szCs w:val="18"/>
        </w:rPr>
      </w:pPr>
      <w:r>
        <w:rPr>
          <w:rFonts w:ascii="Arial" w:hAnsi="Arial"/>
          <w:sz w:val="18"/>
          <w:szCs w:val="18"/>
        </w:rPr>
        <w:t>HR, hazard ratio; CI, confidence interval; NE, not estimable because fewer than five events were available in the corresponding subgroup. Hazard ratios represent the association per one-quartile increase in cumulative doxorubicin-equivalent dose with incident echocardiographic abnormality. Interaction P values were nominal and were not adjusted for multiple comparisons; subgroup analyses were exploratory.</w:t>
      </w:r>
    </w:p>
    <w:p w14:paraId="02FB6777">
      <w:r>
        <w:br w:type="page"/>
      </w:r>
    </w:p>
    <w:p w14:paraId="0A365BC9">
      <w:pPr>
        <w:jc w:val="left"/>
      </w:pPr>
      <w:r>
        <w:rPr>
          <w:rFonts w:ascii="Arial" w:hAnsi="Arial"/>
          <w:b/>
          <w:sz w:val="22"/>
        </w:rPr>
        <w:t>Supplementary Table S6. Restricted cubic spline analysis of cumulative doxorubicin-equivalent dose and incident echocardiographic abnormality</w:t>
      </w:r>
    </w:p>
    <w:tbl>
      <w:tblPr>
        <w:tblStyle w:val="32"/>
        <w:tblW w:w="0" w:type="auto"/>
        <w:jc w:val="center"/>
        <w:tblLayout w:type="autofit"/>
        <w:tblCellMar>
          <w:top w:w="0" w:type="dxa"/>
          <w:left w:w="108" w:type="dxa"/>
          <w:bottom w:w="0" w:type="dxa"/>
          <w:right w:w="108" w:type="dxa"/>
        </w:tblCellMar>
      </w:tblPr>
      <w:tblGrid>
        <w:gridCol w:w="5112"/>
        <w:gridCol w:w="5112"/>
      </w:tblGrid>
      <w:tr w14:paraId="69C6CA99">
        <w:tblPrEx>
          <w:tblCellMar>
            <w:top w:w="0" w:type="dxa"/>
            <w:left w:w="108" w:type="dxa"/>
            <w:bottom w:w="0" w:type="dxa"/>
            <w:right w:w="108" w:type="dxa"/>
          </w:tblCellMar>
        </w:tblPrEx>
        <w:trPr>
          <w:jc w:val="center"/>
        </w:trPr>
        <w:tc>
          <w:tcPr>
            <w:tcW w:w="5112" w:type="dxa"/>
            <w:tcBorders>
              <w:top w:val="single" w:color="000000" w:sz="8" w:space="0"/>
              <w:bottom w:val="single" w:color="000000" w:sz="6" w:space="0"/>
            </w:tcBorders>
            <w:vAlign w:val="center"/>
          </w:tcPr>
          <w:p w14:paraId="17083F1E">
            <w:pPr>
              <w:jc w:val="left"/>
              <w:rPr>
                <w:sz w:val="18"/>
                <w:szCs w:val="18"/>
              </w:rPr>
            </w:pPr>
            <w:r>
              <w:rPr>
                <w:rFonts w:ascii="Arial" w:hAnsi="Arial"/>
                <w:b/>
                <w:sz w:val="18"/>
                <w:szCs w:val="18"/>
              </w:rPr>
              <w:t>Parameter</w:t>
            </w:r>
          </w:p>
        </w:tc>
        <w:tc>
          <w:tcPr>
            <w:tcW w:w="5112" w:type="dxa"/>
            <w:tcBorders>
              <w:top w:val="single" w:color="000000" w:sz="8" w:space="0"/>
              <w:bottom w:val="single" w:color="000000" w:sz="6" w:space="0"/>
            </w:tcBorders>
            <w:vAlign w:val="center"/>
          </w:tcPr>
          <w:p w14:paraId="745683F1">
            <w:pPr>
              <w:jc w:val="center"/>
              <w:rPr>
                <w:sz w:val="18"/>
                <w:szCs w:val="18"/>
              </w:rPr>
            </w:pPr>
            <w:r>
              <w:rPr>
                <w:rFonts w:ascii="Arial" w:hAnsi="Arial"/>
                <w:b/>
                <w:sz w:val="18"/>
                <w:szCs w:val="18"/>
              </w:rPr>
              <w:t>Result</w:t>
            </w:r>
          </w:p>
        </w:tc>
      </w:tr>
      <w:tr w14:paraId="07CE7A67">
        <w:tblPrEx>
          <w:tblCellMar>
            <w:top w:w="0" w:type="dxa"/>
            <w:left w:w="108" w:type="dxa"/>
            <w:bottom w:w="0" w:type="dxa"/>
            <w:right w:w="108" w:type="dxa"/>
          </w:tblCellMar>
        </w:tblPrEx>
        <w:trPr>
          <w:jc w:val="center"/>
        </w:trPr>
        <w:tc>
          <w:tcPr>
            <w:tcW w:w="5112" w:type="dxa"/>
            <w:vAlign w:val="center"/>
          </w:tcPr>
          <w:p w14:paraId="18192750">
            <w:pPr>
              <w:jc w:val="left"/>
              <w:rPr>
                <w:sz w:val="18"/>
                <w:szCs w:val="18"/>
              </w:rPr>
            </w:pPr>
            <w:r>
              <w:rPr>
                <w:rFonts w:ascii="Arial" w:hAnsi="Arial"/>
                <w:sz w:val="18"/>
                <w:szCs w:val="18"/>
              </w:rPr>
              <w:t>Analysis population</w:t>
            </w:r>
          </w:p>
        </w:tc>
        <w:tc>
          <w:tcPr>
            <w:tcW w:w="5112" w:type="dxa"/>
            <w:vAlign w:val="center"/>
          </w:tcPr>
          <w:p w14:paraId="21B0990E">
            <w:pPr>
              <w:jc w:val="center"/>
              <w:rPr>
                <w:sz w:val="18"/>
                <w:szCs w:val="18"/>
              </w:rPr>
            </w:pPr>
            <w:r>
              <w:rPr>
                <w:rFonts w:ascii="Arial" w:hAnsi="Arial"/>
                <w:sz w:val="18"/>
                <w:szCs w:val="18"/>
              </w:rPr>
              <w:t>644</w:t>
            </w:r>
          </w:p>
        </w:tc>
      </w:tr>
      <w:tr w14:paraId="051F8811">
        <w:tblPrEx>
          <w:tblCellMar>
            <w:top w:w="0" w:type="dxa"/>
            <w:left w:w="108" w:type="dxa"/>
            <w:bottom w:w="0" w:type="dxa"/>
            <w:right w:w="108" w:type="dxa"/>
          </w:tblCellMar>
        </w:tblPrEx>
        <w:trPr>
          <w:jc w:val="center"/>
        </w:trPr>
        <w:tc>
          <w:tcPr>
            <w:tcW w:w="5112" w:type="dxa"/>
            <w:vAlign w:val="center"/>
          </w:tcPr>
          <w:p w14:paraId="790BFDFC">
            <w:pPr>
              <w:jc w:val="left"/>
              <w:rPr>
                <w:sz w:val="18"/>
                <w:szCs w:val="18"/>
              </w:rPr>
            </w:pPr>
            <w:r>
              <w:rPr>
                <w:rFonts w:ascii="Arial" w:hAnsi="Arial"/>
                <w:sz w:val="18"/>
                <w:szCs w:val="18"/>
              </w:rPr>
              <w:t>Incident echocardiographic events</w:t>
            </w:r>
          </w:p>
        </w:tc>
        <w:tc>
          <w:tcPr>
            <w:tcW w:w="5112" w:type="dxa"/>
            <w:vAlign w:val="center"/>
          </w:tcPr>
          <w:p w14:paraId="450D28AC">
            <w:pPr>
              <w:jc w:val="center"/>
              <w:rPr>
                <w:sz w:val="18"/>
                <w:szCs w:val="18"/>
              </w:rPr>
            </w:pPr>
            <w:r>
              <w:rPr>
                <w:rFonts w:ascii="Arial" w:hAnsi="Arial"/>
                <w:sz w:val="18"/>
                <w:szCs w:val="18"/>
              </w:rPr>
              <w:t>37</w:t>
            </w:r>
          </w:p>
        </w:tc>
      </w:tr>
      <w:tr w14:paraId="73258407">
        <w:tblPrEx>
          <w:tblCellMar>
            <w:top w:w="0" w:type="dxa"/>
            <w:left w:w="108" w:type="dxa"/>
            <w:bottom w:w="0" w:type="dxa"/>
            <w:right w:w="108" w:type="dxa"/>
          </w:tblCellMar>
        </w:tblPrEx>
        <w:trPr>
          <w:jc w:val="center"/>
        </w:trPr>
        <w:tc>
          <w:tcPr>
            <w:tcW w:w="5112" w:type="dxa"/>
            <w:vAlign w:val="center"/>
          </w:tcPr>
          <w:p w14:paraId="109F4DB4">
            <w:pPr>
              <w:jc w:val="left"/>
              <w:rPr>
                <w:sz w:val="18"/>
                <w:szCs w:val="18"/>
              </w:rPr>
            </w:pPr>
            <w:r>
              <w:rPr>
                <w:rFonts w:ascii="Arial" w:hAnsi="Arial"/>
                <w:sz w:val="18"/>
                <w:szCs w:val="18"/>
              </w:rPr>
              <w:t>Continuous exposure</w:t>
            </w:r>
          </w:p>
        </w:tc>
        <w:tc>
          <w:tcPr>
            <w:tcW w:w="5112" w:type="dxa"/>
            <w:vAlign w:val="center"/>
          </w:tcPr>
          <w:p w14:paraId="7727C27C">
            <w:pPr>
              <w:jc w:val="center"/>
              <w:rPr>
                <w:sz w:val="18"/>
                <w:szCs w:val="18"/>
              </w:rPr>
            </w:pPr>
            <w:r>
              <w:rPr>
                <w:rFonts w:ascii="Arial" w:hAnsi="Arial"/>
                <w:sz w:val="18"/>
                <w:szCs w:val="18"/>
              </w:rPr>
              <w:t>Cumulative doxorubicin-equivalent dose (mg/m²)</w:t>
            </w:r>
          </w:p>
        </w:tc>
      </w:tr>
      <w:tr w14:paraId="27FD7F32">
        <w:tblPrEx>
          <w:tblCellMar>
            <w:top w:w="0" w:type="dxa"/>
            <w:left w:w="108" w:type="dxa"/>
            <w:bottom w:w="0" w:type="dxa"/>
            <w:right w:w="108" w:type="dxa"/>
          </w:tblCellMar>
        </w:tblPrEx>
        <w:trPr>
          <w:jc w:val="center"/>
        </w:trPr>
        <w:tc>
          <w:tcPr>
            <w:tcW w:w="5112" w:type="dxa"/>
            <w:vAlign w:val="center"/>
          </w:tcPr>
          <w:p w14:paraId="6B170B1C">
            <w:pPr>
              <w:jc w:val="left"/>
              <w:rPr>
                <w:sz w:val="18"/>
                <w:szCs w:val="18"/>
              </w:rPr>
            </w:pPr>
            <w:r>
              <w:rPr>
                <w:rFonts w:ascii="Arial" w:hAnsi="Arial"/>
                <w:sz w:val="18"/>
                <w:szCs w:val="18"/>
              </w:rPr>
              <w:t>Spline specification</w:t>
            </w:r>
          </w:p>
        </w:tc>
        <w:tc>
          <w:tcPr>
            <w:tcW w:w="5112" w:type="dxa"/>
            <w:vAlign w:val="center"/>
          </w:tcPr>
          <w:p w14:paraId="052A84E5">
            <w:pPr>
              <w:jc w:val="center"/>
              <w:rPr>
                <w:sz w:val="18"/>
                <w:szCs w:val="18"/>
              </w:rPr>
            </w:pPr>
            <w:r>
              <w:rPr>
                <w:rFonts w:ascii="Arial" w:hAnsi="Arial"/>
                <w:sz w:val="18"/>
                <w:szCs w:val="18"/>
              </w:rPr>
              <w:t>Restricted cubic spline with 4 knots</w:t>
            </w:r>
          </w:p>
        </w:tc>
      </w:tr>
      <w:tr w14:paraId="25CC81E7">
        <w:tblPrEx>
          <w:tblCellMar>
            <w:top w:w="0" w:type="dxa"/>
            <w:left w:w="108" w:type="dxa"/>
            <w:bottom w:w="0" w:type="dxa"/>
            <w:right w:w="108" w:type="dxa"/>
          </w:tblCellMar>
        </w:tblPrEx>
        <w:trPr>
          <w:jc w:val="center"/>
        </w:trPr>
        <w:tc>
          <w:tcPr>
            <w:tcW w:w="5112" w:type="dxa"/>
            <w:vAlign w:val="center"/>
          </w:tcPr>
          <w:p w14:paraId="7166A6A6">
            <w:pPr>
              <w:jc w:val="left"/>
              <w:rPr>
                <w:sz w:val="18"/>
                <w:szCs w:val="18"/>
              </w:rPr>
            </w:pPr>
            <w:r>
              <w:rPr>
                <w:rFonts w:ascii="Arial" w:hAnsi="Arial"/>
                <w:sz w:val="18"/>
                <w:szCs w:val="18"/>
              </w:rPr>
              <w:t>Knot locations (5th, 35th, 65th, 95th percentiles), mg/m²</w:t>
            </w:r>
          </w:p>
        </w:tc>
        <w:tc>
          <w:tcPr>
            <w:tcW w:w="5112" w:type="dxa"/>
            <w:vAlign w:val="center"/>
          </w:tcPr>
          <w:p w14:paraId="7F8A599F">
            <w:pPr>
              <w:jc w:val="center"/>
              <w:rPr>
                <w:sz w:val="18"/>
                <w:szCs w:val="18"/>
              </w:rPr>
            </w:pPr>
            <w:r>
              <w:rPr>
                <w:rFonts w:ascii="Arial" w:hAnsi="Arial"/>
                <w:sz w:val="18"/>
                <w:szCs w:val="18"/>
              </w:rPr>
              <w:t>102.9, 137.4, 179.4, 304.1</w:t>
            </w:r>
          </w:p>
        </w:tc>
      </w:tr>
      <w:tr w14:paraId="247F7FBB">
        <w:tblPrEx>
          <w:tblCellMar>
            <w:top w:w="0" w:type="dxa"/>
            <w:left w:w="108" w:type="dxa"/>
            <w:bottom w:w="0" w:type="dxa"/>
            <w:right w:w="108" w:type="dxa"/>
          </w:tblCellMar>
        </w:tblPrEx>
        <w:trPr>
          <w:jc w:val="center"/>
        </w:trPr>
        <w:tc>
          <w:tcPr>
            <w:tcW w:w="5112" w:type="dxa"/>
            <w:vAlign w:val="center"/>
          </w:tcPr>
          <w:p w14:paraId="4B9365A4">
            <w:pPr>
              <w:jc w:val="left"/>
              <w:rPr>
                <w:sz w:val="18"/>
                <w:szCs w:val="18"/>
              </w:rPr>
            </w:pPr>
            <w:r>
              <w:rPr>
                <w:rFonts w:ascii="Arial" w:hAnsi="Arial"/>
                <w:sz w:val="18"/>
                <w:szCs w:val="18"/>
              </w:rPr>
              <w:t>Reference dose, mg/m²</w:t>
            </w:r>
          </w:p>
        </w:tc>
        <w:tc>
          <w:tcPr>
            <w:tcW w:w="5112" w:type="dxa"/>
            <w:vAlign w:val="center"/>
          </w:tcPr>
          <w:p w14:paraId="7D5CA6F1">
            <w:pPr>
              <w:jc w:val="center"/>
              <w:rPr>
                <w:sz w:val="18"/>
                <w:szCs w:val="18"/>
              </w:rPr>
            </w:pPr>
            <w:r>
              <w:rPr>
                <w:rFonts w:ascii="Arial" w:hAnsi="Arial"/>
                <w:sz w:val="18"/>
                <w:szCs w:val="18"/>
              </w:rPr>
              <w:t>161.1</w:t>
            </w:r>
          </w:p>
        </w:tc>
      </w:tr>
      <w:tr w14:paraId="5892A292">
        <w:tblPrEx>
          <w:tblCellMar>
            <w:top w:w="0" w:type="dxa"/>
            <w:left w:w="108" w:type="dxa"/>
            <w:bottom w:w="0" w:type="dxa"/>
            <w:right w:w="108" w:type="dxa"/>
          </w:tblCellMar>
        </w:tblPrEx>
        <w:trPr>
          <w:jc w:val="center"/>
        </w:trPr>
        <w:tc>
          <w:tcPr>
            <w:tcW w:w="5112" w:type="dxa"/>
            <w:vAlign w:val="center"/>
          </w:tcPr>
          <w:p w14:paraId="627985EE">
            <w:pPr>
              <w:jc w:val="left"/>
              <w:rPr>
                <w:sz w:val="18"/>
                <w:szCs w:val="18"/>
              </w:rPr>
            </w:pPr>
            <w:r>
              <w:rPr>
                <w:rFonts w:ascii="Arial" w:hAnsi="Arial"/>
                <w:sz w:val="18"/>
                <w:szCs w:val="18"/>
              </w:rPr>
              <w:t>Model adjustment</w:t>
            </w:r>
          </w:p>
        </w:tc>
        <w:tc>
          <w:tcPr>
            <w:tcW w:w="5112" w:type="dxa"/>
            <w:vAlign w:val="center"/>
          </w:tcPr>
          <w:p w14:paraId="77DA18F1">
            <w:pPr>
              <w:jc w:val="center"/>
              <w:rPr>
                <w:sz w:val="18"/>
                <w:szCs w:val="18"/>
              </w:rPr>
            </w:pPr>
            <w:r>
              <w:rPr>
                <w:rFonts w:ascii="Arial" w:hAnsi="Arial"/>
                <w:sz w:val="18"/>
                <w:szCs w:val="18"/>
              </w:rPr>
              <w:t>Age at diagnosis and sex</w:t>
            </w:r>
          </w:p>
        </w:tc>
      </w:tr>
      <w:tr w14:paraId="775627AB">
        <w:tblPrEx>
          <w:tblCellMar>
            <w:top w:w="0" w:type="dxa"/>
            <w:left w:w="108" w:type="dxa"/>
            <w:bottom w:w="0" w:type="dxa"/>
            <w:right w:w="108" w:type="dxa"/>
          </w:tblCellMar>
        </w:tblPrEx>
        <w:trPr>
          <w:jc w:val="center"/>
        </w:trPr>
        <w:tc>
          <w:tcPr>
            <w:tcW w:w="5112" w:type="dxa"/>
            <w:vAlign w:val="center"/>
          </w:tcPr>
          <w:p w14:paraId="7C811537">
            <w:pPr>
              <w:jc w:val="left"/>
              <w:rPr>
                <w:sz w:val="18"/>
                <w:szCs w:val="18"/>
              </w:rPr>
            </w:pPr>
            <w:r>
              <w:rPr>
                <w:rFonts w:ascii="Arial" w:hAnsi="Arial"/>
                <w:sz w:val="18"/>
                <w:szCs w:val="18"/>
              </w:rPr>
              <w:t>P for overall association</w:t>
            </w:r>
          </w:p>
        </w:tc>
        <w:tc>
          <w:tcPr>
            <w:tcW w:w="5112" w:type="dxa"/>
            <w:vAlign w:val="center"/>
          </w:tcPr>
          <w:p w14:paraId="5417BB42">
            <w:pPr>
              <w:jc w:val="center"/>
              <w:rPr>
                <w:sz w:val="18"/>
                <w:szCs w:val="18"/>
              </w:rPr>
            </w:pPr>
            <w:r>
              <w:rPr>
                <w:rFonts w:ascii="Arial" w:hAnsi="Arial"/>
                <w:sz w:val="18"/>
                <w:szCs w:val="18"/>
              </w:rPr>
              <w:t>0.050</w:t>
            </w:r>
          </w:p>
        </w:tc>
      </w:tr>
      <w:tr w14:paraId="453050CE">
        <w:tblPrEx>
          <w:tblCellMar>
            <w:top w:w="0" w:type="dxa"/>
            <w:left w:w="108" w:type="dxa"/>
            <w:bottom w:w="0" w:type="dxa"/>
            <w:right w:w="108" w:type="dxa"/>
          </w:tblCellMar>
        </w:tblPrEx>
        <w:trPr>
          <w:jc w:val="center"/>
        </w:trPr>
        <w:tc>
          <w:tcPr>
            <w:tcW w:w="5112" w:type="dxa"/>
            <w:tcBorders>
              <w:bottom w:val="single" w:color="000000" w:sz="8" w:space="0"/>
            </w:tcBorders>
            <w:vAlign w:val="center"/>
          </w:tcPr>
          <w:p w14:paraId="62F74AFB">
            <w:pPr>
              <w:jc w:val="left"/>
              <w:rPr>
                <w:sz w:val="18"/>
                <w:szCs w:val="18"/>
              </w:rPr>
            </w:pPr>
            <w:r>
              <w:rPr>
                <w:rFonts w:ascii="Arial" w:hAnsi="Arial"/>
                <w:sz w:val="18"/>
                <w:szCs w:val="18"/>
              </w:rPr>
              <w:t>P for nonlinearity</w:t>
            </w:r>
          </w:p>
        </w:tc>
        <w:tc>
          <w:tcPr>
            <w:tcW w:w="5112" w:type="dxa"/>
            <w:tcBorders>
              <w:bottom w:val="single" w:color="000000" w:sz="8" w:space="0"/>
            </w:tcBorders>
            <w:vAlign w:val="center"/>
          </w:tcPr>
          <w:p w14:paraId="5195734F">
            <w:pPr>
              <w:jc w:val="center"/>
              <w:rPr>
                <w:sz w:val="18"/>
                <w:szCs w:val="18"/>
              </w:rPr>
            </w:pPr>
            <w:r>
              <w:rPr>
                <w:rFonts w:ascii="Arial" w:hAnsi="Arial"/>
                <w:sz w:val="18"/>
                <w:szCs w:val="18"/>
              </w:rPr>
              <w:t>0.394</w:t>
            </w:r>
          </w:p>
        </w:tc>
      </w:tr>
    </w:tbl>
    <w:p w14:paraId="1CE300B8">
      <w:pPr>
        <w:spacing w:before="120"/>
        <w:jc w:val="both"/>
        <w:rPr>
          <w:sz w:val="18"/>
          <w:szCs w:val="18"/>
        </w:rPr>
      </w:pPr>
      <w:r>
        <w:rPr>
          <w:rFonts w:ascii="Arial" w:hAnsi="Arial"/>
          <w:sz w:val="18"/>
          <w:szCs w:val="18"/>
        </w:rPr>
        <w:t>Hazard ratios were estimated using a Cox proportional hazards model. The reference value was the median cumulative dose. The overall association was evaluated by comparing the spline model with a covariate-only model; nonlinearity was evaluated by comparing the spline model with a linear-dose model.</w:t>
      </w:r>
    </w:p>
    <w:p w14:paraId="22989155">
      <w:r>
        <w:br w:type="page"/>
      </w:r>
    </w:p>
    <w:p w14:paraId="0814338B">
      <w:pPr>
        <w:jc w:val="left"/>
      </w:pPr>
      <w:r>
        <w:rPr>
          <w:rFonts w:ascii="Arial" w:hAnsi="Arial"/>
          <w:b/>
          <w:sz w:val="22"/>
        </w:rPr>
        <w:t>Supplementary Table S7. Sensitivity analyses using alternative anthracycline conversion factors</w:t>
      </w:r>
    </w:p>
    <w:p w14:paraId="6DB4104C">
      <w:r>
        <w:rPr>
          <w:b/>
        </w:rPr>
        <w:t>A. Alternative pirarubicin-to-doxorubicin conversion factors</w:t>
      </w:r>
    </w:p>
    <w:tbl>
      <w:tblPr>
        <w:tblStyle w:val="32"/>
        <w:tblW w:w="0" w:type="auto"/>
        <w:jc w:val="center"/>
        <w:tblLayout w:type="autofit"/>
        <w:tblCellMar>
          <w:top w:w="0" w:type="dxa"/>
          <w:left w:w="108" w:type="dxa"/>
          <w:bottom w:w="0" w:type="dxa"/>
          <w:right w:w="108" w:type="dxa"/>
        </w:tblCellMar>
      </w:tblPr>
      <w:tblGrid>
        <w:gridCol w:w="1278"/>
        <w:gridCol w:w="1278"/>
        <w:gridCol w:w="1278"/>
        <w:gridCol w:w="1278"/>
        <w:gridCol w:w="1278"/>
        <w:gridCol w:w="1278"/>
        <w:gridCol w:w="1278"/>
        <w:gridCol w:w="1278"/>
      </w:tblGrid>
      <w:tr w14:paraId="6FE04F0C">
        <w:tblPrEx>
          <w:tblCellMar>
            <w:top w:w="0" w:type="dxa"/>
            <w:left w:w="108" w:type="dxa"/>
            <w:bottom w:w="0" w:type="dxa"/>
            <w:right w:w="108" w:type="dxa"/>
          </w:tblCellMar>
        </w:tblPrEx>
        <w:trPr>
          <w:jc w:val="center"/>
        </w:trPr>
        <w:tc>
          <w:tcPr>
            <w:tcW w:w="1278" w:type="dxa"/>
            <w:tcBorders>
              <w:top w:val="single" w:color="000000" w:sz="8" w:space="0"/>
              <w:bottom w:val="single" w:color="000000" w:sz="6" w:space="0"/>
            </w:tcBorders>
            <w:vAlign w:val="center"/>
          </w:tcPr>
          <w:p w14:paraId="682E8031">
            <w:pPr>
              <w:jc w:val="left"/>
              <w:rPr>
                <w:sz w:val="18"/>
                <w:szCs w:val="18"/>
              </w:rPr>
            </w:pPr>
            <w:r>
              <w:rPr>
                <w:rFonts w:ascii="Arial" w:hAnsi="Arial"/>
                <w:b/>
                <w:sz w:val="18"/>
                <w:szCs w:val="18"/>
              </w:rPr>
              <w:t>Pirarubicin factor</w:t>
            </w:r>
          </w:p>
        </w:tc>
        <w:tc>
          <w:tcPr>
            <w:tcW w:w="1278" w:type="dxa"/>
            <w:tcBorders>
              <w:top w:val="single" w:color="000000" w:sz="8" w:space="0"/>
              <w:bottom w:val="single" w:color="000000" w:sz="6" w:space="0"/>
            </w:tcBorders>
            <w:vAlign w:val="center"/>
          </w:tcPr>
          <w:p w14:paraId="7255761A">
            <w:pPr>
              <w:jc w:val="center"/>
              <w:rPr>
                <w:sz w:val="18"/>
                <w:szCs w:val="18"/>
              </w:rPr>
            </w:pPr>
            <w:r>
              <w:rPr>
                <w:rFonts w:ascii="Arial" w:hAnsi="Arial"/>
                <w:b/>
                <w:sz w:val="18"/>
                <w:szCs w:val="18"/>
              </w:rPr>
              <w:t>Median cumulative dose, mg/m²</w:t>
            </w:r>
          </w:p>
        </w:tc>
        <w:tc>
          <w:tcPr>
            <w:tcW w:w="1278" w:type="dxa"/>
            <w:tcBorders>
              <w:top w:val="single" w:color="000000" w:sz="8" w:space="0"/>
              <w:bottom w:val="single" w:color="000000" w:sz="6" w:space="0"/>
            </w:tcBorders>
            <w:vAlign w:val="center"/>
          </w:tcPr>
          <w:p w14:paraId="44F1F3D0">
            <w:pPr>
              <w:jc w:val="center"/>
              <w:rPr>
                <w:sz w:val="18"/>
                <w:szCs w:val="18"/>
              </w:rPr>
            </w:pPr>
            <w:r>
              <w:rPr>
                <w:rFonts w:ascii="Arial" w:hAnsi="Arial"/>
                <w:b/>
                <w:sz w:val="18"/>
                <w:szCs w:val="18"/>
              </w:rPr>
              <w:t>Adjusted HR per 50 mg/m²</w:t>
            </w:r>
          </w:p>
        </w:tc>
        <w:tc>
          <w:tcPr>
            <w:tcW w:w="1278" w:type="dxa"/>
            <w:tcBorders>
              <w:top w:val="single" w:color="000000" w:sz="8" w:space="0"/>
              <w:bottom w:val="single" w:color="000000" w:sz="6" w:space="0"/>
            </w:tcBorders>
            <w:vAlign w:val="center"/>
          </w:tcPr>
          <w:p w14:paraId="0286AF0B">
            <w:pPr>
              <w:jc w:val="center"/>
              <w:rPr>
                <w:sz w:val="18"/>
                <w:szCs w:val="18"/>
              </w:rPr>
            </w:pPr>
            <w:r>
              <w:rPr>
                <w:rFonts w:ascii="Arial" w:hAnsi="Arial"/>
                <w:b/>
                <w:sz w:val="18"/>
                <w:szCs w:val="18"/>
              </w:rPr>
              <w:t>95% CI</w:t>
            </w:r>
          </w:p>
        </w:tc>
        <w:tc>
          <w:tcPr>
            <w:tcW w:w="1278" w:type="dxa"/>
            <w:tcBorders>
              <w:top w:val="single" w:color="000000" w:sz="8" w:space="0"/>
              <w:bottom w:val="single" w:color="000000" w:sz="6" w:space="0"/>
            </w:tcBorders>
            <w:vAlign w:val="center"/>
          </w:tcPr>
          <w:p w14:paraId="723BACF3">
            <w:pPr>
              <w:jc w:val="center"/>
              <w:rPr>
                <w:sz w:val="18"/>
                <w:szCs w:val="18"/>
              </w:rPr>
            </w:pPr>
            <w:r>
              <w:rPr>
                <w:rFonts w:ascii="Arial" w:hAnsi="Arial"/>
                <w:b/>
                <w:sz w:val="18"/>
                <w:szCs w:val="18"/>
              </w:rPr>
              <w:t>P value</w:t>
            </w:r>
          </w:p>
        </w:tc>
        <w:tc>
          <w:tcPr>
            <w:tcW w:w="1278" w:type="dxa"/>
            <w:tcBorders>
              <w:top w:val="single" w:color="000000" w:sz="8" w:space="0"/>
              <w:bottom w:val="single" w:color="000000" w:sz="6" w:space="0"/>
            </w:tcBorders>
            <w:vAlign w:val="center"/>
          </w:tcPr>
          <w:p w14:paraId="3C50EFAA">
            <w:pPr>
              <w:jc w:val="center"/>
              <w:rPr>
                <w:sz w:val="18"/>
                <w:szCs w:val="18"/>
              </w:rPr>
            </w:pPr>
            <w:r>
              <w:rPr>
                <w:rFonts w:ascii="Arial" w:hAnsi="Arial"/>
                <w:b/>
                <w:sz w:val="18"/>
                <w:szCs w:val="18"/>
              </w:rPr>
              <w:t>Adjusted HR Q4 vs Q1</w:t>
            </w:r>
          </w:p>
        </w:tc>
        <w:tc>
          <w:tcPr>
            <w:tcW w:w="1278" w:type="dxa"/>
            <w:tcBorders>
              <w:top w:val="single" w:color="000000" w:sz="8" w:space="0"/>
              <w:bottom w:val="single" w:color="000000" w:sz="6" w:space="0"/>
            </w:tcBorders>
            <w:vAlign w:val="center"/>
          </w:tcPr>
          <w:p w14:paraId="50EC6104">
            <w:pPr>
              <w:jc w:val="center"/>
              <w:rPr>
                <w:sz w:val="18"/>
                <w:szCs w:val="18"/>
              </w:rPr>
            </w:pPr>
            <w:r>
              <w:rPr>
                <w:rFonts w:ascii="Arial" w:hAnsi="Arial"/>
                <w:b/>
                <w:sz w:val="18"/>
                <w:szCs w:val="18"/>
              </w:rPr>
              <w:t>95% CI</w:t>
            </w:r>
          </w:p>
        </w:tc>
        <w:tc>
          <w:tcPr>
            <w:tcW w:w="1278" w:type="dxa"/>
            <w:tcBorders>
              <w:top w:val="single" w:color="000000" w:sz="8" w:space="0"/>
              <w:bottom w:val="single" w:color="000000" w:sz="6" w:space="0"/>
            </w:tcBorders>
            <w:vAlign w:val="center"/>
          </w:tcPr>
          <w:p w14:paraId="7178C1CD">
            <w:pPr>
              <w:jc w:val="center"/>
              <w:rPr>
                <w:sz w:val="18"/>
                <w:szCs w:val="18"/>
              </w:rPr>
            </w:pPr>
            <w:r>
              <w:rPr>
                <w:rFonts w:ascii="Arial" w:hAnsi="Arial"/>
                <w:b/>
                <w:sz w:val="18"/>
                <w:szCs w:val="18"/>
              </w:rPr>
              <w:t>P value</w:t>
            </w:r>
          </w:p>
        </w:tc>
      </w:tr>
      <w:tr w14:paraId="629B71CE">
        <w:tblPrEx>
          <w:tblCellMar>
            <w:top w:w="0" w:type="dxa"/>
            <w:left w:w="108" w:type="dxa"/>
            <w:bottom w:w="0" w:type="dxa"/>
            <w:right w:w="108" w:type="dxa"/>
          </w:tblCellMar>
        </w:tblPrEx>
        <w:trPr>
          <w:jc w:val="center"/>
        </w:trPr>
        <w:tc>
          <w:tcPr>
            <w:tcW w:w="1278" w:type="dxa"/>
            <w:vAlign w:val="center"/>
          </w:tcPr>
          <w:p w14:paraId="05076EB2">
            <w:pPr>
              <w:jc w:val="left"/>
              <w:rPr>
                <w:sz w:val="18"/>
                <w:szCs w:val="18"/>
              </w:rPr>
            </w:pPr>
            <w:r>
              <w:rPr>
                <w:rFonts w:ascii="Arial" w:hAnsi="Arial"/>
                <w:sz w:val="18"/>
                <w:szCs w:val="18"/>
              </w:rPr>
              <w:t>0.50</w:t>
            </w:r>
          </w:p>
        </w:tc>
        <w:tc>
          <w:tcPr>
            <w:tcW w:w="1278" w:type="dxa"/>
            <w:vAlign w:val="center"/>
          </w:tcPr>
          <w:p w14:paraId="5F279F1F">
            <w:pPr>
              <w:jc w:val="center"/>
              <w:rPr>
                <w:sz w:val="18"/>
                <w:szCs w:val="18"/>
              </w:rPr>
            </w:pPr>
            <w:r>
              <w:rPr>
                <w:rFonts w:ascii="Arial" w:hAnsi="Arial"/>
                <w:sz w:val="18"/>
                <w:szCs w:val="18"/>
              </w:rPr>
              <w:t>121.4</w:t>
            </w:r>
          </w:p>
        </w:tc>
        <w:tc>
          <w:tcPr>
            <w:tcW w:w="1278" w:type="dxa"/>
            <w:vAlign w:val="center"/>
          </w:tcPr>
          <w:p w14:paraId="30E3050F">
            <w:pPr>
              <w:jc w:val="center"/>
              <w:rPr>
                <w:sz w:val="18"/>
                <w:szCs w:val="18"/>
              </w:rPr>
            </w:pPr>
            <w:r>
              <w:rPr>
                <w:rFonts w:ascii="Arial" w:hAnsi="Arial"/>
                <w:sz w:val="18"/>
                <w:szCs w:val="18"/>
              </w:rPr>
              <w:t>1.21</w:t>
            </w:r>
          </w:p>
        </w:tc>
        <w:tc>
          <w:tcPr>
            <w:tcW w:w="1278" w:type="dxa"/>
            <w:vAlign w:val="center"/>
          </w:tcPr>
          <w:p w14:paraId="583EE76D">
            <w:pPr>
              <w:jc w:val="center"/>
              <w:rPr>
                <w:sz w:val="18"/>
                <w:szCs w:val="18"/>
              </w:rPr>
            </w:pPr>
            <w:r>
              <w:rPr>
                <w:rFonts w:ascii="Arial" w:hAnsi="Arial"/>
                <w:sz w:val="18"/>
                <w:szCs w:val="18"/>
              </w:rPr>
              <w:t>1.07–1.37</w:t>
            </w:r>
          </w:p>
        </w:tc>
        <w:tc>
          <w:tcPr>
            <w:tcW w:w="1278" w:type="dxa"/>
            <w:vAlign w:val="center"/>
          </w:tcPr>
          <w:p w14:paraId="4E28F042">
            <w:pPr>
              <w:jc w:val="center"/>
              <w:rPr>
                <w:sz w:val="18"/>
                <w:szCs w:val="18"/>
              </w:rPr>
            </w:pPr>
            <w:r>
              <w:rPr>
                <w:rFonts w:ascii="Arial" w:hAnsi="Arial"/>
                <w:sz w:val="18"/>
                <w:szCs w:val="18"/>
              </w:rPr>
              <w:t>0.003</w:t>
            </w:r>
          </w:p>
        </w:tc>
        <w:tc>
          <w:tcPr>
            <w:tcW w:w="1278" w:type="dxa"/>
            <w:vAlign w:val="center"/>
          </w:tcPr>
          <w:p w14:paraId="724C381D">
            <w:pPr>
              <w:jc w:val="center"/>
              <w:rPr>
                <w:sz w:val="18"/>
                <w:szCs w:val="18"/>
              </w:rPr>
            </w:pPr>
            <w:r>
              <w:rPr>
                <w:rFonts w:ascii="Arial" w:hAnsi="Arial"/>
                <w:sz w:val="18"/>
                <w:szCs w:val="18"/>
              </w:rPr>
              <w:t>3.74</w:t>
            </w:r>
          </w:p>
        </w:tc>
        <w:tc>
          <w:tcPr>
            <w:tcW w:w="1278" w:type="dxa"/>
            <w:vAlign w:val="center"/>
          </w:tcPr>
          <w:p w14:paraId="4C4BC43A">
            <w:pPr>
              <w:jc w:val="center"/>
              <w:rPr>
                <w:sz w:val="18"/>
                <w:szCs w:val="18"/>
              </w:rPr>
            </w:pPr>
            <w:r>
              <w:rPr>
                <w:rFonts w:ascii="Arial" w:hAnsi="Arial"/>
                <w:sz w:val="18"/>
                <w:szCs w:val="18"/>
              </w:rPr>
              <w:t>1.24–11.28</w:t>
            </w:r>
          </w:p>
        </w:tc>
        <w:tc>
          <w:tcPr>
            <w:tcW w:w="1278" w:type="dxa"/>
            <w:vAlign w:val="center"/>
          </w:tcPr>
          <w:p w14:paraId="6EDA7E35">
            <w:pPr>
              <w:jc w:val="center"/>
              <w:rPr>
                <w:sz w:val="18"/>
                <w:szCs w:val="18"/>
              </w:rPr>
            </w:pPr>
            <w:r>
              <w:rPr>
                <w:rFonts w:ascii="Arial" w:hAnsi="Arial"/>
                <w:sz w:val="18"/>
                <w:szCs w:val="18"/>
              </w:rPr>
              <w:t>0.019</w:t>
            </w:r>
          </w:p>
        </w:tc>
      </w:tr>
      <w:tr w14:paraId="04CE734D">
        <w:tblPrEx>
          <w:tblCellMar>
            <w:top w:w="0" w:type="dxa"/>
            <w:left w:w="108" w:type="dxa"/>
            <w:bottom w:w="0" w:type="dxa"/>
            <w:right w:w="108" w:type="dxa"/>
          </w:tblCellMar>
        </w:tblPrEx>
        <w:trPr>
          <w:jc w:val="center"/>
        </w:trPr>
        <w:tc>
          <w:tcPr>
            <w:tcW w:w="1278" w:type="dxa"/>
            <w:vAlign w:val="center"/>
          </w:tcPr>
          <w:p w14:paraId="48125A33">
            <w:pPr>
              <w:jc w:val="left"/>
              <w:rPr>
                <w:sz w:val="18"/>
                <w:szCs w:val="18"/>
              </w:rPr>
            </w:pPr>
            <w:r>
              <w:rPr>
                <w:rFonts w:ascii="Arial" w:hAnsi="Arial"/>
                <w:sz w:val="18"/>
                <w:szCs w:val="18"/>
              </w:rPr>
              <w:t>0.60</w:t>
            </w:r>
          </w:p>
        </w:tc>
        <w:tc>
          <w:tcPr>
            <w:tcW w:w="1278" w:type="dxa"/>
            <w:vAlign w:val="center"/>
          </w:tcPr>
          <w:p w14:paraId="4AC0D78B">
            <w:pPr>
              <w:jc w:val="center"/>
              <w:rPr>
                <w:sz w:val="18"/>
                <w:szCs w:val="18"/>
              </w:rPr>
            </w:pPr>
            <w:r>
              <w:rPr>
                <w:rFonts w:ascii="Arial" w:hAnsi="Arial"/>
                <w:sz w:val="18"/>
                <w:szCs w:val="18"/>
              </w:rPr>
              <w:t>145.1</w:t>
            </w:r>
          </w:p>
        </w:tc>
        <w:tc>
          <w:tcPr>
            <w:tcW w:w="1278" w:type="dxa"/>
            <w:vAlign w:val="center"/>
          </w:tcPr>
          <w:p w14:paraId="173339F5">
            <w:pPr>
              <w:jc w:val="center"/>
              <w:rPr>
                <w:sz w:val="18"/>
                <w:szCs w:val="18"/>
              </w:rPr>
            </w:pPr>
            <w:r>
              <w:rPr>
                <w:rFonts w:ascii="Arial" w:hAnsi="Arial"/>
                <w:sz w:val="18"/>
                <w:szCs w:val="18"/>
              </w:rPr>
              <w:t>1.20</w:t>
            </w:r>
          </w:p>
        </w:tc>
        <w:tc>
          <w:tcPr>
            <w:tcW w:w="1278" w:type="dxa"/>
            <w:vAlign w:val="center"/>
          </w:tcPr>
          <w:p w14:paraId="2116D729">
            <w:pPr>
              <w:jc w:val="center"/>
              <w:rPr>
                <w:sz w:val="18"/>
                <w:szCs w:val="18"/>
              </w:rPr>
            </w:pPr>
            <w:r>
              <w:rPr>
                <w:rFonts w:ascii="Arial" w:hAnsi="Arial"/>
                <w:sz w:val="18"/>
                <w:szCs w:val="18"/>
              </w:rPr>
              <w:t>1.06–1.36</w:t>
            </w:r>
          </w:p>
        </w:tc>
        <w:tc>
          <w:tcPr>
            <w:tcW w:w="1278" w:type="dxa"/>
            <w:vAlign w:val="center"/>
          </w:tcPr>
          <w:p w14:paraId="76122527">
            <w:pPr>
              <w:jc w:val="center"/>
              <w:rPr>
                <w:sz w:val="18"/>
                <w:szCs w:val="18"/>
              </w:rPr>
            </w:pPr>
            <w:r>
              <w:rPr>
                <w:rFonts w:ascii="Arial" w:hAnsi="Arial"/>
                <w:sz w:val="18"/>
                <w:szCs w:val="18"/>
              </w:rPr>
              <w:t>0.004</w:t>
            </w:r>
          </w:p>
        </w:tc>
        <w:tc>
          <w:tcPr>
            <w:tcW w:w="1278" w:type="dxa"/>
            <w:vAlign w:val="center"/>
          </w:tcPr>
          <w:p w14:paraId="529031F3">
            <w:pPr>
              <w:jc w:val="center"/>
              <w:rPr>
                <w:sz w:val="18"/>
                <w:szCs w:val="18"/>
              </w:rPr>
            </w:pPr>
            <w:r>
              <w:rPr>
                <w:rFonts w:ascii="Arial" w:hAnsi="Arial"/>
                <w:sz w:val="18"/>
                <w:szCs w:val="18"/>
              </w:rPr>
              <w:t>3.40</w:t>
            </w:r>
          </w:p>
        </w:tc>
        <w:tc>
          <w:tcPr>
            <w:tcW w:w="1278" w:type="dxa"/>
            <w:vAlign w:val="center"/>
          </w:tcPr>
          <w:p w14:paraId="261B9757">
            <w:pPr>
              <w:jc w:val="center"/>
              <w:rPr>
                <w:sz w:val="18"/>
                <w:szCs w:val="18"/>
              </w:rPr>
            </w:pPr>
            <w:r>
              <w:rPr>
                <w:rFonts w:ascii="Arial" w:hAnsi="Arial"/>
                <w:sz w:val="18"/>
                <w:szCs w:val="18"/>
              </w:rPr>
              <w:t>1.12–10.34</w:t>
            </w:r>
          </w:p>
        </w:tc>
        <w:tc>
          <w:tcPr>
            <w:tcW w:w="1278" w:type="dxa"/>
            <w:vAlign w:val="center"/>
          </w:tcPr>
          <w:p w14:paraId="2B39D113">
            <w:pPr>
              <w:jc w:val="center"/>
              <w:rPr>
                <w:sz w:val="18"/>
                <w:szCs w:val="18"/>
              </w:rPr>
            </w:pPr>
            <w:r>
              <w:rPr>
                <w:rFonts w:ascii="Arial" w:hAnsi="Arial"/>
                <w:sz w:val="18"/>
                <w:szCs w:val="18"/>
              </w:rPr>
              <w:t>0.031</w:t>
            </w:r>
          </w:p>
        </w:tc>
      </w:tr>
      <w:tr w14:paraId="4512C3E7">
        <w:tblPrEx>
          <w:tblCellMar>
            <w:top w:w="0" w:type="dxa"/>
            <w:left w:w="108" w:type="dxa"/>
            <w:bottom w:w="0" w:type="dxa"/>
            <w:right w:w="108" w:type="dxa"/>
          </w:tblCellMar>
        </w:tblPrEx>
        <w:trPr>
          <w:jc w:val="center"/>
        </w:trPr>
        <w:tc>
          <w:tcPr>
            <w:tcW w:w="1278" w:type="dxa"/>
            <w:vAlign w:val="center"/>
          </w:tcPr>
          <w:p w14:paraId="75D41BA7">
            <w:pPr>
              <w:jc w:val="left"/>
              <w:rPr>
                <w:sz w:val="18"/>
                <w:szCs w:val="18"/>
              </w:rPr>
            </w:pPr>
            <w:r>
              <w:rPr>
                <w:rFonts w:ascii="Arial" w:hAnsi="Arial"/>
                <w:sz w:val="18"/>
                <w:szCs w:val="18"/>
              </w:rPr>
              <w:t>0.67 (main analysis)</w:t>
            </w:r>
          </w:p>
        </w:tc>
        <w:tc>
          <w:tcPr>
            <w:tcW w:w="1278" w:type="dxa"/>
            <w:vAlign w:val="center"/>
          </w:tcPr>
          <w:p w14:paraId="7D11484D">
            <w:pPr>
              <w:jc w:val="center"/>
              <w:rPr>
                <w:sz w:val="18"/>
                <w:szCs w:val="18"/>
              </w:rPr>
            </w:pPr>
            <w:r>
              <w:rPr>
                <w:rFonts w:ascii="Arial" w:hAnsi="Arial"/>
                <w:sz w:val="18"/>
                <w:szCs w:val="18"/>
              </w:rPr>
              <w:t>161.1</w:t>
            </w:r>
          </w:p>
        </w:tc>
        <w:tc>
          <w:tcPr>
            <w:tcW w:w="1278" w:type="dxa"/>
            <w:vAlign w:val="center"/>
          </w:tcPr>
          <w:p w14:paraId="289BAB56">
            <w:pPr>
              <w:jc w:val="center"/>
              <w:rPr>
                <w:sz w:val="18"/>
                <w:szCs w:val="18"/>
              </w:rPr>
            </w:pPr>
            <w:r>
              <w:rPr>
                <w:rFonts w:ascii="Arial" w:hAnsi="Arial"/>
                <w:sz w:val="18"/>
                <w:szCs w:val="18"/>
              </w:rPr>
              <w:t>1.20</w:t>
            </w:r>
          </w:p>
        </w:tc>
        <w:tc>
          <w:tcPr>
            <w:tcW w:w="1278" w:type="dxa"/>
            <w:vAlign w:val="center"/>
          </w:tcPr>
          <w:p w14:paraId="36DEC12C">
            <w:pPr>
              <w:jc w:val="center"/>
              <w:rPr>
                <w:sz w:val="18"/>
                <w:szCs w:val="18"/>
              </w:rPr>
            </w:pPr>
            <w:r>
              <w:rPr>
                <w:rFonts w:ascii="Arial" w:hAnsi="Arial"/>
                <w:sz w:val="18"/>
                <w:szCs w:val="18"/>
              </w:rPr>
              <w:t>1.06–1.35</w:t>
            </w:r>
          </w:p>
        </w:tc>
        <w:tc>
          <w:tcPr>
            <w:tcW w:w="1278" w:type="dxa"/>
            <w:vAlign w:val="center"/>
          </w:tcPr>
          <w:p w14:paraId="584F1D49">
            <w:pPr>
              <w:jc w:val="center"/>
              <w:rPr>
                <w:sz w:val="18"/>
                <w:szCs w:val="18"/>
              </w:rPr>
            </w:pPr>
            <w:r>
              <w:rPr>
                <w:rFonts w:ascii="Arial" w:hAnsi="Arial"/>
                <w:sz w:val="18"/>
                <w:szCs w:val="18"/>
              </w:rPr>
              <w:t>0.004</w:t>
            </w:r>
          </w:p>
        </w:tc>
        <w:tc>
          <w:tcPr>
            <w:tcW w:w="1278" w:type="dxa"/>
            <w:vAlign w:val="center"/>
          </w:tcPr>
          <w:p w14:paraId="068E0EFD">
            <w:pPr>
              <w:jc w:val="center"/>
              <w:rPr>
                <w:sz w:val="18"/>
                <w:szCs w:val="18"/>
              </w:rPr>
            </w:pPr>
            <w:r>
              <w:rPr>
                <w:rFonts w:ascii="Arial" w:hAnsi="Arial"/>
                <w:sz w:val="18"/>
                <w:szCs w:val="18"/>
              </w:rPr>
              <w:t>3.38</w:t>
            </w:r>
          </w:p>
        </w:tc>
        <w:tc>
          <w:tcPr>
            <w:tcW w:w="1278" w:type="dxa"/>
            <w:vAlign w:val="center"/>
          </w:tcPr>
          <w:p w14:paraId="5C1B064C">
            <w:pPr>
              <w:jc w:val="center"/>
              <w:rPr>
                <w:sz w:val="18"/>
                <w:szCs w:val="18"/>
              </w:rPr>
            </w:pPr>
            <w:r>
              <w:rPr>
                <w:rFonts w:ascii="Arial" w:hAnsi="Arial"/>
                <w:sz w:val="18"/>
                <w:szCs w:val="18"/>
              </w:rPr>
              <w:t>1.11–10.27</w:t>
            </w:r>
          </w:p>
        </w:tc>
        <w:tc>
          <w:tcPr>
            <w:tcW w:w="1278" w:type="dxa"/>
            <w:vAlign w:val="center"/>
          </w:tcPr>
          <w:p w14:paraId="00BF495E">
            <w:pPr>
              <w:jc w:val="center"/>
              <w:rPr>
                <w:sz w:val="18"/>
                <w:szCs w:val="18"/>
              </w:rPr>
            </w:pPr>
            <w:r>
              <w:rPr>
                <w:rFonts w:ascii="Arial" w:hAnsi="Arial"/>
                <w:sz w:val="18"/>
                <w:szCs w:val="18"/>
              </w:rPr>
              <w:t>0.032</w:t>
            </w:r>
          </w:p>
        </w:tc>
      </w:tr>
      <w:tr w14:paraId="03DA50C7">
        <w:tblPrEx>
          <w:tblCellMar>
            <w:top w:w="0" w:type="dxa"/>
            <w:left w:w="108" w:type="dxa"/>
            <w:bottom w:w="0" w:type="dxa"/>
            <w:right w:w="108" w:type="dxa"/>
          </w:tblCellMar>
        </w:tblPrEx>
        <w:trPr>
          <w:jc w:val="center"/>
        </w:trPr>
        <w:tc>
          <w:tcPr>
            <w:tcW w:w="1278" w:type="dxa"/>
            <w:tcBorders>
              <w:bottom w:val="single" w:color="000000" w:sz="8" w:space="0"/>
            </w:tcBorders>
            <w:vAlign w:val="center"/>
          </w:tcPr>
          <w:p w14:paraId="361DECF1">
            <w:pPr>
              <w:jc w:val="left"/>
              <w:rPr>
                <w:sz w:val="18"/>
                <w:szCs w:val="18"/>
              </w:rPr>
            </w:pPr>
            <w:r>
              <w:rPr>
                <w:rFonts w:ascii="Arial" w:hAnsi="Arial"/>
                <w:sz w:val="18"/>
                <w:szCs w:val="18"/>
              </w:rPr>
              <w:t>0.80</w:t>
            </w:r>
          </w:p>
        </w:tc>
        <w:tc>
          <w:tcPr>
            <w:tcW w:w="1278" w:type="dxa"/>
            <w:tcBorders>
              <w:bottom w:val="single" w:color="000000" w:sz="8" w:space="0"/>
            </w:tcBorders>
            <w:vAlign w:val="center"/>
          </w:tcPr>
          <w:p w14:paraId="04F543A3">
            <w:pPr>
              <w:jc w:val="center"/>
              <w:rPr>
                <w:sz w:val="18"/>
                <w:szCs w:val="18"/>
              </w:rPr>
            </w:pPr>
            <w:r>
              <w:rPr>
                <w:rFonts w:ascii="Arial" w:hAnsi="Arial"/>
                <w:sz w:val="18"/>
                <w:szCs w:val="18"/>
              </w:rPr>
              <w:t>191.3</w:t>
            </w:r>
          </w:p>
        </w:tc>
        <w:tc>
          <w:tcPr>
            <w:tcW w:w="1278" w:type="dxa"/>
            <w:tcBorders>
              <w:bottom w:val="single" w:color="000000" w:sz="8" w:space="0"/>
            </w:tcBorders>
            <w:vAlign w:val="center"/>
          </w:tcPr>
          <w:p w14:paraId="20ABE67E">
            <w:pPr>
              <w:jc w:val="center"/>
              <w:rPr>
                <w:sz w:val="18"/>
                <w:szCs w:val="18"/>
              </w:rPr>
            </w:pPr>
            <w:r>
              <w:rPr>
                <w:rFonts w:ascii="Arial" w:hAnsi="Arial"/>
                <w:sz w:val="18"/>
                <w:szCs w:val="18"/>
              </w:rPr>
              <w:t>1.18</w:t>
            </w:r>
          </w:p>
        </w:tc>
        <w:tc>
          <w:tcPr>
            <w:tcW w:w="1278" w:type="dxa"/>
            <w:tcBorders>
              <w:bottom w:val="single" w:color="000000" w:sz="8" w:space="0"/>
            </w:tcBorders>
            <w:vAlign w:val="center"/>
          </w:tcPr>
          <w:p w14:paraId="7491C64A">
            <w:pPr>
              <w:jc w:val="center"/>
              <w:rPr>
                <w:sz w:val="18"/>
                <w:szCs w:val="18"/>
              </w:rPr>
            </w:pPr>
            <w:r>
              <w:rPr>
                <w:rFonts w:ascii="Arial" w:hAnsi="Arial"/>
                <w:sz w:val="18"/>
                <w:szCs w:val="18"/>
              </w:rPr>
              <w:t>1.05–1.33</w:t>
            </w:r>
          </w:p>
        </w:tc>
        <w:tc>
          <w:tcPr>
            <w:tcW w:w="1278" w:type="dxa"/>
            <w:tcBorders>
              <w:bottom w:val="single" w:color="000000" w:sz="8" w:space="0"/>
            </w:tcBorders>
            <w:vAlign w:val="center"/>
          </w:tcPr>
          <w:p w14:paraId="435576D9">
            <w:pPr>
              <w:jc w:val="center"/>
              <w:rPr>
                <w:sz w:val="18"/>
                <w:szCs w:val="18"/>
              </w:rPr>
            </w:pPr>
            <w:r>
              <w:rPr>
                <w:rFonts w:ascii="Arial" w:hAnsi="Arial"/>
                <w:sz w:val="18"/>
                <w:szCs w:val="18"/>
              </w:rPr>
              <w:t>0.006</w:t>
            </w:r>
          </w:p>
        </w:tc>
        <w:tc>
          <w:tcPr>
            <w:tcW w:w="1278" w:type="dxa"/>
            <w:tcBorders>
              <w:bottom w:val="single" w:color="000000" w:sz="8" w:space="0"/>
            </w:tcBorders>
            <w:vAlign w:val="center"/>
          </w:tcPr>
          <w:p w14:paraId="7219BD64">
            <w:pPr>
              <w:jc w:val="center"/>
              <w:rPr>
                <w:sz w:val="18"/>
                <w:szCs w:val="18"/>
              </w:rPr>
            </w:pPr>
            <w:r>
              <w:rPr>
                <w:rFonts w:ascii="Arial" w:hAnsi="Arial"/>
                <w:sz w:val="18"/>
                <w:szCs w:val="18"/>
              </w:rPr>
              <w:t>3.04</w:t>
            </w:r>
          </w:p>
        </w:tc>
        <w:tc>
          <w:tcPr>
            <w:tcW w:w="1278" w:type="dxa"/>
            <w:tcBorders>
              <w:bottom w:val="single" w:color="000000" w:sz="8" w:space="0"/>
            </w:tcBorders>
            <w:vAlign w:val="center"/>
          </w:tcPr>
          <w:p w14:paraId="594270EC">
            <w:pPr>
              <w:jc w:val="center"/>
              <w:rPr>
                <w:sz w:val="18"/>
                <w:szCs w:val="18"/>
              </w:rPr>
            </w:pPr>
            <w:r>
              <w:rPr>
                <w:rFonts w:ascii="Arial" w:hAnsi="Arial"/>
                <w:sz w:val="18"/>
                <w:szCs w:val="18"/>
              </w:rPr>
              <w:t>0.99–9.33</w:t>
            </w:r>
          </w:p>
        </w:tc>
        <w:tc>
          <w:tcPr>
            <w:tcW w:w="1278" w:type="dxa"/>
            <w:tcBorders>
              <w:bottom w:val="single" w:color="000000" w:sz="8" w:space="0"/>
            </w:tcBorders>
            <w:vAlign w:val="center"/>
          </w:tcPr>
          <w:p w14:paraId="32E087EE">
            <w:pPr>
              <w:jc w:val="center"/>
              <w:rPr>
                <w:sz w:val="18"/>
                <w:szCs w:val="18"/>
              </w:rPr>
            </w:pPr>
            <w:r>
              <w:rPr>
                <w:rFonts w:ascii="Arial" w:hAnsi="Arial"/>
                <w:sz w:val="18"/>
                <w:szCs w:val="18"/>
              </w:rPr>
              <w:t>0.052</w:t>
            </w:r>
          </w:p>
        </w:tc>
      </w:tr>
    </w:tbl>
    <w:p w14:paraId="15636921">
      <w:r>
        <w:rPr>
          <w:b/>
        </w:rPr>
        <w:t>B. Alternative liposomal doxorubicin-to-doxorubicin conversion factors</w:t>
      </w:r>
    </w:p>
    <w:tbl>
      <w:tblPr>
        <w:tblStyle w:val="32"/>
        <w:tblW w:w="0" w:type="auto"/>
        <w:jc w:val="center"/>
        <w:tblLayout w:type="autofit"/>
        <w:tblCellMar>
          <w:top w:w="0" w:type="dxa"/>
          <w:left w:w="108" w:type="dxa"/>
          <w:bottom w:w="0" w:type="dxa"/>
          <w:right w:w="108" w:type="dxa"/>
        </w:tblCellMar>
      </w:tblPr>
      <w:tblGrid>
        <w:gridCol w:w="2045"/>
        <w:gridCol w:w="2045"/>
        <w:gridCol w:w="2045"/>
        <w:gridCol w:w="2045"/>
        <w:gridCol w:w="2045"/>
      </w:tblGrid>
      <w:tr w14:paraId="7B8AEAEC">
        <w:tblPrEx>
          <w:tblCellMar>
            <w:top w:w="0" w:type="dxa"/>
            <w:left w:w="108" w:type="dxa"/>
            <w:bottom w:w="0" w:type="dxa"/>
            <w:right w:w="108" w:type="dxa"/>
          </w:tblCellMar>
        </w:tblPrEx>
        <w:trPr>
          <w:jc w:val="center"/>
        </w:trPr>
        <w:tc>
          <w:tcPr>
            <w:tcW w:w="2045" w:type="dxa"/>
            <w:tcBorders>
              <w:top w:val="single" w:color="000000" w:sz="8" w:space="0"/>
              <w:bottom w:val="single" w:color="000000" w:sz="6" w:space="0"/>
            </w:tcBorders>
            <w:vAlign w:val="center"/>
          </w:tcPr>
          <w:p w14:paraId="725D984C">
            <w:pPr>
              <w:jc w:val="left"/>
              <w:rPr>
                <w:sz w:val="18"/>
                <w:szCs w:val="18"/>
              </w:rPr>
            </w:pPr>
            <w:r>
              <w:rPr>
                <w:rFonts w:ascii="Arial" w:hAnsi="Arial"/>
                <w:b/>
                <w:sz w:val="18"/>
                <w:szCs w:val="18"/>
              </w:rPr>
              <w:t>Liposomal factor</w:t>
            </w:r>
          </w:p>
        </w:tc>
        <w:tc>
          <w:tcPr>
            <w:tcW w:w="2045" w:type="dxa"/>
            <w:tcBorders>
              <w:top w:val="single" w:color="000000" w:sz="8" w:space="0"/>
              <w:bottom w:val="single" w:color="000000" w:sz="6" w:space="0"/>
            </w:tcBorders>
            <w:vAlign w:val="center"/>
          </w:tcPr>
          <w:p w14:paraId="682EC75C">
            <w:pPr>
              <w:jc w:val="center"/>
              <w:rPr>
                <w:sz w:val="18"/>
                <w:szCs w:val="18"/>
              </w:rPr>
            </w:pPr>
            <w:r>
              <w:rPr>
                <w:rFonts w:ascii="Arial" w:hAnsi="Arial"/>
                <w:b/>
                <w:sz w:val="18"/>
                <w:szCs w:val="18"/>
              </w:rPr>
              <w:t>Median cumulative dose, mg/m²</w:t>
            </w:r>
          </w:p>
        </w:tc>
        <w:tc>
          <w:tcPr>
            <w:tcW w:w="2045" w:type="dxa"/>
            <w:tcBorders>
              <w:top w:val="single" w:color="000000" w:sz="8" w:space="0"/>
              <w:bottom w:val="single" w:color="000000" w:sz="6" w:space="0"/>
            </w:tcBorders>
            <w:vAlign w:val="center"/>
          </w:tcPr>
          <w:p w14:paraId="4C1557C0">
            <w:pPr>
              <w:jc w:val="center"/>
              <w:rPr>
                <w:sz w:val="18"/>
                <w:szCs w:val="18"/>
              </w:rPr>
            </w:pPr>
            <w:r>
              <w:rPr>
                <w:rFonts w:ascii="Arial" w:hAnsi="Arial"/>
                <w:b/>
                <w:sz w:val="18"/>
                <w:szCs w:val="18"/>
              </w:rPr>
              <w:t>Adjusted HR per 50 mg/m²</w:t>
            </w:r>
          </w:p>
        </w:tc>
        <w:tc>
          <w:tcPr>
            <w:tcW w:w="2045" w:type="dxa"/>
            <w:tcBorders>
              <w:top w:val="single" w:color="000000" w:sz="8" w:space="0"/>
              <w:bottom w:val="single" w:color="000000" w:sz="6" w:space="0"/>
            </w:tcBorders>
            <w:vAlign w:val="center"/>
          </w:tcPr>
          <w:p w14:paraId="4797C6A7">
            <w:pPr>
              <w:jc w:val="center"/>
              <w:rPr>
                <w:sz w:val="18"/>
                <w:szCs w:val="18"/>
              </w:rPr>
            </w:pPr>
            <w:r>
              <w:rPr>
                <w:rFonts w:ascii="Arial" w:hAnsi="Arial"/>
                <w:b/>
                <w:sz w:val="18"/>
                <w:szCs w:val="18"/>
              </w:rPr>
              <w:t>95% CI</w:t>
            </w:r>
          </w:p>
        </w:tc>
        <w:tc>
          <w:tcPr>
            <w:tcW w:w="2045" w:type="dxa"/>
            <w:tcBorders>
              <w:top w:val="single" w:color="000000" w:sz="8" w:space="0"/>
              <w:bottom w:val="single" w:color="000000" w:sz="6" w:space="0"/>
            </w:tcBorders>
            <w:vAlign w:val="center"/>
          </w:tcPr>
          <w:p w14:paraId="3845C6B9">
            <w:pPr>
              <w:jc w:val="center"/>
              <w:rPr>
                <w:sz w:val="18"/>
                <w:szCs w:val="18"/>
              </w:rPr>
            </w:pPr>
            <w:r>
              <w:rPr>
                <w:rFonts w:ascii="Arial" w:hAnsi="Arial"/>
                <w:b/>
                <w:sz w:val="18"/>
                <w:szCs w:val="18"/>
              </w:rPr>
              <w:t>P value</w:t>
            </w:r>
          </w:p>
        </w:tc>
      </w:tr>
      <w:tr w14:paraId="2E98A738">
        <w:tblPrEx>
          <w:tblCellMar>
            <w:top w:w="0" w:type="dxa"/>
            <w:left w:w="108" w:type="dxa"/>
            <w:bottom w:w="0" w:type="dxa"/>
            <w:right w:w="108" w:type="dxa"/>
          </w:tblCellMar>
        </w:tblPrEx>
        <w:trPr>
          <w:jc w:val="center"/>
        </w:trPr>
        <w:tc>
          <w:tcPr>
            <w:tcW w:w="2045" w:type="dxa"/>
            <w:vAlign w:val="center"/>
          </w:tcPr>
          <w:p w14:paraId="1475CAD4">
            <w:pPr>
              <w:jc w:val="left"/>
              <w:rPr>
                <w:sz w:val="18"/>
                <w:szCs w:val="18"/>
              </w:rPr>
            </w:pPr>
            <w:r>
              <w:rPr>
                <w:rFonts w:ascii="Arial" w:hAnsi="Arial"/>
                <w:sz w:val="18"/>
                <w:szCs w:val="18"/>
              </w:rPr>
              <w:t>1.00 (main analysis)</w:t>
            </w:r>
          </w:p>
        </w:tc>
        <w:tc>
          <w:tcPr>
            <w:tcW w:w="2045" w:type="dxa"/>
            <w:vAlign w:val="center"/>
          </w:tcPr>
          <w:p w14:paraId="39E102C8">
            <w:pPr>
              <w:jc w:val="center"/>
              <w:rPr>
                <w:sz w:val="18"/>
                <w:szCs w:val="18"/>
              </w:rPr>
            </w:pPr>
            <w:r>
              <w:rPr>
                <w:rFonts w:ascii="Arial" w:hAnsi="Arial"/>
                <w:sz w:val="18"/>
                <w:szCs w:val="18"/>
              </w:rPr>
              <w:t>161.1</w:t>
            </w:r>
          </w:p>
        </w:tc>
        <w:tc>
          <w:tcPr>
            <w:tcW w:w="2045" w:type="dxa"/>
            <w:vAlign w:val="center"/>
          </w:tcPr>
          <w:p w14:paraId="7CD5984A">
            <w:pPr>
              <w:jc w:val="center"/>
              <w:rPr>
                <w:sz w:val="18"/>
                <w:szCs w:val="18"/>
              </w:rPr>
            </w:pPr>
            <w:r>
              <w:rPr>
                <w:rFonts w:ascii="Arial" w:hAnsi="Arial"/>
                <w:sz w:val="18"/>
                <w:szCs w:val="18"/>
              </w:rPr>
              <w:t>1.20</w:t>
            </w:r>
          </w:p>
        </w:tc>
        <w:tc>
          <w:tcPr>
            <w:tcW w:w="2045" w:type="dxa"/>
            <w:vAlign w:val="center"/>
          </w:tcPr>
          <w:p w14:paraId="5113C2F2">
            <w:pPr>
              <w:jc w:val="center"/>
              <w:rPr>
                <w:sz w:val="18"/>
                <w:szCs w:val="18"/>
              </w:rPr>
            </w:pPr>
            <w:r>
              <w:rPr>
                <w:rFonts w:ascii="Arial" w:hAnsi="Arial"/>
                <w:sz w:val="18"/>
                <w:szCs w:val="18"/>
              </w:rPr>
              <w:t>1.06–1.35</w:t>
            </w:r>
          </w:p>
        </w:tc>
        <w:tc>
          <w:tcPr>
            <w:tcW w:w="2045" w:type="dxa"/>
            <w:vAlign w:val="center"/>
          </w:tcPr>
          <w:p w14:paraId="07C31589">
            <w:pPr>
              <w:jc w:val="center"/>
              <w:rPr>
                <w:sz w:val="18"/>
                <w:szCs w:val="18"/>
              </w:rPr>
            </w:pPr>
            <w:r>
              <w:rPr>
                <w:rFonts w:ascii="Arial" w:hAnsi="Arial"/>
                <w:sz w:val="18"/>
                <w:szCs w:val="18"/>
              </w:rPr>
              <w:t>0.004</w:t>
            </w:r>
          </w:p>
        </w:tc>
      </w:tr>
      <w:tr w14:paraId="60852CE2">
        <w:tblPrEx>
          <w:tblCellMar>
            <w:top w:w="0" w:type="dxa"/>
            <w:left w:w="108" w:type="dxa"/>
            <w:bottom w:w="0" w:type="dxa"/>
            <w:right w:w="108" w:type="dxa"/>
          </w:tblCellMar>
        </w:tblPrEx>
        <w:trPr>
          <w:jc w:val="center"/>
        </w:trPr>
        <w:tc>
          <w:tcPr>
            <w:tcW w:w="2045" w:type="dxa"/>
            <w:vAlign w:val="center"/>
          </w:tcPr>
          <w:p w14:paraId="5E4ED2FE">
            <w:pPr>
              <w:jc w:val="left"/>
              <w:rPr>
                <w:sz w:val="18"/>
                <w:szCs w:val="18"/>
              </w:rPr>
            </w:pPr>
            <w:r>
              <w:rPr>
                <w:rFonts w:ascii="Arial" w:hAnsi="Arial"/>
                <w:sz w:val="18"/>
                <w:szCs w:val="18"/>
              </w:rPr>
              <w:t>0.75</w:t>
            </w:r>
          </w:p>
        </w:tc>
        <w:tc>
          <w:tcPr>
            <w:tcW w:w="2045" w:type="dxa"/>
            <w:vAlign w:val="center"/>
          </w:tcPr>
          <w:p w14:paraId="1BECBF37">
            <w:pPr>
              <w:jc w:val="center"/>
              <w:rPr>
                <w:sz w:val="18"/>
                <w:szCs w:val="18"/>
              </w:rPr>
            </w:pPr>
            <w:r>
              <w:rPr>
                <w:rFonts w:ascii="Arial" w:hAnsi="Arial"/>
                <w:sz w:val="18"/>
                <w:szCs w:val="18"/>
              </w:rPr>
              <w:t>160.0</w:t>
            </w:r>
          </w:p>
        </w:tc>
        <w:tc>
          <w:tcPr>
            <w:tcW w:w="2045" w:type="dxa"/>
            <w:vAlign w:val="center"/>
          </w:tcPr>
          <w:p w14:paraId="1E746678">
            <w:pPr>
              <w:jc w:val="center"/>
              <w:rPr>
                <w:sz w:val="18"/>
                <w:szCs w:val="18"/>
              </w:rPr>
            </w:pPr>
            <w:r>
              <w:rPr>
                <w:rFonts w:ascii="Arial" w:hAnsi="Arial"/>
                <w:sz w:val="18"/>
                <w:szCs w:val="18"/>
              </w:rPr>
              <w:t>1.23</w:t>
            </w:r>
          </w:p>
        </w:tc>
        <w:tc>
          <w:tcPr>
            <w:tcW w:w="2045" w:type="dxa"/>
            <w:vAlign w:val="center"/>
          </w:tcPr>
          <w:p w14:paraId="299F2818">
            <w:pPr>
              <w:jc w:val="center"/>
              <w:rPr>
                <w:sz w:val="18"/>
                <w:szCs w:val="18"/>
              </w:rPr>
            </w:pPr>
            <w:r>
              <w:rPr>
                <w:rFonts w:ascii="Arial" w:hAnsi="Arial"/>
                <w:sz w:val="18"/>
                <w:szCs w:val="18"/>
              </w:rPr>
              <w:t>1.06–1.44</w:t>
            </w:r>
          </w:p>
        </w:tc>
        <w:tc>
          <w:tcPr>
            <w:tcW w:w="2045" w:type="dxa"/>
            <w:vAlign w:val="center"/>
          </w:tcPr>
          <w:p w14:paraId="14621C3A">
            <w:pPr>
              <w:jc w:val="center"/>
              <w:rPr>
                <w:sz w:val="18"/>
                <w:szCs w:val="18"/>
              </w:rPr>
            </w:pPr>
            <w:r>
              <w:rPr>
                <w:rFonts w:ascii="Arial" w:hAnsi="Arial"/>
                <w:sz w:val="18"/>
                <w:szCs w:val="18"/>
              </w:rPr>
              <w:t>0.008</w:t>
            </w:r>
          </w:p>
        </w:tc>
      </w:tr>
      <w:tr w14:paraId="38B6DE4D">
        <w:tblPrEx>
          <w:tblCellMar>
            <w:top w:w="0" w:type="dxa"/>
            <w:left w:w="108" w:type="dxa"/>
            <w:bottom w:w="0" w:type="dxa"/>
            <w:right w:w="108" w:type="dxa"/>
          </w:tblCellMar>
        </w:tblPrEx>
        <w:trPr>
          <w:jc w:val="center"/>
        </w:trPr>
        <w:tc>
          <w:tcPr>
            <w:tcW w:w="2045" w:type="dxa"/>
            <w:vAlign w:val="center"/>
          </w:tcPr>
          <w:p w14:paraId="5BD648B9">
            <w:pPr>
              <w:jc w:val="left"/>
              <w:rPr>
                <w:sz w:val="18"/>
                <w:szCs w:val="18"/>
              </w:rPr>
            </w:pPr>
            <w:r>
              <w:rPr>
                <w:rFonts w:ascii="Arial" w:hAnsi="Arial"/>
                <w:sz w:val="18"/>
                <w:szCs w:val="18"/>
              </w:rPr>
              <w:t>0.50</w:t>
            </w:r>
          </w:p>
        </w:tc>
        <w:tc>
          <w:tcPr>
            <w:tcW w:w="2045" w:type="dxa"/>
            <w:vAlign w:val="center"/>
          </w:tcPr>
          <w:p w14:paraId="57234AA9">
            <w:pPr>
              <w:jc w:val="center"/>
              <w:rPr>
                <w:sz w:val="18"/>
                <w:szCs w:val="18"/>
              </w:rPr>
            </w:pPr>
            <w:r>
              <w:rPr>
                <w:rFonts w:ascii="Arial" w:hAnsi="Arial"/>
                <w:sz w:val="18"/>
                <w:szCs w:val="18"/>
              </w:rPr>
              <w:t>155.8</w:t>
            </w:r>
          </w:p>
        </w:tc>
        <w:tc>
          <w:tcPr>
            <w:tcW w:w="2045" w:type="dxa"/>
            <w:vAlign w:val="center"/>
          </w:tcPr>
          <w:p w14:paraId="3E177374">
            <w:pPr>
              <w:jc w:val="center"/>
              <w:rPr>
                <w:sz w:val="18"/>
                <w:szCs w:val="18"/>
              </w:rPr>
            </w:pPr>
            <w:r>
              <w:rPr>
                <w:rFonts w:ascii="Arial" w:hAnsi="Arial"/>
                <w:sz w:val="18"/>
                <w:szCs w:val="18"/>
              </w:rPr>
              <w:t>1.25</w:t>
            </w:r>
          </w:p>
        </w:tc>
        <w:tc>
          <w:tcPr>
            <w:tcW w:w="2045" w:type="dxa"/>
            <w:vAlign w:val="center"/>
          </w:tcPr>
          <w:p w14:paraId="434E692D">
            <w:pPr>
              <w:jc w:val="center"/>
              <w:rPr>
                <w:sz w:val="18"/>
                <w:szCs w:val="18"/>
              </w:rPr>
            </w:pPr>
            <w:r>
              <w:rPr>
                <w:rFonts w:ascii="Arial" w:hAnsi="Arial"/>
                <w:sz w:val="18"/>
                <w:szCs w:val="18"/>
              </w:rPr>
              <w:t>1.02–1.53</w:t>
            </w:r>
          </w:p>
        </w:tc>
        <w:tc>
          <w:tcPr>
            <w:tcW w:w="2045" w:type="dxa"/>
            <w:vAlign w:val="center"/>
          </w:tcPr>
          <w:p w14:paraId="62CA9006">
            <w:pPr>
              <w:jc w:val="center"/>
              <w:rPr>
                <w:sz w:val="18"/>
                <w:szCs w:val="18"/>
              </w:rPr>
            </w:pPr>
            <w:r>
              <w:rPr>
                <w:rFonts w:ascii="Arial" w:hAnsi="Arial"/>
                <w:sz w:val="18"/>
                <w:szCs w:val="18"/>
              </w:rPr>
              <w:t>0.028</w:t>
            </w:r>
          </w:p>
        </w:tc>
      </w:tr>
      <w:tr w14:paraId="2A2D01BF">
        <w:tblPrEx>
          <w:tblCellMar>
            <w:top w:w="0" w:type="dxa"/>
            <w:left w:w="108" w:type="dxa"/>
            <w:bottom w:w="0" w:type="dxa"/>
            <w:right w:w="108" w:type="dxa"/>
          </w:tblCellMar>
        </w:tblPrEx>
        <w:trPr>
          <w:jc w:val="center"/>
        </w:trPr>
        <w:tc>
          <w:tcPr>
            <w:tcW w:w="2045" w:type="dxa"/>
            <w:tcBorders>
              <w:bottom w:val="single" w:color="000000" w:sz="8" w:space="0"/>
            </w:tcBorders>
            <w:vAlign w:val="center"/>
          </w:tcPr>
          <w:p w14:paraId="4F0B1A69">
            <w:pPr>
              <w:jc w:val="left"/>
              <w:rPr>
                <w:sz w:val="18"/>
                <w:szCs w:val="18"/>
              </w:rPr>
            </w:pPr>
            <w:r>
              <w:rPr>
                <w:rFonts w:ascii="Arial" w:hAnsi="Arial"/>
                <w:sz w:val="18"/>
                <w:szCs w:val="18"/>
              </w:rPr>
              <w:t>0.25</w:t>
            </w:r>
          </w:p>
        </w:tc>
        <w:tc>
          <w:tcPr>
            <w:tcW w:w="2045" w:type="dxa"/>
            <w:tcBorders>
              <w:bottom w:val="single" w:color="000000" w:sz="8" w:space="0"/>
            </w:tcBorders>
            <w:vAlign w:val="center"/>
          </w:tcPr>
          <w:p w14:paraId="10A04E68">
            <w:pPr>
              <w:jc w:val="center"/>
              <w:rPr>
                <w:sz w:val="18"/>
                <w:szCs w:val="18"/>
              </w:rPr>
            </w:pPr>
            <w:r>
              <w:rPr>
                <w:rFonts w:ascii="Arial" w:hAnsi="Arial"/>
                <w:sz w:val="18"/>
                <w:szCs w:val="18"/>
              </w:rPr>
              <w:t>151.5</w:t>
            </w:r>
          </w:p>
        </w:tc>
        <w:tc>
          <w:tcPr>
            <w:tcW w:w="2045" w:type="dxa"/>
            <w:tcBorders>
              <w:bottom w:val="single" w:color="000000" w:sz="8" w:space="0"/>
            </w:tcBorders>
            <w:vAlign w:val="center"/>
          </w:tcPr>
          <w:p w14:paraId="4ABEBFCB">
            <w:pPr>
              <w:jc w:val="center"/>
              <w:rPr>
                <w:sz w:val="18"/>
                <w:szCs w:val="18"/>
              </w:rPr>
            </w:pPr>
            <w:r>
              <w:rPr>
                <w:rFonts w:ascii="Arial" w:hAnsi="Arial"/>
                <w:sz w:val="18"/>
                <w:szCs w:val="18"/>
              </w:rPr>
              <w:t>1.19</w:t>
            </w:r>
          </w:p>
        </w:tc>
        <w:tc>
          <w:tcPr>
            <w:tcW w:w="2045" w:type="dxa"/>
            <w:tcBorders>
              <w:bottom w:val="single" w:color="000000" w:sz="8" w:space="0"/>
            </w:tcBorders>
            <w:vAlign w:val="center"/>
          </w:tcPr>
          <w:p w14:paraId="10A728F9">
            <w:pPr>
              <w:jc w:val="center"/>
              <w:rPr>
                <w:sz w:val="18"/>
                <w:szCs w:val="18"/>
              </w:rPr>
            </w:pPr>
            <w:r>
              <w:rPr>
                <w:rFonts w:ascii="Arial" w:hAnsi="Arial"/>
                <w:sz w:val="18"/>
                <w:szCs w:val="18"/>
              </w:rPr>
              <w:t>0.92–1.55</w:t>
            </w:r>
          </w:p>
        </w:tc>
        <w:tc>
          <w:tcPr>
            <w:tcW w:w="2045" w:type="dxa"/>
            <w:tcBorders>
              <w:bottom w:val="single" w:color="000000" w:sz="8" w:space="0"/>
            </w:tcBorders>
            <w:vAlign w:val="center"/>
          </w:tcPr>
          <w:p w14:paraId="04F60094">
            <w:pPr>
              <w:jc w:val="center"/>
              <w:rPr>
                <w:sz w:val="18"/>
                <w:szCs w:val="18"/>
              </w:rPr>
            </w:pPr>
            <w:r>
              <w:rPr>
                <w:rFonts w:ascii="Arial" w:hAnsi="Arial"/>
                <w:sz w:val="18"/>
                <w:szCs w:val="18"/>
              </w:rPr>
              <w:t>0.182</w:t>
            </w:r>
          </w:p>
        </w:tc>
      </w:tr>
    </w:tbl>
    <w:p w14:paraId="38D085FE">
      <w:pPr>
        <w:spacing w:before="120"/>
        <w:jc w:val="both"/>
        <w:rPr>
          <w:sz w:val="18"/>
          <w:szCs w:val="18"/>
        </w:rPr>
      </w:pPr>
      <w:r>
        <w:rPr>
          <w:rFonts w:ascii="Arial" w:hAnsi="Arial"/>
          <w:sz w:val="18"/>
          <w:szCs w:val="18"/>
        </w:rPr>
        <w:t>CI, confidence interval; HR, hazard ratio. All analyses used the original 644-patient cohort with 37 incident echocardiographic events and were adjusted for age at diagnosis and sex. Only the specified conversion factor was varied while the outcome definition and follow-up were held constant. In panel B, the pirarubicin factor was fixed at 0.67. An exploratory QC analysis excluding all 113 patients who ever received liposomal doxorubicin was not used as the principal sensitivity analysis because some patients initiated the liposomal formulation after the echocardiographic event.</w:t>
      </w:r>
    </w:p>
    <w:p w14:paraId="2383D894">
      <w:r>
        <w:br w:type="page"/>
      </w:r>
    </w:p>
    <w:p w14:paraId="76F1A73C">
      <w:pPr>
        <w:jc w:val="left"/>
        <w:rPr>
          <w:b/>
          <w:bCs/>
          <w:sz w:val="22"/>
          <w:szCs w:val="22"/>
        </w:rPr>
      </w:pPr>
      <w:r>
        <w:rPr>
          <w:b/>
          <w:bCs/>
          <w:sz w:val="22"/>
          <w:szCs w:val="22"/>
        </w:rPr>
        <w:t>Supplementary Table S8. Sensitivity analyses addressing temporal exposure assignment, echocardiographic surveillance intensity, low-dose inclusion, competing risk, and proportional-hazards assumptions</w:t>
      </w:r>
    </w:p>
    <w:tbl>
      <w:tblPr>
        <w:tblStyle w:val="32"/>
        <w:tblW w:w="0" w:type="auto"/>
        <w:jc w:val="center"/>
        <w:tblLayout w:type="autofit"/>
        <w:tblCellMar>
          <w:top w:w="0" w:type="dxa"/>
          <w:left w:w="108" w:type="dxa"/>
          <w:bottom w:w="0" w:type="dxa"/>
          <w:right w:w="108" w:type="dxa"/>
        </w:tblCellMar>
      </w:tblPr>
      <w:tblGrid>
        <w:gridCol w:w="1704"/>
        <w:gridCol w:w="1704"/>
        <w:gridCol w:w="1704"/>
        <w:gridCol w:w="1704"/>
        <w:gridCol w:w="1704"/>
        <w:gridCol w:w="1704"/>
      </w:tblGrid>
      <w:tr w14:paraId="5A6D2DCC">
        <w:tblPrEx>
          <w:tblCellMar>
            <w:top w:w="0" w:type="dxa"/>
            <w:left w:w="108" w:type="dxa"/>
            <w:bottom w:w="0" w:type="dxa"/>
            <w:right w:w="108" w:type="dxa"/>
          </w:tblCellMar>
        </w:tblPrEx>
        <w:trPr>
          <w:tblHeader/>
          <w:jc w:val="center"/>
        </w:trPr>
        <w:tc>
          <w:tcPr>
            <w:tcW w:w="1704" w:type="dxa"/>
            <w:tcBorders>
              <w:top w:val="single" w:color="000000" w:sz="12" w:space="0"/>
              <w:left w:val="nil"/>
              <w:bottom w:val="single" w:color="000000" w:sz="6" w:space="0"/>
              <w:right w:val="nil"/>
              <w:insideH w:val="nil"/>
              <w:insideV w:val="nil"/>
            </w:tcBorders>
            <w:vAlign w:val="center"/>
          </w:tcPr>
          <w:p w14:paraId="7E2E3581">
            <w:pPr>
              <w:jc w:val="left"/>
              <w:rPr>
                <w:sz w:val="18"/>
                <w:szCs w:val="18"/>
              </w:rPr>
            </w:pPr>
            <w:r>
              <w:rPr>
                <w:rFonts w:ascii="Arial" w:hAnsi="Arial"/>
                <w:b/>
                <w:sz w:val="18"/>
                <w:szCs w:val="18"/>
              </w:rPr>
              <w:t>Analysis</w:t>
            </w:r>
          </w:p>
        </w:tc>
        <w:tc>
          <w:tcPr>
            <w:tcW w:w="1704" w:type="dxa"/>
            <w:tcBorders>
              <w:top w:val="single" w:color="000000" w:sz="12" w:space="0"/>
              <w:left w:val="nil"/>
              <w:bottom w:val="single" w:color="000000" w:sz="6" w:space="0"/>
              <w:right w:val="nil"/>
              <w:insideH w:val="nil"/>
              <w:insideV w:val="nil"/>
            </w:tcBorders>
            <w:vAlign w:val="center"/>
          </w:tcPr>
          <w:p w14:paraId="196A1E82">
            <w:pPr>
              <w:jc w:val="center"/>
              <w:rPr>
                <w:sz w:val="18"/>
                <w:szCs w:val="18"/>
              </w:rPr>
            </w:pPr>
            <w:r>
              <w:rPr>
                <w:rFonts w:ascii="Arial" w:hAnsi="Arial"/>
                <w:b/>
                <w:sz w:val="18"/>
                <w:szCs w:val="18"/>
              </w:rPr>
              <w:t>N</w:t>
            </w:r>
          </w:p>
        </w:tc>
        <w:tc>
          <w:tcPr>
            <w:tcW w:w="1704" w:type="dxa"/>
            <w:tcBorders>
              <w:top w:val="single" w:color="000000" w:sz="12" w:space="0"/>
              <w:left w:val="nil"/>
              <w:bottom w:val="single" w:color="000000" w:sz="6" w:space="0"/>
              <w:right w:val="nil"/>
              <w:insideH w:val="nil"/>
              <w:insideV w:val="nil"/>
            </w:tcBorders>
            <w:vAlign w:val="center"/>
          </w:tcPr>
          <w:p w14:paraId="53584AFB">
            <w:pPr>
              <w:jc w:val="center"/>
              <w:rPr>
                <w:sz w:val="18"/>
                <w:szCs w:val="18"/>
              </w:rPr>
            </w:pPr>
            <w:r>
              <w:rPr>
                <w:rFonts w:ascii="Arial" w:hAnsi="Arial"/>
                <w:b/>
                <w:bCs/>
                <w:sz w:val="18"/>
                <w:szCs w:val="18"/>
              </w:rPr>
              <w:t>Events</w:t>
            </w:r>
          </w:p>
        </w:tc>
        <w:tc>
          <w:tcPr>
            <w:tcW w:w="1704" w:type="dxa"/>
            <w:tcBorders>
              <w:top w:val="single" w:color="000000" w:sz="12" w:space="0"/>
              <w:left w:val="nil"/>
              <w:bottom w:val="single" w:color="000000" w:sz="6" w:space="0"/>
              <w:right w:val="nil"/>
              <w:insideH w:val="nil"/>
              <w:insideV w:val="nil"/>
            </w:tcBorders>
            <w:vAlign w:val="center"/>
          </w:tcPr>
          <w:p w14:paraId="4CE1E18A">
            <w:pPr>
              <w:jc w:val="center"/>
              <w:rPr>
                <w:sz w:val="18"/>
                <w:szCs w:val="18"/>
              </w:rPr>
            </w:pPr>
            <w:r>
              <w:rPr>
                <w:rFonts w:ascii="Arial" w:hAnsi="Arial"/>
                <w:b/>
                <w:sz w:val="18"/>
                <w:szCs w:val="18"/>
              </w:rPr>
              <w:t>Effect measure</w:t>
            </w:r>
          </w:p>
        </w:tc>
        <w:tc>
          <w:tcPr>
            <w:tcW w:w="1704" w:type="dxa"/>
            <w:tcBorders>
              <w:top w:val="single" w:color="000000" w:sz="12" w:space="0"/>
              <w:left w:val="nil"/>
              <w:bottom w:val="single" w:color="000000" w:sz="6" w:space="0"/>
              <w:right w:val="nil"/>
              <w:insideH w:val="nil"/>
              <w:insideV w:val="nil"/>
            </w:tcBorders>
            <w:vAlign w:val="center"/>
          </w:tcPr>
          <w:p w14:paraId="4E0D36D1">
            <w:pPr>
              <w:jc w:val="center"/>
              <w:rPr>
                <w:sz w:val="18"/>
                <w:szCs w:val="18"/>
              </w:rPr>
            </w:pPr>
            <w:r>
              <w:rPr>
                <w:rFonts w:ascii="Arial" w:hAnsi="Arial"/>
                <w:b/>
                <w:sz w:val="18"/>
                <w:szCs w:val="18"/>
              </w:rPr>
              <w:t>Estimate (95% CI)</w:t>
            </w:r>
          </w:p>
        </w:tc>
        <w:tc>
          <w:tcPr>
            <w:tcW w:w="1704" w:type="dxa"/>
            <w:tcBorders>
              <w:top w:val="single" w:color="000000" w:sz="12" w:space="0"/>
              <w:left w:val="nil"/>
              <w:bottom w:val="single" w:color="000000" w:sz="6" w:space="0"/>
              <w:right w:val="nil"/>
              <w:insideH w:val="nil"/>
              <w:insideV w:val="nil"/>
            </w:tcBorders>
            <w:vAlign w:val="center"/>
          </w:tcPr>
          <w:p w14:paraId="0D340B74">
            <w:pPr>
              <w:jc w:val="center"/>
              <w:rPr>
                <w:sz w:val="18"/>
                <w:szCs w:val="18"/>
              </w:rPr>
            </w:pPr>
            <w:r>
              <w:rPr>
                <w:rFonts w:ascii="Arial" w:hAnsi="Arial"/>
                <w:b/>
                <w:sz w:val="18"/>
                <w:szCs w:val="18"/>
              </w:rPr>
              <w:t>P value</w:t>
            </w:r>
          </w:p>
        </w:tc>
      </w:tr>
      <w:tr w14:paraId="326519CE">
        <w:tblPrEx>
          <w:tblCellMar>
            <w:top w:w="0" w:type="dxa"/>
            <w:left w:w="108" w:type="dxa"/>
            <w:bottom w:w="0" w:type="dxa"/>
            <w:right w:w="108" w:type="dxa"/>
          </w:tblCellMar>
        </w:tblPrEx>
        <w:trPr>
          <w:jc w:val="center"/>
        </w:trPr>
        <w:tc>
          <w:tcPr>
            <w:tcW w:w="1704" w:type="dxa"/>
          </w:tcPr>
          <w:p w14:paraId="0A74C500">
            <w:pPr>
              <w:rPr>
                <w:sz w:val="18"/>
                <w:szCs w:val="18"/>
              </w:rPr>
            </w:pPr>
            <w:r>
              <w:rPr>
                <w:rFonts w:ascii="Arial" w:hAnsi="Arial"/>
                <w:sz w:val="18"/>
                <w:szCs w:val="18"/>
              </w:rPr>
              <w:t>Prespecified composite endpoint</w:t>
            </w:r>
            <w:r>
              <w:rPr>
                <w:rFonts w:hint="eastAsia" w:eastAsia="宋体"/>
                <w:sz w:val="18"/>
                <w:szCs w:val="18"/>
                <w:lang w:val="en-US" w:eastAsia="zh-CN"/>
              </w:rPr>
              <w:t>-</w:t>
            </w:r>
            <w:r>
              <w:rPr>
                <w:rFonts w:ascii="Arial" w:hAnsi="Arial"/>
                <w:sz w:val="18"/>
                <w:szCs w:val="18"/>
              </w:rPr>
              <w:t>time-varying cumulative-dose Cox</w:t>
            </w:r>
          </w:p>
        </w:tc>
        <w:tc>
          <w:tcPr>
            <w:tcW w:w="1704" w:type="dxa"/>
          </w:tcPr>
          <w:p w14:paraId="380F94F9">
            <w:pPr>
              <w:jc w:val="center"/>
              <w:rPr>
                <w:sz w:val="18"/>
                <w:szCs w:val="18"/>
              </w:rPr>
            </w:pPr>
            <w:r>
              <w:rPr>
                <w:rFonts w:ascii="Arial" w:hAnsi="Arial"/>
                <w:sz w:val="18"/>
                <w:szCs w:val="18"/>
              </w:rPr>
              <w:t>644</w:t>
            </w:r>
          </w:p>
        </w:tc>
        <w:tc>
          <w:tcPr>
            <w:tcW w:w="1704" w:type="dxa"/>
          </w:tcPr>
          <w:p w14:paraId="1D227035">
            <w:pPr>
              <w:jc w:val="center"/>
              <w:rPr>
                <w:sz w:val="18"/>
                <w:szCs w:val="18"/>
              </w:rPr>
            </w:pPr>
            <w:r>
              <w:rPr>
                <w:rFonts w:ascii="Arial" w:hAnsi="Arial"/>
                <w:sz w:val="18"/>
                <w:szCs w:val="18"/>
              </w:rPr>
              <w:t>584</w:t>
            </w:r>
          </w:p>
        </w:tc>
        <w:tc>
          <w:tcPr>
            <w:tcW w:w="1704" w:type="dxa"/>
          </w:tcPr>
          <w:p w14:paraId="7CBB69FE">
            <w:pPr>
              <w:jc w:val="center"/>
              <w:rPr>
                <w:sz w:val="18"/>
                <w:szCs w:val="18"/>
              </w:rPr>
            </w:pPr>
            <w:r>
              <w:rPr>
                <w:rFonts w:ascii="Arial" w:hAnsi="Arial"/>
                <w:sz w:val="18"/>
                <w:szCs w:val="18"/>
              </w:rPr>
              <w:t>Adjusted HR per 50 mg/m²</w:t>
            </w:r>
          </w:p>
        </w:tc>
        <w:tc>
          <w:tcPr>
            <w:tcW w:w="1704" w:type="dxa"/>
          </w:tcPr>
          <w:p w14:paraId="3F83DC61">
            <w:pPr>
              <w:jc w:val="center"/>
              <w:rPr>
                <w:sz w:val="18"/>
                <w:szCs w:val="18"/>
              </w:rPr>
            </w:pPr>
            <w:r>
              <w:rPr>
                <w:rFonts w:ascii="Arial" w:hAnsi="Arial"/>
                <w:sz w:val="18"/>
                <w:szCs w:val="18"/>
              </w:rPr>
              <w:t>1.17 (1.03–1.33)</w:t>
            </w:r>
          </w:p>
        </w:tc>
        <w:tc>
          <w:tcPr>
            <w:tcW w:w="1704" w:type="dxa"/>
          </w:tcPr>
          <w:p w14:paraId="781AAE72">
            <w:pPr>
              <w:jc w:val="center"/>
              <w:rPr>
                <w:sz w:val="18"/>
                <w:szCs w:val="18"/>
              </w:rPr>
            </w:pPr>
            <w:r>
              <w:rPr>
                <w:rFonts w:ascii="Arial" w:hAnsi="Arial"/>
                <w:sz w:val="18"/>
                <w:szCs w:val="18"/>
              </w:rPr>
              <w:t>0.018</w:t>
            </w:r>
          </w:p>
        </w:tc>
      </w:tr>
      <w:tr w14:paraId="08B74564">
        <w:tblPrEx>
          <w:tblCellMar>
            <w:top w:w="0" w:type="dxa"/>
            <w:left w:w="108" w:type="dxa"/>
            <w:bottom w:w="0" w:type="dxa"/>
            <w:right w:w="108" w:type="dxa"/>
          </w:tblCellMar>
        </w:tblPrEx>
        <w:trPr>
          <w:jc w:val="center"/>
        </w:trPr>
        <w:tc>
          <w:tcPr>
            <w:tcW w:w="1704" w:type="dxa"/>
            <w:tcBorders>
              <w:top w:val="nil"/>
              <w:left w:val="nil"/>
              <w:bottom w:val="nil"/>
              <w:right w:val="nil"/>
              <w:insideH w:val="nil"/>
              <w:insideV w:val="nil"/>
            </w:tcBorders>
            <w:vAlign w:val="center"/>
          </w:tcPr>
          <w:p w14:paraId="05B048FD">
            <w:pPr>
              <w:jc w:val="left"/>
              <w:rPr>
                <w:sz w:val="18"/>
                <w:szCs w:val="18"/>
              </w:rPr>
            </w:pPr>
            <w:r>
              <w:rPr>
                <w:rFonts w:ascii="Arial" w:hAnsi="Arial"/>
                <w:sz w:val="18"/>
                <w:szCs w:val="18"/>
              </w:rPr>
              <w:t>Primary continuous-dose Cox</w:t>
            </w:r>
          </w:p>
        </w:tc>
        <w:tc>
          <w:tcPr>
            <w:tcW w:w="1704" w:type="dxa"/>
            <w:tcBorders>
              <w:top w:val="nil"/>
              <w:left w:val="nil"/>
              <w:bottom w:val="nil"/>
              <w:right w:val="nil"/>
              <w:insideH w:val="nil"/>
              <w:insideV w:val="nil"/>
            </w:tcBorders>
            <w:vAlign w:val="center"/>
          </w:tcPr>
          <w:p w14:paraId="049673D2">
            <w:pPr>
              <w:jc w:val="center"/>
              <w:rPr>
                <w:sz w:val="18"/>
                <w:szCs w:val="18"/>
              </w:rPr>
            </w:pPr>
            <w:r>
              <w:rPr>
                <w:rFonts w:ascii="Arial" w:hAnsi="Arial"/>
                <w:sz w:val="18"/>
                <w:szCs w:val="18"/>
              </w:rPr>
              <w:t>644</w:t>
            </w:r>
          </w:p>
        </w:tc>
        <w:tc>
          <w:tcPr>
            <w:tcW w:w="1704" w:type="dxa"/>
            <w:tcBorders>
              <w:top w:val="nil"/>
              <w:left w:val="nil"/>
              <w:bottom w:val="nil"/>
              <w:right w:val="nil"/>
              <w:insideH w:val="nil"/>
              <w:insideV w:val="nil"/>
            </w:tcBorders>
            <w:vAlign w:val="center"/>
          </w:tcPr>
          <w:p w14:paraId="5B3B5123">
            <w:pPr>
              <w:jc w:val="center"/>
              <w:rPr>
                <w:sz w:val="18"/>
                <w:szCs w:val="18"/>
              </w:rPr>
            </w:pPr>
            <w:r>
              <w:rPr>
                <w:rFonts w:ascii="Arial" w:hAnsi="Arial"/>
                <w:sz w:val="18"/>
                <w:szCs w:val="18"/>
              </w:rPr>
              <w:t>37</w:t>
            </w:r>
          </w:p>
        </w:tc>
        <w:tc>
          <w:tcPr>
            <w:tcW w:w="1704" w:type="dxa"/>
            <w:tcBorders>
              <w:top w:val="nil"/>
              <w:left w:val="nil"/>
              <w:bottom w:val="nil"/>
              <w:right w:val="nil"/>
              <w:insideH w:val="nil"/>
              <w:insideV w:val="nil"/>
            </w:tcBorders>
            <w:vAlign w:val="center"/>
          </w:tcPr>
          <w:p w14:paraId="7F26DDFE">
            <w:pPr>
              <w:jc w:val="center"/>
              <w:rPr>
                <w:sz w:val="18"/>
                <w:szCs w:val="18"/>
              </w:rPr>
            </w:pPr>
            <w:r>
              <w:rPr>
                <w:rFonts w:ascii="Arial" w:hAnsi="Arial"/>
                <w:sz w:val="18"/>
                <w:szCs w:val="18"/>
              </w:rPr>
              <w:t>Adjusted HR per 50 mg/m²</w:t>
            </w:r>
          </w:p>
        </w:tc>
        <w:tc>
          <w:tcPr>
            <w:tcW w:w="1704" w:type="dxa"/>
            <w:tcBorders>
              <w:top w:val="nil"/>
              <w:left w:val="nil"/>
              <w:bottom w:val="nil"/>
              <w:right w:val="nil"/>
              <w:insideH w:val="nil"/>
              <w:insideV w:val="nil"/>
            </w:tcBorders>
            <w:vAlign w:val="center"/>
          </w:tcPr>
          <w:p w14:paraId="17279C82">
            <w:pPr>
              <w:jc w:val="center"/>
              <w:rPr>
                <w:sz w:val="18"/>
                <w:szCs w:val="18"/>
              </w:rPr>
            </w:pPr>
            <w:r>
              <w:rPr>
                <w:rFonts w:ascii="Arial" w:hAnsi="Arial"/>
                <w:sz w:val="18"/>
                <w:szCs w:val="18"/>
              </w:rPr>
              <w:t>1.20 (1.06–1.35)</w:t>
            </w:r>
          </w:p>
        </w:tc>
        <w:tc>
          <w:tcPr>
            <w:tcW w:w="1704" w:type="dxa"/>
            <w:tcBorders>
              <w:top w:val="nil"/>
              <w:left w:val="nil"/>
              <w:bottom w:val="nil"/>
              <w:right w:val="nil"/>
              <w:insideH w:val="nil"/>
              <w:insideV w:val="nil"/>
            </w:tcBorders>
            <w:vAlign w:val="center"/>
          </w:tcPr>
          <w:p w14:paraId="3CB5F7BB">
            <w:pPr>
              <w:jc w:val="center"/>
              <w:rPr>
                <w:sz w:val="18"/>
                <w:szCs w:val="18"/>
              </w:rPr>
            </w:pPr>
            <w:r>
              <w:rPr>
                <w:rFonts w:ascii="Arial" w:hAnsi="Arial"/>
                <w:sz w:val="18"/>
                <w:szCs w:val="18"/>
              </w:rPr>
              <w:t>0.004</w:t>
            </w:r>
          </w:p>
        </w:tc>
      </w:tr>
      <w:tr w14:paraId="2D3B2E93">
        <w:tblPrEx>
          <w:tblCellMar>
            <w:top w:w="0" w:type="dxa"/>
            <w:left w:w="108" w:type="dxa"/>
            <w:bottom w:w="0" w:type="dxa"/>
            <w:right w:w="108" w:type="dxa"/>
          </w:tblCellMar>
        </w:tblPrEx>
        <w:trPr>
          <w:jc w:val="center"/>
        </w:trPr>
        <w:tc>
          <w:tcPr>
            <w:tcW w:w="1704" w:type="dxa"/>
            <w:tcBorders>
              <w:top w:val="nil"/>
              <w:left w:val="nil"/>
              <w:bottom w:val="nil"/>
              <w:right w:val="nil"/>
              <w:insideH w:val="nil"/>
              <w:insideV w:val="nil"/>
            </w:tcBorders>
            <w:vAlign w:val="center"/>
          </w:tcPr>
          <w:p w14:paraId="19CD5ED8">
            <w:pPr>
              <w:jc w:val="left"/>
              <w:rPr>
                <w:sz w:val="18"/>
                <w:szCs w:val="18"/>
              </w:rPr>
            </w:pPr>
            <w:r>
              <w:rPr>
                <w:rFonts w:hint="eastAsia" w:eastAsia="宋体"/>
                <w:sz w:val="18"/>
                <w:szCs w:val="18"/>
                <w:lang w:val="en-US" w:eastAsia="zh-CN"/>
              </w:rPr>
              <w:t xml:space="preserve">Echo </w:t>
            </w:r>
            <w:r>
              <w:rPr>
                <w:rFonts w:ascii="Arial" w:hAnsi="Arial"/>
                <w:sz w:val="18"/>
                <w:szCs w:val="18"/>
              </w:rPr>
              <w:t>Time-varying Cox</w:t>
            </w:r>
          </w:p>
        </w:tc>
        <w:tc>
          <w:tcPr>
            <w:tcW w:w="1704" w:type="dxa"/>
            <w:tcBorders>
              <w:top w:val="nil"/>
              <w:left w:val="nil"/>
              <w:bottom w:val="nil"/>
              <w:right w:val="nil"/>
              <w:insideH w:val="nil"/>
              <w:insideV w:val="nil"/>
            </w:tcBorders>
            <w:vAlign w:val="center"/>
          </w:tcPr>
          <w:p w14:paraId="75B2D330">
            <w:pPr>
              <w:jc w:val="center"/>
              <w:rPr>
                <w:sz w:val="18"/>
                <w:szCs w:val="18"/>
              </w:rPr>
            </w:pPr>
            <w:r>
              <w:rPr>
                <w:rFonts w:ascii="Arial" w:hAnsi="Arial"/>
                <w:sz w:val="18"/>
                <w:szCs w:val="18"/>
              </w:rPr>
              <w:t>644</w:t>
            </w:r>
          </w:p>
        </w:tc>
        <w:tc>
          <w:tcPr>
            <w:tcW w:w="1704" w:type="dxa"/>
            <w:tcBorders>
              <w:top w:val="nil"/>
              <w:left w:val="nil"/>
              <w:bottom w:val="nil"/>
              <w:right w:val="nil"/>
              <w:insideH w:val="nil"/>
              <w:insideV w:val="nil"/>
            </w:tcBorders>
            <w:vAlign w:val="center"/>
          </w:tcPr>
          <w:p w14:paraId="25D87D92">
            <w:pPr>
              <w:jc w:val="center"/>
              <w:rPr>
                <w:sz w:val="18"/>
                <w:szCs w:val="18"/>
              </w:rPr>
            </w:pPr>
            <w:r>
              <w:rPr>
                <w:rFonts w:ascii="Arial" w:hAnsi="Arial"/>
                <w:sz w:val="18"/>
                <w:szCs w:val="18"/>
              </w:rPr>
              <w:t>37</w:t>
            </w:r>
          </w:p>
        </w:tc>
        <w:tc>
          <w:tcPr>
            <w:tcW w:w="1704" w:type="dxa"/>
            <w:tcBorders>
              <w:top w:val="nil"/>
              <w:left w:val="nil"/>
              <w:bottom w:val="nil"/>
              <w:right w:val="nil"/>
              <w:insideH w:val="nil"/>
              <w:insideV w:val="nil"/>
            </w:tcBorders>
            <w:vAlign w:val="center"/>
          </w:tcPr>
          <w:p w14:paraId="71AD25D2">
            <w:pPr>
              <w:jc w:val="center"/>
              <w:rPr>
                <w:sz w:val="18"/>
                <w:szCs w:val="18"/>
              </w:rPr>
            </w:pPr>
            <w:r>
              <w:rPr>
                <w:rFonts w:ascii="Arial" w:hAnsi="Arial"/>
                <w:sz w:val="18"/>
                <w:szCs w:val="18"/>
              </w:rPr>
              <w:t>Adjusted HR per 50 mg/m²</w:t>
            </w:r>
          </w:p>
        </w:tc>
        <w:tc>
          <w:tcPr>
            <w:tcW w:w="1704" w:type="dxa"/>
            <w:tcBorders>
              <w:top w:val="nil"/>
              <w:left w:val="nil"/>
              <w:bottom w:val="nil"/>
              <w:right w:val="nil"/>
              <w:insideH w:val="nil"/>
              <w:insideV w:val="nil"/>
            </w:tcBorders>
            <w:vAlign w:val="center"/>
          </w:tcPr>
          <w:p w14:paraId="7DC44FA4">
            <w:pPr>
              <w:jc w:val="center"/>
              <w:rPr>
                <w:sz w:val="18"/>
                <w:szCs w:val="18"/>
              </w:rPr>
            </w:pPr>
            <w:r>
              <w:rPr>
                <w:rFonts w:ascii="Arial" w:hAnsi="Arial"/>
                <w:sz w:val="18"/>
                <w:szCs w:val="18"/>
              </w:rPr>
              <w:t>1.41 (1.22–1.64)</w:t>
            </w:r>
          </w:p>
        </w:tc>
        <w:tc>
          <w:tcPr>
            <w:tcW w:w="1704" w:type="dxa"/>
            <w:tcBorders>
              <w:top w:val="nil"/>
              <w:left w:val="nil"/>
              <w:bottom w:val="nil"/>
              <w:right w:val="nil"/>
              <w:insideH w:val="nil"/>
              <w:insideV w:val="nil"/>
            </w:tcBorders>
            <w:vAlign w:val="center"/>
          </w:tcPr>
          <w:p w14:paraId="1C8D7E52">
            <w:pPr>
              <w:jc w:val="center"/>
              <w:rPr>
                <w:sz w:val="18"/>
                <w:szCs w:val="18"/>
              </w:rPr>
            </w:pPr>
            <w:r>
              <w:rPr>
                <w:rFonts w:ascii="Arial" w:hAnsi="Arial"/>
                <w:sz w:val="18"/>
                <w:szCs w:val="18"/>
              </w:rPr>
              <w:t>&lt;0.001</w:t>
            </w:r>
          </w:p>
        </w:tc>
      </w:tr>
      <w:tr w14:paraId="65C7D461">
        <w:tblPrEx>
          <w:tblCellMar>
            <w:top w:w="0" w:type="dxa"/>
            <w:left w:w="108" w:type="dxa"/>
            <w:bottom w:w="0" w:type="dxa"/>
            <w:right w:w="108" w:type="dxa"/>
          </w:tblCellMar>
        </w:tblPrEx>
        <w:trPr>
          <w:jc w:val="center"/>
        </w:trPr>
        <w:tc>
          <w:tcPr>
            <w:tcW w:w="1704" w:type="dxa"/>
            <w:tcBorders>
              <w:top w:val="nil"/>
              <w:left w:val="nil"/>
              <w:bottom w:val="nil"/>
              <w:right w:val="nil"/>
              <w:insideH w:val="nil"/>
              <w:insideV w:val="nil"/>
            </w:tcBorders>
            <w:vAlign w:val="center"/>
          </w:tcPr>
          <w:p w14:paraId="7A06887C">
            <w:pPr>
              <w:jc w:val="left"/>
              <w:rPr>
                <w:sz w:val="18"/>
                <w:szCs w:val="18"/>
              </w:rPr>
            </w:pPr>
            <w:r>
              <w:rPr>
                <w:rFonts w:ascii="Arial" w:hAnsi="Arial"/>
                <w:sz w:val="18"/>
                <w:szCs w:val="18"/>
              </w:rPr>
              <w:t>Post-treatment landmark</w:t>
            </w:r>
          </w:p>
        </w:tc>
        <w:tc>
          <w:tcPr>
            <w:tcW w:w="1704" w:type="dxa"/>
            <w:tcBorders>
              <w:top w:val="nil"/>
              <w:left w:val="nil"/>
              <w:bottom w:val="nil"/>
              <w:right w:val="nil"/>
              <w:insideH w:val="nil"/>
              <w:insideV w:val="nil"/>
            </w:tcBorders>
            <w:vAlign w:val="center"/>
          </w:tcPr>
          <w:p w14:paraId="08ACC6DE">
            <w:pPr>
              <w:jc w:val="center"/>
              <w:rPr>
                <w:sz w:val="18"/>
                <w:szCs w:val="18"/>
              </w:rPr>
            </w:pPr>
            <w:r>
              <w:rPr>
                <w:rFonts w:ascii="Arial" w:hAnsi="Arial"/>
                <w:sz w:val="18"/>
                <w:szCs w:val="18"/>
              </w:rPr>
              <w:t>604</w:t>
            </w:r>
          </w:p>
        </w:tc>
        <w:tc>
          <w:tcPr>
            <w:tcW w:w="1704" w:type="dxa"/>
            <w:tcBorders>
              <w:top w:val="nil"/>
              <w:left w:val="nil"/>
              <w:bottom w:val="nil"/>
              <w:right w:val="nil"/>
              <w:insideH w:val="nil"/>
              <w:insideV w:val="nil"/>
            </w:tcBorders>
            <w:vAlign w:val="center"/>
          </w:tcPr>
          <w:p w14:paraId="26C56A3B">
            <w:pPr>
              <w:jc w:val="center"/>
              <w:rPr>
                <w:sz w:val="18"/>
                <w:szCs w:val="18"/>
              </w:rPr>
            </w:pPr>
            <w:r>
              <w:rPr>
                <w:rFonts w:ascii="Arial" w:hAnsi="Arial"/>
                <w:sz w:val="18"/>
                <w:szCs w:val="18"/>
              </w:rPr>
              <w:t>18</w:t>
            </w:r>
          </w:p>
        </w:tc>
        <w:tc>
          <w:tcPr>
            <w:tcW w:w="1704" w:type="dxa"/>
            <w:tcBorders>
              <w:top w:val="nil"/>
              <w:left w:val="nil"/>
              <w:bottom w:val="nil"/>
              <w:right w:val="nil"/>
              <w:insideH w:val="nil"/>
              <w:insideV w:val="nil"/>
            </w:tcBorders>
            <w:vAlign w:val="center"/>
          </w:tcPr>
          <w:p w14:paraId="2532A481">
            <w:pPr>
              <w:jc w:val="center"/>
              <w:rPr>
                <w:sz w:val="18"/>
                <w:szCs w:val="18"/>
              </w:rPr>
            </w:pPr>
            <w:r>
              <w:rPr>
                <w:rFonts w:ascii="Arial" w:hAnsi="Arial"/>
                <w:sz w:val="18"/>
                <w:szCs w:val="18"/>
              </w:rPr>
              <w:t>Adjusted HR per 50 mg/m²</w:t>
            </w:r>
          </w:p>
        </w:tc>
        <w:tc>
          <w:tcPr>
            <w:tcW w:w="1704" w:type="dxa"/>
            <w:tcBorders>
              <w:top w:val="nil"/>
              <w:left w:val="nil"/>
              <w:bottom w:val="nil"/>
              <w:right w:val="nil"/>
              <w:insideH w:val="nil"/>
              <w:insideV w:val="nil"/>
            </w:tcBorders>
            <w:vAlign w:val="center"/>
          </w:tcPr>
          <w:p w14:paraId="5115C5FE">
            <w:pPr>
              <w:jc w:val="center"/>
              <w:rPr>
                <w:sz w:val="18"/>
                <w:szCs w:val="18"/>
              </w:rPr>
            </w:pPr>
            <w:r>
              <w:rPr>
                <w:rFonts w:ascii="Arial" w:hAnsi="Arial"/>
                <w:sz w:val="18"/>
                <w:szCs w:val="18"/>
              </w:rPr>
              <w:t>1.28 (1.04–1.56)</w:t>
            </w:r>
          </w:p>
        </w:tc>
        <w:tc>
          <w:tcPr>
            <w:tcW w:w="1704" w:type="dxa"/>
            <w:tcBorders>
              <w:top w:val="nil"/>
              <w:left w:val="nil"/>
              <w:bottom w:val="nil"/>
              <w:right w:val="nil"/>
              <w:insideH w:val="nil"/>
              <w:insideV w:val="nil"/>
            </w:tcBorders>
            <w:vAlign w:val="center"/>
          </w:tcPr>
          <w:p w14:paraId="7AB69495">
            <w:pPr>
              <w:jc w:val="center"/>
              <w:rPr>
                <w:sz w:val="18"/>
                <w:szCs w:val="18"/>
              </w:rPr>
            </w:pPr>
            <w:r>
              <w:rPr>
                <w:rFonts w:ascii="Arial" w:hAnsi="Arial"/>
                <w:sz w:val="18"/>
                <w:szCs w:val="18"/>
              </w:rPr>
              <w:t>0.019</w:t>
            </w:r>
          </w:p>
        </w:tc>
      </w:tr>
      <w:tr w14:paraId="36F051CA">
        <w:tblPrEx>
          <w:tblCellMar>
            <w:top w:w="0" w:type="dxa"/>
            <w:left w:w="108" w:type="dxa"/>
            <w:bottom w:w="0" w:type="dxa"/>
            <w:right w:w="108" w:type="dxa"/>
          </w:tblCellMar>
        </w:tblPrEx>
        <w:trPr>
          <w:jc w:val="center"/>
        </w:trPr>
        <w:tc>
          <w:tcPr>
            <w:tcW w:w="1704" w:type="dxa"/>
            <w:tcBorders>
              <w:top w:val="nil"/>
              <w:left w:val="nil"/>
              <w:bottom w:val="nil"/>
              <w:right w:val="nil"/>
              <w:insideH w:val="nil"/>
              <w:insideV w:val="nil"/>
            </w:tcBorders>
            <w:vAlign w:val="center"/>
          </w:tcPr>
          <w:p w14:paraId="1EFA1003">
            <w:pPr>
              <w:jc w:val="left"/>
              <w:rPr>
                <w:sz w:val="18"/>
                <w:szCs w:val="18"/>
              </w:rPr>
            </w:pPr>
            <w:r>
              <w:rPr>
                <w:rFonts w:ascii="Arial" w:hAnsi="Arial"/>
                <w:sz w:val="18"/>
                <w:szCs w:val="18"/>
              </w:rPr>
              <w:t>Expanded cohort including &lt;100 mg/m²</w:t>
            </w:r>
          </w:p>
        </w:tc>
        <w:tc>
          <w:tcPr>
            <w:tcW w:w="1704" w:type="dxa"/>
            <w:tcBorders>
              <w:top w:val="nil"/>
              <w:left w:val="nil"/>
              <w:bottom w:val="nil"/>
              <w:right w:val="nil"/>
              <w:insideH w:val="nil"/>
              <w:insideV w:val="nil"/>
            </w:tcBorders>
            <w:vAlign w:val="center"/>
          </w:tcPr>
          <w:p w14:paraId="3627ABF0">
            <w:pPr>
              <w:jc w:val="center"/>
              <w:rPr>
                <w:sz w:val="18"/>
                <w:szCs w:val="18"/>
              </w:rPr>
            </w:pPr>
            <w:r>
              <w:rPr>
                <w:rFonts w:ascii="Arial" w:hAnsi="Arial"/>
                <w:sz w:val="18"/>
                <w:szCs w:val="18"/>
              </w:rPr>
              <w:t>725</w:t>
            </w:r>
          </w:p>
        </w:tc>
        <w:tc>
          <w:tcPr>
            <w:tcW w:w="1704" w:type="dxa"/>
            <w:tcBorders>
              <w:top w:val="nil"/>
              <w:left w:val="nil"/>
              <w:bottom w:val="nil"/>
              <w:right w:val="nil"/>
              <w:insideH w:val="nil"/>
              <w:insideV w:val="nil"/>
            </w:tcBorders>
            <w:vAlign w:val="center"/>
          </w:tcPr>
          <w:p w14:paraId="4548118F">
            <w:pPr>
              <w:jc w:val="center"/>
              <w:rPr>
                <w:sz w:val="18"/>
                <w:szCs w:val="18"/>
              </w:rPr>
            </w:pPr>
            <w:r>
              <w:rPr>
                <w:rFonts w:ascii="Arial" w:hAnsi="Arial"/>
                <w:sz w:val="18"/>
                <w:szCs w:val="18"/>
              </w:rPr>
              <w:t>38</w:t>
            </w:r>
          </w:p>
        </w:tc>
        <w:tc>
          <w:tcPr>
            <w:tcW w:w="1704" w:type="dxa"/>
            <w:tcBorders>
              <w:top w:val="nil"/>
              <w:left w:val="nil"/>
              <w:bottom w:val="nil"/>
              <w:right w:val="nil"/>
              <w:insideH w:val="nil"/>
              <w:insideV w:val="nil"/>
            </w:tcBorders>
            <w:vAlign w:val="center"/>
          </w:tcPr>
          <w:p w14:paraId="28EC6F86">
            <w:pPr>
              <w:jc w:val="center"/>
              <w:rPr>
                <w:sz w:val="18"/>
                <w:szCs w:val="18"/>
              </w:rPr>
            </w:pPr>
            <w:r>
              <w:rPr>
                <w:rFonts w:ascii="Arial" w:hAnsi="Arial"/>
                <w:sz w:val="18"/>
                <w:szCs w:val="18"/>
              </w:rPr>
              <w:t>Adjusted HR per 50 mg/m²</w:t>
            </w:r>
          </w:p>
        </w:tc>
        <w:tc>
          <w:tcPr>
            <w:tcW w:w="1704" w:type="dxa"/>
            <w:tcBorders>
              <w:top w:val="nil"/>
              <w:left w:val="nil"/>
              <w:bottom w:val="nil"/>
              <w:right w:val="nil"/>
              <w:insideH w:val="nil"/>
              <w:insideV w:val="nil"/>
            </w:tcBorders>
            <w:vAlign w:val="center"/>
          </w:tcPr>
          <w:p w14:paraId="427C0542">
            <w:pPr>
              <w:jc w:val="center"/>
              <w:rPr>
                <w:sz w:val="18"/>
                <w:szCs w:val="18"/>
              </w:rPr>
            </w:pPr>
            <w:r>
              <w:rPr>
                <w:rFonts w:ascii="Arial" w:hAnsi="Arial"/>
                <w:sz w:val="18"/>
                <w:szCs w:val="18"/>
              </w:rPr>
              <w:t>1.22 (1.08–1.37)</w:t>
            </w:r>
          </w:p>
        </w:tc>
        <w:tc>
          <w:tcPr>
            <w:tcW w:w="1704" w:type="dxa"/>
            <w:tcBorders>
              <w:top w:val="nil"/>
              <w:left w:val="nil"/>
              <w:bottom w:val="nil"/>
              <w:right w:val="nil"/>
              <w:insideH w:val="nil"/>
              <w:insideV w:val="nil"/>
            </w:tcBorders>
            <w:vAlign w:val="center"/>
          </w:tcPr>
          <w:p w14:paraId="34C06C93">
            <w:pPr>
              <w:jc w:val="center"/>
              <w:rPr>
                <w:sz w:val="18"/>
                <w:szCs w:val="18"/>
              </w:rPr>
            </w:pPr>
            <w:r>
              <w:rPr>
                <w:rFonts w:ascii="Arial" w:hAnsi="Arial"/>
                <w:sz w:val="18"/>
                <w:szCs w:val="18"/>
              </w:rPr>
              <w:t>&lt;0.001</w:t>
            </w:r>
          </w:p>
        </w:tc>
      </w:tr>
      <w:tr w14:paraId="645500A7">
        <w:tblPrEx>
          <w:tblCellMar>
            <w:top w:w="0" w:type="dxa"/>
            <w:left w:w="108" w:type="dxa"/>
            <w:bottom w:w="0" w:type="dxa"/>
            <w:right w:w="108" w:type="dxa"/>
          </w:tblCellMar>
        </w:tblPrEx>
        <w:trPr>
          <w:jc w:val="center"/>
        </w:trPr>
        <w:tc>
          <w:tcPr>
            <w:tcW w:w="1704" w:type="dxa"/>
            <w:tcBorders>
              <w:top w:val="nil"/>
              <w:left w:val="nil"/>
              <w:bottom w:val="nil"/>
              <w:right w:val="nil"/>
              <w:insideH w:val="nil"/>
              <w:insideV w:val="nil"/>
            </w:tcBorders>
            <w:vAlign w:val="center"/>
          </w:tcPr>
          <w:p w14:paraId="62F40CC2">
            <w:pPr>
              <w:jc w:val="left"/>
              <w:rPr>
                <w:sz w:val="18"/>
                <w:szCs w:val="18"/>
              </w:rPr>
            </w:pPr>
            <w:r>
              <w:rPr>
                <w:rFonts w:ascii="Arial" w:hAnsi="Arial"/>
                <w:sz w:val="18"/>
                <w:szCs w:val="18"/>
              </w:rPr>
              <w:t>Fine</w:t>
            </w:r>
            <w:r>
              <w:rPr>
                <w:rFonts w:hint="eastAsia" w:eastAsia="宋体"/>
                <w:sz w:val="18"/>
                <w:szCs w:val="18"/>
                <w:lang w:val="en-US" w:eastAsia="zh-CN"/>
              </w:rPr>
              <w:t>-</w:t>
            </w:r>
            <w:r>
              <w:rPr>
                <w:rFonts w:ascii="Arial" w:hAnsi="Arial"/>
                <w:sz w:val="18"/>
                <w:szCs w:val="18"/>
              </w:rPr>
              <w:t>Gray competing-risk model</w:t>
            </w:r>
          </w:p>
        </w:tc>
        <w:tc>
          <w:tcPr>
            <w:tcW w:w="1704" w:type="dxa"/>
            <w:tcBorders>
              <w:top w:val="nil"/>
              <w:left w:val="nil"/>
              <w:bottom w:val="nil"/>
              <w:right w:val="nil"/>
              <w:insideH w:val="nil"/>
              <w:insideV w:val="nil"/>
            </w:tcBorders>
            <w:vAlign w:val="center"/>
          </w:tcPr>
          <w:p w14:paraId="557B437E">
            <w:pPr>
              <w:jc w:val="center"/>
              <w:rPr>
                <w:sz w:val="18"/>
                <w:szCs w:val="18"/>
              </w:rPr>
            </w:pPr>
            <w:r>
              <w:rPr>
                <w:rFonts w:ascii="Arial" w:hAnsi="Arial"/>
                <w:sz w:val="18"/>
                <w:szCs w:val="18"/>
              </w:rPr>
              <w:t>644</w:t>
            </w:r>
          </w:p>
        </w:tc>
        <w:tc>
          <w:tcPr>
            <w:tcW w:w="1704" w:type="dxa"/>
            <w:tcBorders>
              <w:top w:val="nil"/>
              <w:left w:val="nil"/>
              <w:bottom w:val="nil"/>
              <w:right w:val="nil"/>
              <w:insideH w:val="nil"/>
              <w:insideV w:val="nil"/>
            </w:tcBorders>
            <w:vAlign w:val="center"/>
          </w:tcPr>
          <w:p w14:paraId="1545E3C1">
            <w:pPr>
              <w:jc w:val="center"/>
              <w:rPr>
                <w:sz w:val="18"/>
                <w:szCs w:val="18"/>
              </w:rPr>
            </w:pPr>
            <w:r>
              <w:rPr>
                <w:rFonts w:ascii="Arial" w:hAnsi="Arial"/>
                <w:sz w:val="18"/>
                <w:szCs w:val="18"/>
              </w:rPr>
              <w:t>37</w:t>
            </w:r>
          </w:p>
        </w:tc>
        <w:tc>
          <w:tcPr>
            <w:tcW w:w="1704" w:type="dxa"/>
            <w:tcBorders>
              <w:top w:val="nil"/>
              <w:left w:val="nil"/>
              <w:bottom w:val="nil"/>
              <w:right w:val="nil"/>
              <w:insideH w:val="nil"/>
              <w:insideV w:val="nil"/>
            </w:tcBorders>
            <w:vAlign w:val="center"/>
          </w:tcPr>
          <w:p w14:paraId="0F0A9277">
            <w:pPr>
              <w:jc w:val="center"/>
              <w:rPr>
                <w:sz w:val="18"/>
                <w:szCs w:val="18"/>
              </w:rPr>
            </w:pPr>
            <w:r>
              <w:rPr>
                <w:rFonts w:ascii="Arial" w:hAnsi="Arial"/>
                <w:sz w:val="18"/>
                <w:szCs w:val="18"/>
              </w:rPr>
              <w:t>Adjusted sHR per 50 mg/m²</w:t>
            </w:r>
          </w:p>
        </w:tc>
        <w:tc>
          <w:tcPr>
            <w:tcW w:w="1704" w:type="dxa"/>
            <w:tcBorders>
              <w:top w:val="nil"/>
              <w:left w:val="nil"/>
              <w:bottom w:val="nil"/>
              <w:right w:val="nil"/>
              <w:insideH w:val="nil"/>
              <w:insideV w:val="nil"/>
            </w:tcBorders>
            <w:vAlign w:val="center"/>
          </w:tcPr>
          <w:p w14:paraId="78716627">
            <w:pPr>
              <w:jc w:val="center"/>
              <w:rPr>
                <w:sz w:val="18"/>
                <w:szCs w:val="18"/>
              </w:rPr>
            </w:pPr>
            <w:r>
              <w:rPr>
                <w:rFonts w:ascii="Arial" w:hAnsi="Arial"/>
                <w:sz w:val="18"/>
                <w:szCs w:val="18"/>
              </w:rPr>
              <w:t>1.19 (1.06–1.35)</w:t>
            </w:r>
          </w:p>
        </w:tc>
        <w:tc>
          <w:tcPr>
            <w:tcW w:w="1704" w:type="dxa"/>
            <w:tcBorders>
              <w:top w:val="nil"/>
              <w:left w:val="nil"/>
              <w:bottom w:val="nil"/>
              <w:right w:val="nil"/>
              <w:insideH w:val="nil"/>
              <w:insideV w:val="nil"/>
            </w:tcBorders>
            <w:vAlign w:val="center"/>
          </w:tcPr>
          <w:p w14:paraId="23D0BFAE">
            <w:pPr>
              <w:jc w:val="center"/>
              <w:rPr>
                <w:sz w:val="18"/>
                <w:szCs w:val="18"/>
              </w:rPr>
            </w:pPr>
            <w:r>
              <w:rPr>
                <w:rFonts w:ascii="Arial" w:hAnsi="Arial"/>
                <w:sz w:val="18"/>
                <w:szCs w:val="18"/>
              </w:rPr>
              <w:t>0.005</w:t>
            </w:r>
          </w:p>
        </w:tc>
      </w:tr>
      <w:tr w14:paraId="5718D6AA">
        <w:tblPrEx>
          <w:tblCellMar>
            <w:top w:w="0" w:type="dxa"/>
            <w:left w:w="108" w:type="dxa"/>
            <w:bottom w:w="0" w:type="dxa"/>
            <w:right w:w="108" w:type="dxa"/>
          </w:tblCellMar>
        </w:tblPrEx>
        <w:trPr>
          <w:jc w:val="center"/>
        </w:trPr>
        <w:tc>
          <w:tcPr>
            <w:tcW w:w="1704" w:type="dxa"/>
            <w:tcBorders>
              <w:top w:val="nil"/>
              <w:left w:val="nil"/>
              <w:bottom w:val="nil"/>
              <w:right w:val="nil"/>
              <w:insideH w:val="nil"/>
              <w:insideV w:val="nil"/>
            </w:tcBorders>
          </w:tcPr>
          <w:p w14:paraId="35FB0981">
            <w:pPr>
              <w:spacing w:after="0"/>
              <w:rPr>
                <w:rFonts w:hint="default" w:ascii="Arial" w:hAnsi="Arial" w:cs="Arial"/>
                <w:sz w:val="18"/>
                <w:szCs w:val="18"/>
              </w:rPr>
            </w:pPr>
            <w:r>
              <w:rPr>
                <w:rFonts w:hint="default" w:ascii="Arial" w:hAnsi="Arial" w:cs="Arial"/>
                <w:b w:val="0"/>
                <w:sz w:val="18"/>
                <w:szCs w:val="18"/>
              </w:rPr>
              <w:t>Surveillance-intensity adjusted Cox</w:t>
            </w:r>
          </w:p>
        </w:tc>
        <w:tc>
          <w:tcPr>
            <w:tcW w:w="1704" w:type="dxa"/>
            <w:tcBorders>
              <w:top w:val="nil"/>
              <w:left w:val="nil"/>
              <w:bottom w:val="nil"/>
              <w:right w:val="nil"/>
              <w:insideH w:val="nil"/>
              <w:insideV w:val="nil"/>
            </w:tcBorders>
          </w:tcPr>
          <w:p w14:paraId="460C3425">
            <w:pPr>
              <w:spacing w:after="0"/>
              <w:jc w:val="center"/>
              <w:rPr>
                <w:rFonts w:hint="default" w:ascii="Arial" w:hAnsi="Arial" w:cs="Arial"/>
                <w:sz w:val="18"/>
                <w:szCs w:val="18"/>
              </w:rPr>
            </w:pPr>
            <w:r>
              <w:rPr>
                <w:rFonts w:hint="default" w:ascii="Arial" w:hAnsi="Arial" w:cs="Arial"/>
                <w:b w:val="0"/>
                <w:sz w:val="18"/>
                <w:szCs w:val="18"/>
              </w:rPr>
              <w:t>644</w:t>
            </w:r>
          </w:p>
        </w:tc>
        <w:tc>
          <w:tcPr>
            <w:tcW w:w="1704" w:type="dxa"/>
            <w:tcBorders>
              <w:top w:val="nil"/>
              <w:left w:val="nil"/>
              <w:bottom w:val="nil"/>
              <w:right w:val="nil"/>
              <w:insideH w:val="nil"/>
              <w:insideV w:val="nil"/>
            </w:tcBorders>
          </w:tcPr>
          <w:p w14:paraId="251CBDB7">
            <w:pPr>
              <w:spacing w:after="0"/>
              <w:jc w:val="center"/>
              <w:rPr>
                <w:rFonts w:hint="default" w:ascii="Arial" w:hAnsi="Arial" w:cs="Arial"/>
                <w:sz w:val="18"/>
                <w:szCs w:val="18"/>
              </w:rPr>
            </w:pPr>
            <w:r>
              <w:rPr>
                <w:rFonts w:hint="default" w:ascii="Arial" w:hAnsi="Arial" w:cs="Arial"/>
                <w:b w:val="0"/>
                <w:sz w:val="18"/>
                <w:szCs w:val="18"/>
              </w:rPr>
              <w:t>37</w:t>
            </w:r>
          </w:p>
        </w:tc>
        <w:tc>
          <w:tcPr>
            <w:tcW w:w="1704" w:type="dxa"/>
            <w:tcBorders>
              <w:top w:val="nil"/>
              <w:left w:val="nil"/>
              <w:bottom w:val="nil"/>
              <w:right w:val="nil"/>
              <w:insideH w:val="nil"/>
              <w:insideV w:val="nil"/>
            </w:tcBorders>
          </w:tcPr>
          <w:p w14:paraId="4D772D2E">
            <w:pPr>
              <w:spacing w:after="0"/>
              <w:jc w:val="center"/>
              <w:rPr>
                <w:rFonts w:hint="default" w:ascii="Arial" w:hAnsi="Arial" w:cs="Arial"/>
                <w:sz w:val="18"/>
                <w:szCs w:val="18"/>
              </w:rPr>
            </w:pPr>
            <w:r>
              <w:rPr>
                <w:rFonts w:hint="default" w:ascii="Arial" w:hAnsi="Arial" w:cs="Arial"/>
                <w:b w:val="0"/>
                <w:sz w:val="18"/>
                <w:szCs w:val="18"/>
              </w:rPr>
              <w:t>Adjusted HR per 50 mg/m²</w:t>
            </w:r>
          </w:p>
        </w:tc>
        <w:tc>
          <w:tcPr>
            <w:tcW w:w="1704" w:type="dxa"/>
            <w:tcBorders>
              <w:top w:val="nil"/>
              <w:left w:val="nil"/>
              <w:bottom w:val="nil"/>
              <w:right w:val="nil"/>
              <w:insideH w:val="nil"/>
              <w:insideV w:val="nil"/>
            </w:tcBorders>
          </w:tcPr>
          <w:p w14:paraId="3224CF20">
            <w:pPr>
              <w:spacing w:after="0"/>
              <w:jc w:val="center"/>
              <w:rPr>
                <w:rFonts w:hint="default" w:ascii="Arial" w:hAnsi="Arial" w:cs="Arial"/>
                <w:sz w:val="18"/>
                <w:szCs w:val="18"/>
              </w:rPr>
            </w:pPr>
            <w:r>
              <w:rPr>
                <w:rFonts w:hint="default" w:ascii="Arial" w:hAnsi="Arial" w:cs="Arial"/>
                <w:b w:val="0"/>
                <w:sz w:val="18"/>
                <w:szCs w:val="18"/>
              </w:rPr>
              <w:t>1.19 (1.05–1.35)</w:t>
            </w:r>
          </w:p>
        </w:tc>
        <w:tc>
          <w:tcPr>
            <w:tcW w:w="1704" w:type="dxa"/>
            <w:tcBorders>
              <w:top w:val="nil"/>
              <w:left w:val="nil"/>
              <w:bottom w:val="nil"/>
              <w:right w:val="nil"/>
              <w:insideH w:val="nil"/>
              <w:insideV w:val="nil"/>
            </w:tcBorders>
          </w:tcPr>
          <w:p w14:paraId="0F1D3A26">
            <w:pPr>
              <w:spacing w:after="0"/>
              <w:jc w:val="center"/>
              <w:rPr>
                <w:rFonts w:hint="default" w:ascii="Arial" w:hAnsi="Arial" w:cs="Arial"/>
                <w:sz w:val="18"/>
                <w:szCs w:val="18"/>
              </w:rPr>
            </w:pPr>
            <w:r>
              <w:rPr>
                <w:rFonts w:hint="default" w:ascii="Arial" w:hAnsi="Arial" w:cs="Arial"/>
                <w:b w:val="0"/>
                <w:sz w:val="18"/>
                <w:szCs w:val="18"/>
              </w:rPr>
              <w:t>0.008</w:t>
            </w:r>
          </w:p>
        </w:tc>
      </w:tr>
      <w:tr w14:paraId="5F3CC0FB">
        <w:tblPrEx>
          <w:tblCellMar>
            <w:top w:w="0" w:type="dxa"/>
            <w:left w:w="108" w:type="dxa"/>
            <w:bottom w:w="0" w:type="dxa"/>
            <w:right w:w="108" w:type="dxa"/>
          </w:tblCellMar>
        </w:tblPrEx>
        <w:trPr>
          <w:jc w:val="center"/>
        </w:trPr>
        <w:tc>
          <w:tcPr>
            <w:tcW w:w="1704" w:type="dxa"/>
            <w:tcBorders>
              <w:top w:val="nil"/>
              <w:left w:val="nil"/>
              <w:bottom w:val="nil"/>
              <w:right w:val="nil"/>
              <w:insideH w:val="nil"/>
              <w:insideV w:val="nil"/>
            </w:tcBorders>
          </w:tcPr>
          <w:p w14:paraId="241D5D17">
            <w:pPr>
              <w:spacing w:after="0"/>
              <w:rPr>
                <w:rFonts w:hint="default" w:ascii="Arial" w:hAnsi="Arial" w:cs="Arial"/>
                <w:sz w:val="18"/>
                <w:szCs w:val="18"/>
              </w:rPr>
            </w:pPr>
            <w:r>
              <w:rPr>
                <w:rFonts w:hint="default" w:ascii="Arial" w:hAnsi="Arial" w:cs="Arial"/>
                <w:b w:val="0"/>
                <w:sz w:val="18"/>
                <w:szCs w:val="18"/>
              </w:rPr>
              <w:t>Continuous dose × log(time) interaction</w:t>
            </w:r>
          </w:p>
        </w:tc>
        <w:tc>
          <w:tcPr>
            <w:tcW w:w="1704" w:type="dxa"/>
            <w:tcBorders>
              <w:top w:val="nil"/>
              <w:left w:val="nil"/>
              <w:bottom w:val="nil"/>
              <w:right w:val="nil"/>
              <w:insideH w:val="nil"/>
              <w:insideV w:val="nil"/>
            </w:tcBorders>
          </w:tcPr>
          <w:p w14:paraId="74A4C750">
            <w:pPr>
              <w:spacing w:after="0"/>
              <w:jc w:val="center"/>
              <w:rPr>
                <w:rFonts w:hint="default" w:ascii="Arial" w:hAnsi="Arial" w:cs="Arial"/>
                <w:sz w:val="18"/>
                <w:szCs w:val="18"/>
              </w:rPr>
            </w:pPr>
            <w:r>
              <w:rPr>
                <w:rFonts w:hint="default" w:ascii="Arial" w:hAnsi="Arial" w:cs="Arial"/>
                <w:b w:val="0"/>
                <w:sz w:val="18"/>
                <w:szCs w:val="18"/>
              </w:rPr>
              <w:t>644</w:t>
            </w:r>
          </w:p>
        </w:tc>
        <w:tc>
          <w:tcPr>
            <w:tcW w:w="1704" w:type="dxa"/>
            <w:tcBorders>
              <w:top w:val="nil"/>
              <w:left w:val="nil"/>
              <w:bottom w:val="nil"/>
              <w:right w:val="nil"/>
              <w:insideH w:val="nil"/>
              <w:insideV w:val="nil"/>
            </w:tcBorders>
          </w:tcPr>
          <w:p w14:paraId="1DBA0F06">
            <w:pPr>
              <w:spacing w:after="0"/>
              <w:jc w:val="center"/>
              <w:rPr>
                <w:rFonts w:hint="default" w:ascii="Arial" w:hAnsi="Arial" w:cs="Arial"/>
                <w:sz w:val="18"/>
                <w:szCs w:val="18"/>
              </w:rPr>
            </w:pPr>
            <w:r>
              <w:rPr>
                <w:rFonts w:hint="default" w:ascii="Arial" w:hAnsi="Arial" w:cs="Arial"/>
                <w:b w:val="0"/>
                <w:sz w:val="18"/>
                <w:szCs w:val="18"/>
              </w:rPr>
              <w:t>37</w:t>
            </w:r>
          </w:p>
        </w:tc>
        <w:tc>
          <w:tcPr>
            <w:tcW w:w="1704" w:type="dxa"/>
            <w:tcBorders>
              <w:top w:val="nil"/>
              <w:left w:val="nil"/>
              <w:bottom w:val="nil"/>
              <w:right w:val="nil"/>
              <w:insideH w:val="nil"/>
              <w:insideV w:val="nil"/>
            </w:tcBorders>
          </w:tcPr>
          <w:p w14:paraId="69DA27C6">
            <w:pPr>
              <w:spacing w:after="0"/>
              <w:jc w:val="center"/>
              <w:rPr>
                <w:rFonts w:hint="default" w:ascii="Arial" w:hAnsi="Arial" w:cs="Arial"/>
                <w:sz w:val="18"/>
                <w:szCs w:val="18"/>
              </w:rPr>
            </w:pPr>
            <w:r>
              <w:rPr>
                <w:rFonts w:hint="default" w:ascii="Arial" w:hAnsi="Arial" w:cs="Arial"/>
                <w:b w:val="0"/>
                <w:sz w:val="18"/>
                <w:szCs w:val="18"/>
              </w:rPr>
              <w:t>HR for interaction</w:t>
            </w:r>
          </w:p>
        </w:tc>
        <w:tc>
          <w:tcPr>
            <w:tcW w:w="1704" w:type="dxa"/>
            <w:tcBorders>
              <w:top w:val="nil"/>
              <w:left w:val="nil"/>
              <w:bottom w:val="nil"/>
              <w:right w:val="nil"/>
              <w:insideH w:val="nil"/>
              <w:insideV w:val="nil"/>
            </w:tcBorders>
          </w:tcPr>
          <w:p w14:paraId="3862528C">
            <w:pPr>
              <w:spacing w:after="0"/>
              <w:jc w:val="center"/>
              <w:rPr>
                <w:rFonts w:hint="default" w:ascii="Arial" w:hAnsi="Arial" w:cs="Arial"/>
                <w:sz w:val="18"/>
                <w:szCs w:val="18"/>
              </w:rPr>
            </w:pPr>
            <w:r>
              <w:rPr>
                <w:rFonts w:hint="default" w:ascii="Arial" w:hAnsi="Arial" w:cs="Arial"/>
                <w:b w:val="0"/>
                <w:sz w:val="18"/>
                <w:szCs w:val="18"/>
              </w:rPr>
              <w:t>1.09 (0.99–1.19)</w:t>
            </w:r>
          </w:p>
        </w:tc>
        <w:tc>
          <w:tcPr>
            <w:tcW w:w="1704" w:type="dxa"/>
            <w:tcBorders>
              <w:top w:val="nil"/>
              <w:left w:val="nil"/>
              <w:bottom w:val="nil"/>
              <w:right w:val="nil"/>
              <w:insideH w:val="nil"/>
              <w:insideV w:val="nil"/>
            </w:tcBorders>
          </w:tcPr>
          <w:p w14:paraId="2F4E9FF8">
            <w:pPr>
              <w:spacing w:after="0"/>
              <w:jc w:val="center"/>
              <w:rPr>
                <w:rFonts w:hint="default" w:ascii="Arial" w:hAnsi="Arial" w:cs="Arial"/>
                <w:sz w:val="18"/>
                <w:szCs w:val="18"/>
              </w:rPr>
            </w:pPr>
            <w:r>
              <w:rPr>
                <w:rFonts w:hint="default" w:ascii="Arial" w:hAnsi="Arial" w:cs="Arial"/>
                <w:b w:val="0"/>
                <w:sz w:val="18"/>
                <w:szCs w:val="18"/>
              </w:rPr>
              <w:t>0.085</w:t>
            </w:r>
          </w:p>
        </w:tc>
      </w:tr>
      <w:tr w14:paraId="4DFF3237">
        <w:tblPrEx>
          <w:tblCellMar>
            <w:top w:w="0" w:type="dxa"/>
            <w:left w:w="108" w:type="dxa"/>
            <w:bottom w:w="0" w:type="dxa"/>
            <w:right w:w="108" w:type="dxa"/>
          </w:tblCellMar>
        </w:tblPrEx>
        <w:trPr>
          <w:jc w:val="center"/>
        </w:trPr>
        <w:tc>
          <w:tcPr>
            <w:tcW w:w="1704" w:type="dxa"/>
            <w:tcBorders>
              <w:top w:val="nil"/>
              <w:left w:val="nil"/>
              <w:bottom w:val="single" w:color="000000" w:sz="12" w:space="0"/>
              <w:right w:val="nil"/>
              <w:insideH w:val="nil"/>
              <w:insideV w:val="nil"/>
            </w:tcBorders>
          </w:tcPr>
          <w:p w14:paraId="66558455">
            <w:pPr>
              <w:spacing w:after="0"/>
              <w:rPr>
                <w:rFonts w:hint="default" w:ascii="Arial" w:hAnsi="Arial" w:cs="Arial"/>
                <w:sz w:val="18"/>
                <w:szCs w:val="18"/>
              </w:rPr>
            </w:pPr>
            <w:r>
              <w:rPr>
                <w:rFonts w:hint="default" w:ascii="Arial" w:hAnsi="Arial" w:cs="Arial"/>
                <w:b w:val="0"/>
                <w:sz w:val="18"/>
                <w:szCs w:val="18"/>
              </w:rPr>
              <w:t>Q4 × log(time) interaction</w:t>
            </w:r>
          </w:p>
        </w:tc>
        <w:tc>
          <w:tcPr>
            <w:tcW w:w="1704" w:type="dxa"/>
            <w:tcBorders>
              <w:top w:val="nil"/>
              <w:left w:val="nil"/>
              <w:bottom w:val="single" w:color="000000" w:sz="12" w:space="0"/>
              <w:right w:val="nil"/>
              <w:insideH w:val="nil"/>
              <w:insideV w:val="nil"/>
            </w:tcBorders>
          </w:tcPr>
          <w:p w14:paraId="4142DD7B">
            <w:pPr>
              <w:spacing w:after="0"/>
              <w:jc w:val="center"/>
              <w:rPr>
                <w:rFonts w:hint="default" w:ascii="Arial" w:hAnsi="Arial" w:cs="Arial"/>
                <w:sz w:val="18"/>
                <w:szCs w:val="18"/>
              </w:rPr>
            </w:pPr>
            <w:r>
              <w:rPr>
                <w:rFonts w:hint="default" w:ascii="Arial" w:hAnsi="Arial" w:cs="Arial"/>
                <w:b w:val="0"/>
                <w:sz w:val="18"/>
                <w:szCs w:val="18"/>
              </w:rPr>
              <w:t>644</w:t>
            </w:r>
          </w:p>
        </w:tc>
        <w:tc>
          <w:tcPr>
            <w:tcW w:w="1704" w:type="dxa"/>
            <w:tcBorders>
              <w:top w:val="nil"/>
              <w:left w:val="nil"/>
              <w:bottom w:val="single" w:color="000000" w:sz="12" w:space="0"/>
              <w:right w:val="nil"/>
              <w:insideH w:val="nil"/>
              <w:insideV w:val="nil"/>
            </w:tcBorders>
          </w:tcPr>
          <w:p w14:paraId="1D1AE31D">
            <w:pPr>
              <w:spacing w:after="0"/>
              <w:jc w:val="center"/>
              <w:rPr>
                <w:rFonts w:hint="default" w:ascii="Arial" w:hAnsi="Arial" w:cs="Arial"/>
                <w:sz w:val="18"/>
                <w:szCs w:val="18"/>
              </w:rPr>
            </w:pPr>
            <w:r>
              <w:rPr>
                <w:rFonts w:hint="default" w:ascii="Arial" w:hAnsi="Arial" w:cs="Arial"/>
                <w:b w:val="0"/>
                <w:sz w:val="18"/>
                <w:szCs w:val="18"/>
              </w:rPr>
              <w:t>37</w:t>
            </w:r>
          </w:p>
        </w:tc>
        <w:tc>
          <w:tcPr>
            <w:tcW w:w="1704" w:type="dxa"/>
            <w:tcBorders>
              <w:top w:val="nil"/>
              <w:left w:val="nil"/>
              <w:bottom w:val="single" w:color="000000" w:sz="12" w:space="0"/>
              <w:right w:val="nil"/>
              <w:insideH w:val="nil"/>
              <w:insideV w:val="nil"/>
            </w:tcBorders>
          </w:tcPr>
          <w:p w14:paraId="52C22971">
            <w:pPr>
              <w:spacing w:after="0"/>
              <w:jc w:val="center"/>
              <w:rPr>
                <w:rFonts w:hint="default" w:ascii="Arial" w:hAnsi="Arial" w:cs="Arial"/>
                <w:sz w:val="18"/>
                <w:szCs w:val="18"/>
              </w:rPr>
            </w:pPr>
            <w:r>
              <w:rPr>
                <w:rFonts w:hint="default" w:ascii="Arial" w:hAnsi="Arial" w:cs="Arial"/>
                <w:b w:val="0"/>
                <w:sz w:val="18"/>
                <w:szCs w:val="18"/>
              </w:rPr>
              <w:t>HR for interaction</w:t>
            </w:r>
          </w:p>
        </w:tc>
        <w:tc>
          <w:tcPr>
            <w:tcW w:w="1704" w:type="dxa"/>
            <w:tcBorders>
              <w:top w:val="nil"/>
              <w:left w:val="nil"/>
              <w:bottom w:val="single" w:color="000000" w:sz="12" w:space="0"/>
              <w:right w:val="nil"/>
              <w:insideH w:val="nil"/>
              <w:insideV w:val="nil"/>
            </w:tcBorders>
          </w:tcPr>
          <w:p w14:paraId="76A45514">
            <w:pPr>
              <w:spacing w:after="0"/>
              <w:jc w:val="center"/>
              <w:rPr>
                <w:rFonts w:hint="default" w:ascii="Arial" w:hAnsi="Arial" w:cs="Arial"/>
                <w:sz w:val="18"/>
                <w:szCs w:val="18"/>
              </w:rPr>
            </w:pPr>
            <w:r>
              <w:rPr>
                <w:rFonts w:hint="default" w:ascii="Arial" w:hAnsi="Arial" w:cs="Arial"/>
                <w:b w:val="0"/>
                <w:sz w:val="18"/>
                <w:szCs w:val="18"/>
              </w:rPr>
              <w:t>1.82 (1.08–3.04)</w:t>
            </w:r>
          </w:p>
        </w:tc>
        <w:tc>
          <w:tcPr>
            <w:tcW w:w="1704" w:type="dxa"/>
            <w:tcBorders>
              <w:top w:val="nil"/>
              <w:left w:val="nil"/>
              <w:bottom w:val="single" w:color="000000" w:sz="12" w:space="0"/>
              <w:right w:val="nil"/>
              <w:insideH w:val="nil"/>
              <w:insideV w:val="nil"/>
            </w:tcBorders>
          </w:tcPr>
          <w:p w14:paraId="2691923D">
            <w:pPr>
              <w:spacing w:after="0"/>
              <w:jc w:val="center"/>
              <w:rPr>
                <w:rFonts w:hint="default" w:ascii="Arial" w:hAnsi="Arial" w:cs="Arial"/>
                <w:sz w:val="18"/>
                <w:szCs w:val="18"/>
              </w:rPr>
            </w:pPr>
            <w:r>
              <w:rPr>
                <w:rFonts w:hint="default" w:ascii="Arial" w:hAnsi="Arial" w:cs="Arial"/>
                <w:b w:val="0"/>
                <w:sz w:val="18"/>
                <w:szCs w:val="18"/>
              </w:rPr>
              <w:t>0.023</w:t>
            </w:r>
          </w:p>
        </w:tc>
      </w:tr>
    </w:tbl>
    <w:p w14:paraId="1FDE6B6F">
      <w:pPr>
        <w:spacing w:before="120"/>
        <w:jc w:val="both"/>
        <w:rPr>
          <w:rFonts w:ascii="Arial" w:hAnsi="Arial"/>
          <w:sz w:val="18"/>
          <w:szCs w:val="18"/>
        </w:rPr>
      </w:pPr>
      <w:r>
        <w:rPr>
          <w:rFonts w:ascii="Arial" w:hAnsi="Arial"/>
          <w:sz w:val="18"/>
          <w:szCs w:val="18"/>
        </w:rPr>
        <w:t>CI, confidence interval; HR, hazard ratio; sHR, subdistribution hazard ratio. The prespecified composite endpoint comprised electrocardiographic, echocardiographic, or cardiac enzyme abnormalities. All remaining analyses in this table used the prespecified incident echocardiographic abnormality endpoint unless otherwise stated. Sensitivity models were adjusted for age at diagnosis and sex, except the composite time-varying model, which was adjusted for age at diagnosis, sex, and standardized diagnosis group. The time-varying exposure analyses reconstructed 3,986 individual anthracycline administrations. The surveillance-intensity model additionally included the cumulative number of prior follow-up echocardiograms as a time-varying covariate; the event-defining echocardiogram was not counted as prior surveillance. In the Fine</w:t>
      </w:r>
      <w:r>
        <w:rPr>
          <w:rFonts w:hint="eastAsia" w:eastAsia="宋体"/>
          <w:sz w:val="18"/>
          <w:szCs w:val="18"/>
          <w:lang w:val="en-US" w:eastAsia="zh-CN"/>
        </w:rPr>
        <w:t>-</w:t>
      </w:r>
      <w:bookmarkStart w:id="0" w:name="_GoBack"/>
      <w:bookmarkEnd w:id="0"/>
      <w:r>
        <w:rPr>
          <w:rFonts w:ascii="Arial" w:hAnsi="Arial"/>
          <w:sz w:val="18"/>
          <w:szCs w:val="18"/>
        </w:rPr>
        <w:t>Gray analysis, 74 deaths occurring before the echocardiographic endpoint were treated as competing events. Dose-by-log(time) interaction models were exploratory because only 37 echocardiographic events occurred.</w:t>
      </w:r>
    </w:p>
    <w:p w14:paraId="79D25871">
      <w:pPr>
        <w:spacing w:before="120"/>
        <w:rPr>
          <w:rFonts w:ascii="Arial" w:hAnsi="Arial"/>
          <w:sz w:val="16"/>
        </w:rPr>
      </w:pPr>
    </w:p>
    <w:p w14:paraId="0E7661D2">
      <w:pPr>
        <w:spacing w:before="120"/>
        <w:rPr>
          <w:rFonts w:ascii="Arial" w:hAnsi="Arial"/>
          <w:sz w:val="16"/>
        </w:rPr>
      </w:pPr>
    </w:p>
    <w:p w14:paraId="057D3419">
      <w:pPr>
        <w:spacing w:before="120"/>
        <w:rPr>
          <w:rFonts w:ascii="Arial" w:hAnsi="Arial"/>
          <w:sz w:val="16"/>
        </w:rPr>
      </w:pPr>
    </w:p>
    <w:p w14:paraId="18037045">
      <w:pPr>
        <w:spacing w:before="120"/>
        <w:rPr>
          <w:rFonts w:ascii="Arial" w:hAnsi="Arial"/>
          <w:sz w:val="16"/>
        </w:rPr>
      </w:pPr>
    </w:p>
    <w:p w14:paraId="7916D515">
      <w:pPr>
        <w:spacing w:before="120"/>
        <w:rPr>
          <w:rFonts w:ascii="Arial" w:hAnsi="Arial"/>
          <w:sz w:val="16"/>
        </w:rPr>
      </w:pPr>
    </w:p>
    <w:p w14:paraId="777C6AE4">
      <w:pPr>
        <w:rPr>
          <w:rFonts w:hint="default" w:ascii="Arial" w:hAnsi="Arial" w:cs="Arial"/>
          <w:sz w:val="22"/>
          <w:szCs w:val="22"/>
        </w:rPr>
      </w:pPr>
      <w:r>
        <w:rPr>
          <w:rFonts w:hint="default" w:ascii="Arial" w:hAnsi="Arial" w:cs="Arial"/>
          <w:b/>
          <w:sz w:val="22"/>
          <w:szCs w:val="22"/>
        </w:rPr>
        <w:t>Supplementary Table S9. Sensitivity of echocardiographic findings to endpoint definition</w:t>
      </w:r>
    </w:p>
    <w:tbl>
      <w:tblPr>
        <w:tblStyle w:val="32"/>
        <w:tblW w:w="0" w:type="auto"/>
        <w:jc w:val="center"/>
        <w:tblLayout w:type="autofit"/>
        <w:tblCellMar>
          <w:top w:w="0" w:type="dxa"/>
          <w:left w:w="108" w:type="dxa"/>
          <w:bottom w:w="0" w:type="dxa"/>
          <w:right w:w="108" w:type="dxa"/>
        </w:tblCellMar>
      </w:tblPr>
      <w:tblGrid>
        <w:gridCol w:w="1687"/>
        <w:gridCol w:w="1459"/>
        <w:gridCol w:w="1249"/>
        <w:gridCol w:w="1669"/>
        <w:gridCol w:w="1459"/>
        <w:gridCol w:w="1459"/>
        <w:gridCol w:w="1458"/>
      </w:tblGrid>
      <w:tr w14:paraId="22B60129">
        <w:tblPrEx>
          <w:tblCellMar>
            <w:top w:w="0" w:type="dxa"/>
            <w:left w:w="108" w:type="dxa"/>
            <w:bottom w:w="0" w:type="dxa"/>
            <w:right w:w="108" w:type="dxa"/>
          </w:tblCellMar>
        </w:tblPrEx>
        <w:trPr>
          <w:jc w:val="center"/>
        </w:trPr>
        <w:tc>
          <w:tcPr>
            <w:tcW w:w="1606" w:type="dxa"/>
            <w:tcBorders>
              <w:top w:val="single" w:color="000000" w:sz="12" w:space="0"/>
              <w:left w:val="nil"/>
              <w:bottom w:val="single" w:color="000000" w:sz="6" w:space="0"/>
              <w:right w:val="nil"/>
              <w:insideH w:val="nil"/>
              <w:insideV w:val="nil"/>
            </w:tcBorders>
          </w:tcPr>
          <w:p w14:paraId="2770C6EB">
            <w:pPr>
              <w:spacing w:after="0"/>
              <w:rPr>
                <w:rFonts w:hint="default" w:ascii="Arial" w:hAnsi="Arial" w:cs="Arial"/>
                <w:sz w:val="18"/>
                <w:szCs w:val="18"/>
              </w:rPr>
            </w:pPr>
            <w:r>
              <w:rPr>
                <w:rFonts w:hint="default" w:ascii="Arial" w:hAnsi="Arial" w:cs="Arial"/>
                <w:b/>
                <w:sz w:val="18"/>
                <w:szCs w:val="18"/>
              </w:rPr>
              <w:t>Endpoint definition</w:t>
            </w:r>
          </w:p>
        </w:tc>
        <w:tc>
          <w:tcPr>
            <w:tcW w:w="1461" w:type="dxa"/>
            <w:tcBorders>
              <w:top w:val="single" w:color="000000" w:sz="12" w:space="0"/>
              <w:left w:val="nil"/>
              <w:bottom w:val="single" w:color="000000" w:sz="6" w:space="0"/>
              <w:right w:val="nil"/>
              <w:insideH w:val="nil"/>
              <w:insideV w:val="nil"/>
            </w:tcBorders>
          </w:tcPr>
          <w:p w14:paraId="1FF0A66B">
            <w:pPr>
              <w:spacing w:after="0"/>
              <w:jc w:val="center"/>
              <w:rPr>
                <w:rFonts w:hint="default" w:ascii="Arial" w:hAnsi="Arial" w:cs="Arial"/>
                <w:sz w:val="18"/>
                <w:szCs w:val="18"/>
              </w:rPr>
            </w:pPr>
            <w:r>
              <w:rPr>
                <w:rFonts w:hint="default" w:ascii="Arial" w:hAnsi="Arial" w:cs="Arial"/>
                <w:b/>
                <w:sz w:val="18"/>
                <w:szCs w:val="18"/>
              </w:rPr>
              <w:t>Analysis set</w:t>
            </w:r>
          </w:p>
        </w:tc>
        <w:tc>
          <w:tcPr>
            <w:tcW w:w="1251" w:type="dxa"/>
            <w:tcBorders>
              <w:top w:val="single" w:color="000000" w:sz="12" w:space="0"/>
              <w:left w:val="nil"/>
              <w:bottom w:val="single" w:color="000000" w:sz="6" w:space="0"/>
              <w:right w:val="nil"/>
              <w:insideH w:val="nil"/>
              <w:insideV w:val="nil"/>
            </w:tcBorders>
          </w:tcPr>
          <w:p w14:paraId="1865F54F">
            <w:pPr>
              <w:spacing w:after="0"/>
              <w:jc w:val="center"/>
              <w:rPr>
                <w:rFonts w:hint="default" w:ascii="Arial" w:hAnsi="Arial" w:cs="Arial"/>
                <w:sz w:val="18"/>
                <w:szCs w:val="18"/>
              </w:rPr>
            </w:pPr>
            <w:r>
              <w:rPr>
                <w:rFonts w:hint="default" w:ascii="Arial" w:hAnsi="Arial" w:cs="Arial"/>
                <w:b/>
                <w:sz w:val="18"/>
                <w:szCs w:val="18"/>
              </w:rPr>
              <w:t>Events, n (%)</w:t>
            </w:r>
          </w:p>
        </w:tc>
        <w:tc>
          <w:tcPr>
            <w:tcW w:w="1671" w:type="dxa"/>
            <w:tcBorders>
              <w:top w:val="single" w:color="000000" w:sz="12" w:space="0"/>
              <w:left w:val="nil"/>
              <w:bottom w:val="single" w:color="000000" w:sz="6" w:space="0"/>
              <w:right w:val="nil"/>
              <w:insideH w:val="nil"/>
              <w:insideV w:val="nil"/>
            </w:tcBorders>
          </w:tcPr>
          <w:p w14:paraId="11232308">
            <w:pPr>
              <w:spacing w:after="0"/>
              <w:jc w:val="center"/>
              <w:rPr>
                <w:rFonts w:hint="default" w:ascii="Arial" w:hAnsi="Arial" w:cs="Arial"/>
                <w:sz w:val="18"/>
                <w:szCs w:val="18"/>
              </w:rPr>
            </w:pPr>
            <w:r>
              <w:rPr>
                <w:rFonts w:hint="default" w:ascii="Arial" w:hAnsi="Arial" w:cs="Arial"/>
                <w:b/>
                <w:sz w:val="18"/>
                <w:szCs w:val="18"/>
              </w:rPr>
              <w:t>Q1–Q4 event distribution</w:t>
            </w:r>
          </w:p>
        </w:tc>
        <w:tc>
          <w:tcPr>
            <w:tcW w:w="1461" w:type="dxa"/>
            <w:tcBorders>
              <w:top w:val="single" w:color="000000" w:sz="12" w:space="0"/>
              <w:left w:val="nil"/>
              <w:bottom w:val="single" w:color="000000" w:sz="6" w:space="0"/>
              <w:right w:val="nil"/>
              <w:insideH w:val="nil"/>
              <w:insideV w:val="nil"/>
            </w:tcBorders>
          </w:tcPr>
          <w:p w14:paraId="078D6E19">
            <w:pPr>
              <w:spacing w:after="0"/>
              <w:jc w:val="center"/>
              <w:rPr>
                <w:rFonts w:hint="default" w:ascii="Arial" w:hAnsi="Arial" w:cs="Arial"/>
                <w:sz w:val="18"/>
                <w:szCs w:val="18"/>
              </w:rPr>
            </w:pPr>
            <w:r>
              <w:rPr>
                <w:rFonts w:hint="default" w:ascii="Arial" w:hAnsi="Arial" w:cs="Arial"/>
                <w:b/>
                <w:sz w:val="18"/>
                <w:szCs w:val="18"/>
              </w:rPr>
              <w:t>Adjusted HR per 50 mg/m²</w:t>
            </w:r>
          </w:p>
        </w:tc>
        <w:tc>
          <w:tcPr>
            <w:tcW w:w="1461" w:type="dxa"/>
            <w:tcBorders>
              <w:top w:val="single" w:color="000000" w:sz="12" w:space="0"/>
              <w:left w:val="nil"/>
              <w:bottom w:val="single" w:color="000000" w:sz="6" w:space="0"/>
              <w:right w:val="nil"/>
              <w:insideH w:val="nil"/>
              <w:insideV w:val="nil"/>
            </w:tcBorders>
          </w:tcPr>
          <w:p w14:paraId="3A651569">
            <w:pPr>
              <w:spacing w:after="0"/>
              <w:jc w:val="center"/>
              <w:rPr>
                <w:rFonts w:hint="default" w:ascii="Arial" w:hAnsi="Arial" w:cs="Arial"/>
                <w:sz w:val="18"/>
                <w:szCs w:val="18"/>
              </w:rPr>
            </w:pPr>
            <w:r>
              <w:rPr>
                <w:rFonts w:hint="default" w:ascii="Arial" w:hAnsi="Arial" w:cs="Arial"/>
                <w:b/>
                <w:sz w:val="18"/>
                <w:szCs w:val="18"/>
              </w:rPr>
              <w:t>95% CI</w:t>
            </w:r>
          </w:p>
        </w:tc>
        <w:tc>
          <w:tcPr>
            <w:tcW w:w="1461" w:type="dxa"/>
            <w:tcBorders>
              <w:top w:val="single" w:color="000000" w:sz="12" w:space="0"/>
              <w:left w:val="nil"/>
              <w:bottom w:val="single" w:color="000000" w:sz="6" w:space="0"/>
              <w:right w:val="nil"/>
              <w:insideH w:val="nil"/>
              <w:insideV w:val="nil"/>
            </w:tcBorders>
          </w:tcPr>
          <w:p w14:paraId="10D6ABC8">
            <w:pPr>
              <w:spacing w:after="0"/>
              <w:jc w:val="center"/>
              <w:rPr>
                <w:rFonts w:hint="default" w:ascii="Arial" w:hAnsi="Arial" w:cs="Arial"/>
                <w:sz w:val="18"/>
                <w:szCs w:val="18"/>
              </w:rPr>
            </w:pPr>
            <w:r>
              <w:rPr>
                <w:rFonts w:hint="default" w:ascii="Arial" w:hAnsi="Arial" w:cs="Arial"/>
                <w:b/>
                <w:sz w:val="18"/>
                <w:szCs w:val="18"/>
              </w:rPr>
              <w:t>P value</w:t>
            </w:r>
          </w:p>
        </w:tc>
      </w:tr>
      <w:tr w14:paraId="0810F584">
        <w:tblPrEx>
          <w:tblCellMar>
            <w:top w:w="0" w:type="dxa"/>
            <w:left w:w="108" w:type="dxa"/>
            <w:bottom w:w="0" w:type="dxa"/>
            <w:right w:w="108" w:type="dxa"/>
          </w:tblCellMar>
        </w:tblPrEx>
        <w:trPr>
          <w:jc w:val="center"/>
        </w:trPr>
        <w:tc>
          <w:tcPr>
            <w:tcW w:w="1606" w:type="dxa"/>
            <w:tcBorders>
              <w:top w:val="nil"/>
              <w:left w:val="nil"/>
              <w:bottom w:val="nil"/>
              <w:right w:val="nil"/>
              <w:insideH w:val="nil"/>
              <w:insideV w:val="nil"/>
            </w:tcBorders>
          </w:tcPr>
          <w:p w14:paraId="26B6A728">
            <w:pPr>
              <w:spacing w:after="0"/>
              <w:rPr>
                <w:rFonts w:hint="default" w:ascii="Arial" w:hAnsi="Arial" w:cs="Arial"/>
                <w:sz w:val="18"/>
                <w:szCs w:val="18"/>
              </w:rPr>
            </w:pPr>
            <w:r>
              <w:rPr>
                <w:rFonts w:hint="default" w:ascii="Arial" w:hAnsi="Arial" w:cs="Arial"/>
                <w:b w:val="0"/>
                <w:sz w:val="18"/>
                <w:szCs w:val="18"/>
              </w:rPr>
              <w:t>Prespecified echocardiographic abnormality endpoint¹</w:t>
            </w:r>
          </w:p>
        </w:tc>
        <w:tc>
          <w:tcPr>
            <w:tcW w:w="1461" w:type="dxa"/>
            <w:tcBorders>
              <w:top w:val="nil"/>
              <w:left w:val="nil"/>
              <w:bottom w:val="nil"/>
              <w:right w:val="nil"/>
              <w:insideH w:val="nil"/>
              <w:insideV w:val="nil"/>
            </w:tcBorders>
          </w:tcPr>
          <w:p w14:paraId="7B543273">
            <w:pPr>
              <w:spacing w:after="0"/>
              <w:jc w:val="center"/>
              <w:rPr>
                <w:rFonts w:hint="default" w:ascii="Arial" w:hAnsi="Arial" w:cs="Arial"/>
                <w:sz w:val="18"/>
                <w:szCs w:val="18"/>
              </w:rPr>
            </w:pPr>
            <w:r>
              <w:rPr>
                <w:rFonts w:hint="default" w:ascii="Arial" w:hAnsi="Arial" w:cs="Arial"/>
                <w:b w:val="0"/>
                <w:sz w:val="18"/>
                <w:szCs w:val="18"/>
              </w:rPr>
              <w:t>N=644</w:t>
            </w:r>
          </w:p>
        </w:tc>
        <w:tc>
          <w:tcPr>
            <w:tcW w:w="1251" w:type="dxa"/>
            <w:tcBorders>
              <w:top w:val="nil"/>
              <w:left w:val="nil"/>
              <w:bottom w:val="nil"/>
              <w:right w:val="nil"/>
              <w:insideH w:val="nil"/>
              <w:insideV w:val="nil"/>
            </w:tcBorders>
          </w:tcPr>
          <w:p w14:paraId="5B8B414C">
            <w:pPr>
              <w:spacing w:after="0"/>
              <w:jc w:val="center"/>
              <w:rPr>
                <w:rFonts w:hint="default" w:ascii="Arial" w:hAnsi="Arial" w:cs="Arial"/>
                <w:sz w:val="18"/>
                <w:szCs w:val="18"/>
              </w:rPr>
            </w:pPr>
            <w:r>
              <w:rPr>
                <w:rFonts w:hint="default" w:ascii="Arial" w:hAnsi="Arial" w:cs="Arial"/>
                <w:b w:val="0"/>
                <w:sz w:val="18"/>
                <w:szCs w:val="18"/>
              </w:rPr>
              <w:t>37 (5.7%)</w:t>
            </w:r>
          </w:p>
        </w:tc>
        <w:tc>
          <w:tcPr>
            <w:tcW w:w="1671" w:type="dxa"/>
            <w:tcBorders>
              <w:top w:val="nil"/>
              <w:left w:val="nil"/>
              <w:bottom w:val="nil"/>
              <w:right w:val="nil"/>
              <w:insideH w:val="nil"/>
              <w:insideV w:val="nil"/>
            </w:tcBorders>
          </w:tcPr>
          <w:p w14:paraId="6A96971F">
            <w:pPr>
              <w:spacing w:after="0"/>
              <w:rPr>
                <w:rFonts w:hint="default" w:ascii="Arial" w:hAnsi="Arial" w:cs="Arial"/>
                <w:sz w:val="18"/>
                <w:szCs w:val="18"/>
              </w:rPr>
            </w:pPr>
            <w:r>
              <w:rPr>
                <w:rFonts w:hint="default" w:ascii="Arial" w:hAnsi="Arial" w:cs="Arial"/>
                <w:b w:val="0"/>
                <w:sz w:val="18"/>
                <w:szCs w:val="18"/>
              </w:rPr>
              <w:t>Q1 4/161 (2.5%); Q2 11/161 (6.8%); Q3 7/161 (4.3%); Q4 15/161 (9.3%)</w:t>
            </w:r>
          </w:p>
        </w:tc>
        <w:tc>
          <w:tcPr>
            <w:tcW w:w="1461" w:type="dxa"/>
            <w:tcBorders>
              <w:top w:val="nil"/>
              <w:left w:val="nil"/>
              <w:bottom w:val="nil"/>
              <w:right w:val="nil"/>
              <w:insideH w:val="nil"/>
              <w:insideV w:val="nil"/>
            </w:tcBorders>
          </w:tcPr>
          <w:p w14:paraId="1F2549B7">
            <w:pPr>
              <w:spacing w:after="0"/>
              <w:jc w:val="center"/>
              <w:rPr>
                <w:rFonts w:hint="default" w:ascii="Arial" w:hAnsi="Arial" w:cs="Arial"/>
                <w:sz w:val="18"/>
                <w:szCs w:val="18"/>
              </w:rPr>
            </w:pPr>
            <w:r>
              <w:rPr>
                <w:rFonts w:hint="default" w:ascii="Arial" w:hAnsi="Arial" w:cs="Arial"/>
                <w:b w:val="0"/>
                <w:sz w:val="18"/>
                <w:szCs w:val="18"/>
              </w:rPr>
              <w:t>1.20</w:t>
            </w:r>
          </w:p>
        </w:tc>
        <w:tc>
          <w:tcPr>
            <w:tcW w:w="1461" w:type="dxa"/>
            <w:tcBorders>
              <w:top w:val="nil"/>
              <w:left w:val="nil"/>
              <w:bottom w:val="nil"/>
              <w:right w:val="nil"/>
              <w:insideH w:val="nil"/>
              <w:insideV w:val="nil"/>
            </w:tcBorders>
          </w:tcPr>
          <w:p w14:paraId="6CE6B938">
            <w:pPr>
              <w:spacing w:after="0"/>
              <w:jc w:val="center"/>
              <w:rPr>
                <w:rFonts w:hint="default" w:ascii="Arial" w:hAnsi="Arial" w:cs="Arial"/>
                <w:sz w:val="18"/>
                <w:szCs w:val="18"/>
              </w:rPr>
            </w:pPr>
            <w:r>
              <w:rPr>
                <w:rFonts w:hint="default" w:ascii="Arial" w:hAnsi="Arial" w:cs="Arial"/>
                <w:b w:val="0"/>
                <w:sz w:val="18"/>
                <w:szCs w:val="18"/>
              </w:rPr>
              <w:t>1.06–1.35</w:t>
            </w:r>
          </w:p>
        </w:tc>
        <w:tc>
          <w:tcPr>
            <w:tcW w:w="1461" w:type="dxa"/>
            <w:tcBorders>
              <w:top w:val="nil"/>
              <w:left w:val="nil"/>
              <w:bottom w:val="nil"/>
              <w:right w:val="nil"/>
              <w:insideH w:val="nil"/>
              <w:insideV w:val="nil"/>
            </w:tcBorders>
          </w:tcPr>
          <w:p w14:paraId="4F4B06DE">
            <w:pPr>
              <w:spacing w:after="0"/>
              <w:jc w:val="center"/>
              <w:rPr>
                <w:rFonts w:hint="default" w:ascii="Arial" w:hAnsi="Arial" w:cs="Arial"/>
                <w:sz w:val="18"/>
                <w:szCs w:val="18"/>
              </w:rPr>
            </w:pPr>
            <w:r>
              <w:rPr>
                <w:rFonts w:hint="default" w:ascii="Arial" w:hAnsi="Arial" w:cs="Arial"/>
                <w:b w:val="0"/>
                <w:sz w:val="18"/>
                <w:szCs w:val="18"/>
              </w:rPr>
              <w:t>0.004</w:t>
            </w:r>
          </w:p>
        </w:tc>
      </w:tr>
      <w:tr w14:paraId="43548EFE">
        <w:tblPrEx>
          <w:tblCellMar>
            <w:top w:w="0" w:type="dxa"/>
            <w:left w:w="108" w:type="dxa"/>
            <w:bottom w:w="0" w:type="dxa"/>
            <w:right w:w="108" w:type="dxa"/>
          </w:tblCellMar>
        </w:tblPrEx>
        <w:trPr>
          <w:jc w:val="center"/>
        </w:trPr>
        <w:tc>
          <w:tcPr>
            <w:tcW w:w="1606" w:type="dxa"/>
            <w:tcBorders>
              <w:top w:val="nil"/>
              <w:left w:val="nil"/>
              <w:bottom w:val="nil"/>
              <w:right w:val="nil"/>
              <w:insideH w:val="nil"/>
              <w:insideV w:val="nil"/>
            </w:tcBorders>
          </w:tcPr>
          <w:p w14:paraId="0BBB2EA4">
            <w:pPr>
              <w:spacing w:after="0"/>
              <w:rPr>
                <w:rFonts w:hint="default" w:ascii="Arial" w:hAnsi="Arial" w:cs="Arial"/>
                <w:sz w:val="18"/>
                <w:szCs w:val="18"/>
              </w:rPr>
            </w:pPr>
            <w:r>
              <w:rPr>
                <w:rFonts w:hint="default" w:ascii="Arial" w:hAnsi="Arial" w:cs="Arial"/>
                <w:b w:val="0"/>
                <w:sz w:val="18"/>
                <w:szCs w:val="18"/>
              </w:rPr>
              <w:t>More-specific decline-based LVEF sensitivity endpoint²</w:t>
            </w:r>
          </w:p>
        </w:tc>
        <w:tc>
          <w:tcPr>
            <w:tcW w:w="1461" w:type="dxa"/>
            <w:tcBorders>
              <w:top w:val="nil"/>
              <w:left w:val="nil"/>
              <w:bottom w:val="nil"/>
              <w:right w:val="nil"/>
              <w:insideH w:val="nil"/>
              <w:insideV w:val="nil"/>
            </w:tcBorders>
          </w:tcPr>
          <w:p w14:paraId="420F7AD8">
            <w:pPr>
              <w:spacing w:after="0"/>
              <w:jc w:val="center"/>
              <w:rPr>
                <w:rFonts w:hint="default" w:ascii="Arial" w:hAnsi="Arial" w:cs="Arial"/>
                <w:sz w:val="18"/>
                <w:szCs w:val="18"/>
              </w:rPr>
            </w:pPr>
            <w:r>
              <w:rPr>
                <w:rFonts w:hint="default" w:ascii="Arial" w:hAnsi="Arial" w:cs="Arial"/>
                <w:b w:val="0"/>
                <w:sz w:val="18"/>
                <w:szCs w:val="18"/>
              </w:rPr>
              <w:t>N=279 evaluable</w:t>
            </w:r>
          </w:p>
        </w:tc>
        <w:tc>
          <w:tcPr>
            <w:tcW w:w="1251" w:type="dxa"/>
            <w:tcBorders>
              <w:top w:val="nil"/>
              <w:left w:val="nil"/>
              <w:bottom w:val="nil"/>
              <w:right w:val="nil"/>
              <w:insideH w:val="nil"/>
              <w:insideV w:val="nil"/>
            </w:tcBorders>
          </w:tcPr>
          <w:p w14:paraId="08A67207">
            <w:pPr>
              <w:spacing w:after="0"/>
              <w:jc w:val="center"/>
              <w:rPr>
                <w:rFonts w:hint="default" w:ascii="Arial" w:hAnsi="Arial" w:cs="Arial"/>
                <w:sz w:val="18"/>
                <w:szCs w:val="18"/>
              </w:rPr>
            </w:pPr>
            <w:r>
              <w:rPr>
                <w:rFonts w:hint="default" w:ascii="Arial" w:hAnsi="Arial" w:cs="Arial"/>
                <w:b w:val="0"/>
                <w:sz w:val="18"/>
                <w:szCs w:val="18"/>
              </w:rPr>
              <w:t>13 (4.7%)</w:t>
            </w:r>
          </w:p>
        </w:tc>
        <w:tc>
          <w:tcPr>
            <w:tcW w:w="1671" w:type="dxa"/>
            <w:tcBorders>
              <w:top w:val="nil"/>
              <w:left w:val="nil"/>
              <w:bottom w:val="nil"/>
              <w:right w:val="nil"/>
              <w:insideH w:val="nil"/>
              <w:insideV w:val="nil"/>
            </w:tcBorders>
          </w:tcPr>
          <w:p w14:paraId="53DAA241">
            <w:pPr>
              <w:spacing w:after="0"/>
              <w:rPr>
                <w:rFonts w:hint="default" w:ascii="Arial" w:hAnsi="Arial" w:cs="Arial"/>
                <w:sz w:val="18"/>
                <w:szCs w:val="18"/>
              </w:rPr>
            </w:pPr>
            <w:r>
              <w:rPr>
                <w:rFonts w:hint="default" w:ascii="Arial" w:hAnsi="Arial" w:cs="Arial"/>
                <w:b w:val="0"/>
                <w:sz w:val="18"/>
                <w:szCs w:val="18"/>
              </w:rPr>
              <w:t>Q1 1/62 (1.6%); Q2 7/74 (9.5%); Q3 4/66 (6.1%); Q4 1/77 (1.3%); P for trend=0.547</w:t>
            </w:r>
          </w:p>
        </w:tc>
        <w:tc>
          <w:tcPr>
            <w:tcW w:w="1461" w:type="dxa"/>
            <w:tcBorders>
              <w:top w:val="nil"/>
              <w:left w:val="nil"/>
              <w:bottom w:val="nil"/>
              <w:right w:val="nil"/>
              <w:insideH w:val="nil"/>
              <w:insideV w:val="nil"/>
            </w:tcBorders>
          </w:tcPr>
          <w:p w14:paraId="6AEB868B">
            <w:pPr>
              <w:spacing w:after="0"/>
              <w:jc w:val="center"/>
              <w:rPr>
                <w:rFonts w:hint="default" w:ascii="Arial" w:hAnsi="Arial" w:cs="Arial"/>
                <w:sz w:val="18"/>
                <w:szCs w:val="18"/>
              </w:rPr>
            </w:pPr>
            <w:r>
              <w:rPr>
                <w:rFonts w:hint="default" w:ascii="Arial" w:hAnsi="Arial" w:cs="Arial"/>
                <w:b w:val="0"/>
                <w:sz w:val="18"/>
                <w:szCs w:val="18"/>
              </w:rPr>
              <w:t>0.84</w:t>
            </w:r>
          </w:p>
        </w:tc>
        <w:tc>
          <w:tcPr>
            <w:tcW w:w="1461" w:type="dxa"/>
            <w:tcBorders>
              <w:top w:val="nil"/>
              <w:left w:val="nil"/>
              <w:bottom w:val="nil"/>
              <w:right w:val="nil"/>
              <w:insideH w:val="nil"/>
              <w:insideV w:val="nil"/>
            </w:tcBorders>
          </w:tcPr>
          <w:p w14:paraId="5ECFA9A6">
            <w:pPr>
              <w:spacing w:after="0"/>
              <w:jc w:val="center"/>
              <w:rPr>
                <w:rFonts w:hint="default" w:ascii="Arial" w:hAnsi="Arial" w:cs="Arial"/>
                <w:sz w:val="18"/>
                <w:szCs w:val="18"/>
              </w:rPr>
            </w:pPr>
            <w:r>
              <w:rPr>
                <w:rFonts w:hint="default" w:ascii="Arial" w:hAnsi="Arial" w:cs="Arial"/>
                <w:b w:val="0"/>
                <w:sz w:val="18"/>
                <w:szCs w:val="18"/>
              </w:rPr>
              <w:t>0.51–1.38</w:t>
            </w:r>
          </w:p>
        </w:tc>
        <w:tc>
          <w:tcPr>
            <w:tcW w:w="1461" w:type="dxa"/>
            <w:tcBorders>
              <w:top w:val="nil"/>
              <w:left w:val="nil"/>
              <w:bottom w:val="nil"/>
              <w:right w:val="nil"/>
              <w:insideH w:val="nil"/>
              <w:insideV w:val="nil"/>
            </w:tcBorders>
          </w:tcPr>
          <w:p w14:paraId="66A683D7">
            <w:pPr>
              <w:spacing w:after="0"/>
              <w:jc w:val="center"/>
              <w:rPr>
                <w:rFonts w:hint="default" w:ascii="Arial" w:hAnsi="Arial" w:cs="Arial"/>
                <w:sz w:val="18"/>
                <w:szCs w:val="18"/>
              </w:rPr>
            </w:pPr>
            <w:r>
              <w:rPr>
                <w:rFonts w:hint="default" w:ascii="Arial" w:hAnsi="Arial" w:cs="Arial"/>
                <w:b w:val="0"/>
                <w:sz w:val="18"/>
                <w:szCs w:val="18"/>
              </w:rPr>
              <w:t>0.489</w:t>
            </w:r>
          </w:p>
        </w:tc>
      </w:tr>
      <w:tr w14:paraId="04FD9C13">
        <w:tblPrEx>
          <w:tblCellMar>
            <w:top w:w="0" w:type="dxa"/>
            <w:left w:w="108" w:type="dxa"/>
            <w:bottom w:w="0" w:type="dxa"/>
            <w:right w:w="108" w:type="dxa"/>
          </w:tblCellMar>
        </w:tblPrEx>
        <w:trPr>
          <w:jc w:val="center"/>
        </w:trPr>
        <w:tc>
          <w:tcPr>
            <w:tcW w:w="1606" w:type="dxa"/>
            <w:tcBorders>
              <w:top w:val="nil"/>
              <w:left w:val="nil"/>
              <w:bottom w:val="single" w:color="000000" w:sz="12" w:space="0"/>
              <w:right w:val="nil"/>
              <w:insideH w:val="nil"/>
              <w:insideV w:val="nil"/>
            </w:tcBorders>
          </w:tcPr>
          <w:p w14:paraId="542094D1">
            <w:pPr>
              <w:spacing w:after="0"/>
              <w:rPr>
                <w:rFonts w:hint="default" w:ascii="Arial" w:hAnsi="Arial" w:cs="Arial"/>
                <w:sz w:val="18"/>
                <w:szCs w:val="18"/>
              </w:rPr>
            </w:pPr>
            <w:r>
              <w:rPr>
                <w:rFonts w:hint="default" w:ascii="Arial" w:hAnsi="Arial" w:cs="Arial"/>
                <w:b w:val="0"/>
                <w:sz w:val="18"/>
                <w:szCs w:val="18"/>
              </w:rPr>
              <w:t>Strict exploratory LVEF sensitivity endpoint³</w:t>
            </w:r>
          </w:p>
        </w:tc>
        <w:tc>
          <w:tcPr>
            <w:tcW w:w="1461" w:type="dxa"/>
            <w:tcBorders>
              <w:top w:val="nil"/>
              <w:left w:val="nil"/>
              <w:bottom w:val="single" w:color="000000" w:sz="12" w:space="0"/>
              <w:right w:val="nil"/>
              <w:insideH w:val="nil"/>
              <w:insideV w:val="nil"/>
            </w:tcBorders>
          </w:tcPr>
          <w:p w14:paraId="6FD87FA9">
            <w:pPr>
              <w:spacing w:after="0"/>
              <w:jc w:val="center"/>
              <w:rPr>
                <w:rFonts w:hint="default" w:ascii="Arial" w:hAnsi="Arial" w:cs="Arial"/>
                <w:sz w:val="18"/>
                <w:szCs w:val="18"/>
              </w:rPr>
            </w:pPr>
            <w:r>
              <w:rPr>
                <w:rFonts w:hint="default" w:ascii="Arial" w:hAnsi="Arial" w:cs="Arial"/>
                <w:b w:val="0"/>
                <w:sz w:val="18"/>
                <w:szCs w:val="18"/>
              </w:rPr>
              <w:t>N=279 evaluable</w:t>
            </w:r>
          </w:p>
        </w:tc>
        <w:tc>
          <w:tcPr>
            <w:tcW w:w="1251" w:type="dxa"/>
            <w:tcBorders>
              <w:top w:val="nil"/>
              <w:left w:val="nil"/>
              <w:bottom w:val="single" w:color="000000" w:sz="12" w:space="0"/>
              <w:right w:val="nil"/>
              <w:insideH w:val="nil"/>
              <w:insideV w:val="nil"/>
            </w:tcBorders>
          </w:tcPr>
          <w:p w14:paraId="211DB1A8">
            <w:pPr>
              <w:spacing w:after="0"/>
              <w:jc w:val="center"/>
              <w:rPr>
                <w:rFonts w:hint="default" w:ascii="Arial" w:hAnsi="Arial" w:cs="Arial"/>
                <w:sz w:val="18"/>
                <w:szCs w:val="18"/>
              </w:rPr>
            </w:pPr>
            <w:r>
              <w:rPr>
                <w:rFonts w:hint="default" w:ascii="Arial" w:hAnsi="Arial" w:cs="Arial"/>
                <w:b w:val="0"/>
                <w:sz w:val="18"/>
                <w:szCs w:val="18"/>
              </w:rPr>
              <w:t>4 (1.4%)</w:t>
            </w:r>
          </w:p>
        </w:tc>
        <w:tc>
          <w:tcPr>
            <w:tcW w:w="1671" w:type="dxa"/>
            <w:tcBorders>
              <w:top w:val="nil"/>
              <w:left w:val="nil"/>
              <w:bottom w:val="single" w:color="000000" w:sz="12" w:space="0"/>
              <w:right w:val="nil"/>
              <w:insideH w:val="nil"/>
              <w:insideV w:val="nil"/>
            </w:tcBorders>
          </w:tcPr>
          <w:p w14:paraId="2A1714DD">
            <w:pPr>
              <w:spacing w:after="0"/>
              <w:rPr>
                <w:rFonts w:hint="default" w:ascii="Arial" w:hAnsi="Arial" w:cs="Arial"/>
                <w:sz w:val="18"/>
                <w:szCs w:val="18"/>
              </w:rPr>
            </w:pPr>
            <w:r>
              <w:rPr>
                <w:rFonts w:hint="default" w:ascii="Arial" w:hAnsi="Arial" w:cs="Arial"/>
                <w:b w:val="0"/>
                <w:sz w:val="18"/>
                <w:szCs w:val="18"/>
              </w:rPr>
              <w:t>Q1 1/62 (1.6%); Q2 2/74 (2.7%); Q3 1/66 (1.5%); Q4 0/77 (0.0%)</w:t>
            </w:r>
          </w:p>
        </w:tc>
        <w:tc>
          <w:tcPr>
            <w:tcW w:w="1461" w:type="dxa"/>
            <w:tcBorders>
              <w:top w:val="nil"/>
              <w:left w:val="nil"/>
              <w:bottom w:val="single" w:color="000000" w:sz="12" w:space="0"/>
              <w:right w:val="nil"/>
              <w:insideH w:val="nil"/>
              <w:insideV w:val="nil"/>
            </w:tcBorders>
          </w:tcPr>
          <w:p w14:paraId="0179904F">
            <w:pPr>
              <w:spacing w:after="0"/>
              <w:jc w:val="center"/>
              <w:rPr>
                <w:rFonts w:hint="default" w:ascii="Arial" w:hAnsi="Arial" w:cs="Arial"/>
                <w:sz w:val="18"/>
                <w:szCs w:val="18"/>
              </w:rPr>
            </w:pPr>
            <w:r>
              <w:rPr>
                <w:rFonts w:hint="default" w:ascii="Arial" w:hAnsi="Arial" w:cs="Arial"/>
                <w:b w:val="0"/>
                <w:sz w:val="18"/>
                <w:szCs w:val="18"/>
              </w:rPr>
              <w:t>Not modeled</w:t>
            </w:r>
          </w:p>
        </w:tc>
        <w:tc>
          <w:tcPr>
            <w:tcW w:w="1461" w:type="dxa"/>
            <w:tcBorders>
              <w:top w:val="nil"/>
              <w:left w:val="nil"/>
              <w:bottom w:val="single" w:color="000000" w:sz="12" w:space="0"/>
              <w:right w:val="nil"/>
              <w:insideH w:val="nil"/>
              <w:insideV w:val="nil"/>
            </w:tcBorders>
          </w:tcPr>
          <w:p w14:paraId="0CFDC7B7">
            <w:pPr>
              <w:spacing w:after="0"/>
              <w:jc w:val="center"/>
              <w:rPr>
                <w:rFonts w:hint="default" w:ascii="Arial" w:hAnsi="Arial" w:cs="Arial"/>
                <w:sz w:val="18"/>
                <w:szCs w:val="18"/>
              </w:rPr>
            </w:pPr>
            <w:r>
              <w:rPr>
                <w:rFonts w:hint="default" w:ascii="Arial" w:hAnsi="Arial" w:cs="Arial"/>
                <w:b w:val="0"/>
                <w:sz w:val="18"/>
                <w:szCs w:val="18"/>
              </w:rPr>
              <w:t>—</w:t>
            </w:r>
          </w:p>
        </w:tc>
        <w:tc>
          <w:tcPr>
            <w:tcW w:w="1461" w:type="dxa"/>
            <w:tcBorders>
              <w:top w:val="nil"/>
              <w:left w:val="nil"/>
              <w:bottom w:val="single" w:color="000000" w:sz="12" w:space="0"/>
              <w:right w:val="nil"/>
              <w:insideH w:val="nil"/>
              <w:insideV w:val="nil"/>
            </w:tcBorders>
          </w:tcPr>
          <w:p w14:paraId="34A8807C">
            <w:pPr>
              <w:spacing w:after="0"/>
              <w:jc w:val="center"/>
              <w:rPr>
                <w:rFonts w:hint="default" w:ascii="Arial" w:hAnsi="Arial" w:cs="Arial"/>
                <w:sz w:val="18"/>
                <w:szCs w:val="18"/>
              </w:rPr>
            </w:pPr>
            <w:r>
              <w:rPr>
                <w:rFonts w:hint="default" w:ascii="Arial" w:hAnsi="Arial" w:cs="Arial"/>
                <w:b w:val="0"/>
                <w:sz w:val="18"/>
                <w:szCs w:val="18"/>
              </w:rPr>
              <w:t>—</w:t>
            </w:r>
          </w:p>
        </w:tc>
      </w:tr>
    </w:tbl>
    <w:p w14:paraId="2B0A59DD">
      <w:pPr>
        <w:spacing w:after="40"/>
        <w:rPr>
          <w:rFonts w:hint="default" w:ascii="Arial" w:hAnsi="Arial" w:cs="Arial"/>
          <w:sz w:val="18"/>
          <w:szCs w:val="18"/>
        </w:rPr>
      </w:pPr>
      <w:r>
        <w:rPr>
          <w:rFonts w:hint="default" w:ascii="Arial" w:hAnsi="Arial" w:cs="Arial"/>
          <w:sz w:val="18"/>
          <w:szCs w:val="18"/>
        </w:rPr>
        <w:t>¹ Prespecified echocardiographic abnormality endpoint: incident LVEF &lt;60%, FS &lt;28%, or clinically relevant structural/pericardial abnormality after a normal baseline assessment. The 37 events comprised 34 LVEF &lt;60% events (7 also had FS &lt;28%), 1 isolated FS &lt;28% event, and 2 pericardial effusions. The locked quartile distribution was 4/11/7/15 in Q1–Q4.</w:t>
      </w:r>
    </w:p>
    <w:p w14:paraId="670F3C02">
      <w:pPr>
        <w:spacing w:after="40"/>
        <w:rPr>
          <w:rFonts w:hint="default" w:ascii="Arial" w:hAnsi="Arial" w:cs="Arial"/>
          <w:sz w:val="18"/>
          <w:szCs w:val="18"/>
        </w:rPr>
      </w:pPr>
      <w:r>
        <w:rPr>
          <w:rFonts w:hint="default" w:ascii="Arial" w:hAnsi="Arial" w:cs="Arial"/>
          <w:sz w:val="18"/>
          <w:szCs w:val="18"/>
        </w:rPr>
        <w:t>² Decline-based endpoint: absolute LVEF decline ≥10 percentage points from the available pre-anthracycline quantitative LVEF together with follow-up LVEF &lt;60%. Patients without a quantitative pre-treatment LVEF were considered non-evaluable rather than non-events. Isolated FS &lt;28% and pericardial effusion were not included.</w:t>
      </w:r>
    </w:p>
    <w:p w14:paraId="5B72137E">
      <w:pPr>
        <w:spacing w:after="40"/>
        <w:rPr>
          <w:rFonts w:hint="default" w:ascii="Arial" w:hAnsi="Arial" w:cs="Arial"/>
          <w:sz w:val="18"/>
          <w:szCs w:val="18"/>
        </w:rPr>
      </w:pPr>
      <w:r>
        <w:rPr>
          <w:rFonts w:hint="default" w:ascii="Arial" w:hAnsi="Arial" w:cs="Arial"/>
          <w:sz w:val="18"/>
          <w:szCs w:val="18"/>
        </w:rPr>
        <w:t>³ Strict exploratory endpoint: absolute LVEF decline ≥10 percentage points together with follow-up LVEF ≤55%. Only four events occurred; multivariable survival modeling was therefore not performed.</w:t>
      </w:r>
    </w:p>
    <w:p w14:paraId="2316E9E0">
      <w:pPr>
        <w:spacing w:after="40"/>
        <w:rPr>
          <w:rFonts w:hint="default" w:ascii="Arial" w:hAnsi="Arial" w:cs="Arial"/>
          <w:sz w:val="18"/>
          <w:szCs w:val="18"/>
        </w:rPr>
      </w:pPr>
      <w:r>
        <w:rPr>
          <w:rFonts w:hint="default" w:ascii="Arial" w:hAnsi="Arial" w:cs="Arial"/>
          <w:sz w:val="18"/>
          <w:szCs w:val="18"/>
        </w:rPr>
        <w:t>Adjusted continuous-dose Cox models express cumulative doxorubicin-equivalent exposure per 50 mg/m² and were adjusted for age at diagnosis and sex. The decline-based analyses were post hoc sensitivity analyses.</w:t>
      </w:r>
    </w:p>
    <w:sectPr>
      <w:pgSz w:w="12240" w:h="15840"/>
      <w:pgMar w:top="936" w:right="1008" w:bottom="936" w:left="1008"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2B54036"/>
    <w:rsid w:val="076444C8"/>
    <w:rsid w:val="18EB18C8"/>
    <w:rsid w:val="209546A1"/>
    <w:rsid w:val="22B30971"/>
    <w:rsid w:val="25DD6EB7"/>
    <w:rsid w:val="27B17D40"/>
    <w:rsid w:val="28D82E7C"/>
    <w:rsid w:val="2F6A5FB0"/>
    <w:rsid w:val="33BA0D0A"/>
    <w:rsid w:val="41863504"/>
    <w:rsid w:val="429569E3"/>
    <w:rsid w:val="47796F7A"/>
    <w:rsid w:val="52365D7A"/>
    <w:rsid w:val="5281120E"/>
    <w:rsid w:val="56FC219B"/>
    <w:rsid w:val="5AE72F2C"/>
    <w:rsid w:val="5F431C61"/>
    <w:rsid w:val="5F596452"/>
    <w:rsid w:val="615074AC"/>
    <w:rsid w:val="647805F8"/>
    <w:rsid w:val="65B53D84"/>
    <w:rsid w:val="6D195F0B"/>
    <w:rsid w:val="717E6978"/>
    <w:rsid w:val="74D01E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Arial" w:hAnsi="Arial" w:eastAsiaTheme="minorEastAsia" w:cstheme="minorBidi"/>
      <w:sz w:val="19"/>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9</Pages>
  <Words>914</Words>
  <Characters>5537</Characters>
  <Lines>0</Lines>
  <Paragraphs>0</Paragraphs>
  <TotalTime>16</TotalTime>
  <ScaleCrop>false</ScaleCrop>
  <LinksUpToDate>false</LinksUpToDate>
  <CharactersWithSpaces>6188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黄瑞燕</cp:lastModifiedBy>
  <dcterms:modified xsi:type="dcterms:W3CDTF">2026-09-09T13:32:56Z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eyJoZGlkIjoiN2RlODY0ZTk5ZDJjYTQ4MTZjMjVlOTYzYzRkYTVjMWQiLCJ1c2VySWQiOiIxNjgyNTczMTUwIn0=</vt:lpwstr>
  </property>
  <property fmtid="{D5CDD505-2E9C-101B-9397-08002B2CF9AE}" pid="3" name="KSOProductBuildVer">
    <vt:lpwstr>2052-12.1.0.28043</vt:lpwstr>
  </property>
  <property fmtid="{D5CDD505-2E9C-101B-9397-08002B2CF9AE}" pid="4" name="ICV">
    <vt:lpwstr>B29A0272EBC74E18A05813CB4981F778_13</vt:lpwstr>
  </property>
</Properties>
</file>