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82701" w14:textId="0514AC84" w:rsidR="00084DDB" w:rsidRPr="00570FAC" w:rsidRDefault="00084DDB" w:rsidP="008712B4">
      <w:pPr>
        <w:ind w:left="225"/>
        <w:rPr>
          <w:rFonts w:ascii="Times New Roman" w:eastAsia="Times New Roman" w:hAnsi="Times New Roman" w:cs="Times New Roman"/>
          <w:color w:val="111111"/>
          <w:kern w:val="0"/>
          <w:lang w:val="en-US"/>
          <w14:ligatures w14:val="none"/>
        </w:rPr>
      </w:pPr>
      <w:r w:rsidRPr="00570FAC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Supplementary </w:t>
      </w:r>
      <w:r w:rsidR="002D3CFE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File</w:t>
      </w:r>
      <w:r w:rsidR="00243E3B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1</w:t>
      </w:r>
      <w:r w:rsidRPr="00570FAC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: Delphi Round 2 item-level</w:t>
      </w:r>
    </w:p>
    <w:tbl>
      <w:tblPr>
        <w:tblStyle w:val="TableGrid"/>
        <w:tblpPr w:leftFromText="180" w:rightFromText="180" w:vertAnchor="text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7230"/>
        <w:gridCol w:w="906"/>
        <w:gridCol w:w="790"/>
        <w:gridCol w:w="1280"/>
        <w:gridCol w:w="1560"/>
        <w:gridCol w:w="1208"/>
      </w:tblGrid>
      <w:tr w:rsidR="006D28D5" w:rsidRPr="008712B4" w14:paraId="27F64B15" w14:textId="77777777" w:rsidTr="006D28D5">
        <w:trPr>
          <w:trHeight w:val="283"/>
        </w:trPr>
        <w:tc>
          <w:tcPr>
            <w:tcW w:w="1696" w:type="dxa"/>
            <w:noWrap/>
            <w:vAlign w:val="center"/>
            <w:hideMark/>
          </w:tcPr>
          <w:p w14:paraId="386D49EC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Category</w:t>
            </w:r>
          </w:p>
        </w:tc>
        <w:tc>
          <w:tcPr>
            <w:tcW w:w="7230" w:type="dxa"/>
            <w:noWrap/>
            <w:vAlign w:val="center"/>
            <w:hideMark/>
          </w:tcPr>
          <w:p w14:paraId="53B9C69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Recommendation</w:t>
            </w:r>
          </w:p>
        </w:tc>
        <w:tc>
          <w:tcPr>
            <w:tcW w:w="906" w:type="dxa"/>
            <w:noWrap/>
            <w:vAlign w:val="center"/>
            <w:hideMark/>
          </w:tcPr>
          <w:p w14:paraId="190553B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Median</w:t>
            </w:r>
          </w:p>
        </w:tc>
        <w:tc>
          <w:tcPr>
            <w:tcW w:w="790" w:type="dxa"/>
            <w:noWrap/>
            <w:vAlign w:val="center"/>
            <w:hideMark/>
          </w:tcPr>
          <w:p w14:paraId="7C6A90A3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IQR</w:t>
            </w:r>
          </w:p>
        </w:tc>
        <w:tc>
          <w:tcPr>
            <w:tcW w:w="1280" w:type="dxa"/>
            <w:noWrap/>
            <w:vAlign w:val="center"/>
            <w:hideMark/>
          </w:tcPr>
          <w:p w14:paraId="1F3BBDA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% Agreement</w:t>
            </w:r>
          </w:p>
        </w:tc>
        <w:tc>
          <w:tcPr>
            <w:tcW w:w="1560" w:type="dxa"/>
            <w:noWrap/>
            <w:vAlign w:val="center"/>
            <w:hideMark/>
          </w:tcPr>
          <w:p w14:paraId="51E7234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% Disagreement</w:t>
            </w:r>
          </w:p>
        </w:tc>
        <w:tc>
          <w:tcPr>
            <w:tcW w:w="1208" w:type="dxa"/>
            <w:noWrap/>
            <w:vAlign w:val="center"/>
            <w:hideMark/>
          </w:tcPr>
          <w:p w14:paraId="2B42424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Consensus</w:t>
            </w:r>
          </w:p>
        </w:tc>
      </w:tr>
      <w:tr w:rsidR="006D28D5" w:rsidRPr="008712B4" w14:paraId="0248D9B9" w14:textId="77777777" w:rsidTr="006D28D5">
        <w:trPr>
          <w:trHeight w:val="283"/>
        </w:trPr>
        <w:tc>
          <w:tcPr>
            <w:tcW w:w="1696" w:type="dxa"/>
            <w:vMerge w:val="restart"/>
            <w:vAlign w:val="center"/>
            <w:hideMark/>
          </w:tcPr>
          <w:p w14:paraId="2EAB2691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Organization</w:t>
            </w:r>
          </w:p>
        </w:tc>
        <w:tc>
          <w:tcPr>
            <w:tcW w:w="7230" w:type="dxa"/>
            <w:noWrap/>
            <w:hideMark/>
          </w:tcPr>
          <w:p w14:paraId="76F35C84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1. Establish a structured, non-punitive, and anonymous medication error and adverse drug reaction (ADR) reporting system with routine analysis and feedback.</w:t>
            </w:r>
          </w:p>
        </w:tc>
        <w:tc>
          <w:tcPr>
            <w:tcW w:w="906" w:type="dxa"/>
            <w:noWrap/>
            <w:vAlign w:val="center"/>
            <w:hideMark/>
          </w:tcPr>
          <w:p w14:paraId="71313DF8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0923436A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</w:t>
            </w:r>
          </w:p>
        </w:tc>
        <w:tc>
          <w:tcPr>
            <w:tcW w:w="1280" w:type="dxa"/>
            <w:noWrap/>
            <w:vAlign w:val="center"/>
            <w:hideMark/>
          </w:tcPr>
          <w:p w14:paraId="28DDF7C6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66773E98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10.5</w:t>
            </w:r>
          </w:p>
        </w:tc>
        <w:tc>
          <w:tcPr>
            <w:tcW w:w="1208" w:type="dxa"/>
            <w:noWrap/>
            <w:vAlign w:val="center"/>
            <w:hideMark/>
          </w:tcPr>
          <w:p w14:paraId="07A93AF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3FD101BD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3FD55191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75A70CD4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2. Appoint a dedicated Medication Safety Officer or Pediatric Medication Safety Subcommittee with protected time and defined authority.</w:t>
            </w:r>
          </w:p>
        </w:tc>
        <w:tc>
          <w:tcPr>
            <w:tcW w:w="906" w:type="dxa"/>
            <w:noWrap/>
            <w:vAlign w:val="center"/>
            <w:hideMark/>
          </w:tcPr>
          <w:p w14:paraId="24A41A1A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468A1F4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3BDFAE3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78.9</w:t>
            </w:r>
          </w:p>
        </w:tc>
        <w:tc>
          <w:tcPr>
            <w:tcW w:w="1560" w:type="dxa"/>
            <w:noWrap/>
            <w:vAlign w:val="center"/>
            <w:hideMark/>
          </w:tcPr>
          <w:p w14:paraId="0F2BDE6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10.5</w:t>
            </w:r>
          </w:p>
        </w:tc>
        <w:tc>
          <w:tcPr>
            <w:tcW w:w="1208" w:type="dxa"/>
            <w:noWrap/>
            <w:vAlign w:val="center"/>
            <w:hideMark/>
          </w:tcPr>
          <w:p w14:paraId="2101095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No</w:t>
            </w:r>
          </w:p>
        </w:tc>
      </w:tr>
      <w:tr w:rsidR="006D28D5" w:rsidRPr="008712B4" w14:paraId="0C1191D4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503C780A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3AD6034E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3. Ensure adequate staffing levels and an appropriate skill mix in pediatric units, including PICU and NICU, across all shifts.</w:t>
            </w:r>
          </w:p>
        </w:tc>
        <w:tc>
          <w:tcPr>
            <w:tcW w:w="906" w:type="dxa"/>
            <w:noWrap/>
            <w:vAlign w:val="center"/>
            <w:hideMark/>
          </w:tcPr>
          <w:p w14:paraId="3F49A1DA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06D2EBDC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64AF0B38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2A4E5B4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1B1191C2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765AA473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19141708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32C45D68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4. Maintain appropriate patient-to-pharmacist ratios to safely manage workload.</w:t>
            </w:r>
          </w:p>
        </w:tc>
        <w:tc>
          <w:tcPr>
            <w:tcW w:w="906" w:type="dxa"/>
            <w:noWrap/>
            <w:vAlign w:val="center"/>
            <w:hideMark/>
          </w:tcPr>
          <w:p w14:paraId="32402DE8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632DEFE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745A3E59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4516C1B6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10.5</w:t>
            </w:r>
          </w:p>
        </w:tc>
        <w:tc>
          <w:tcPr>
            <w:tcW w:w="1208" w:type="dxa"/>
            <w:noWrap/>
            <w:vAlign w:val="center"/>
            <w:hideMark/>
          </w:tcPr>
          <w:p w14:paraId="151233D1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13D3DE76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0E63D394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26B89BB9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 Provide organizational support for pharmacist-led medication safety interventions.</w:t>
            </w:r>
          </w:p>
        </w:tc>
        <w:tc>
          <w:tcPr>
            <w:tcW w:w="906" w:type="dxa"/>
            <w:noWrap/>
            <w:vAlign w:val="center"/>
            <w:hideMark/>
          </w:tcPr>
          <w:p w14:paraId="133AE293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5512D720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4ED3C988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84.2</w:t>
            </w:r>
          </w:p>
        </w:tc>
        <w:tc>
          <w:tcPr>
            <w:tcW w:w="1560" w:type="dxa"/>
            <w:noWrap/>
            <w:vAlign w:val="center"/>
            <w:hideMark/>
          </w:tcPr>
          <w:p w14:paraId="2DE73741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10.5</w:t>
            </w:r>
          </w:p>
        </w:tc>
        <w:tc>
          <w:tcPr>
            <w:tcW w:w="1208" w:type="dxa"/>
            <w:noWrap/>
            <w:vAlign w:val="center"/>
            <w:hideMark/>
          </w:tcPr>
          <w:p w14:paraId="1A3F921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00CED005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420A1C80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18F426DB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6. Integrate pediatric medication safety indicators into hospital quality improvement programs.</w:t>
            </w:r>
          </w:p>
        </w:tc>
        <w:tc>
          <w:tcPr>
            <w:tcW w:w="906" w:type="dxa"/>
            <w:noWrap/>
            <w:vAlign w:val="center"/>
            <w:hideMark/>
          </w:tcPr>
          <w:p w14:paraId="6983568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6E9C6BDC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01E2D4C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760A9C4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10.5</w:t>
            </w:r>
          </w:p>
        </w:tc>
        <w:tc>
          <w:tcPr>
            <w:tcW w:w="1208" w:type="dxa"/>
            <w:noWrap/>
            <w:vAlign w:val="center"/>
            <w:hideMark/>
          </w:tcPr>
          <w:p w14:paraId="101B426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42E705E6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190F138E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726DE9DA" w14:textId="25D08988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7. Ensure leadership visibility and active participation in pediatric medication safety rounds.</w:t>
            </w:r>
            <w:r w:rsidR="00BF3B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 xml:space="preserve"> </w:t>
            </w:r>
          </w:p>
        </w:tc>
        <w:tc>
          <w:tcPr>
            <w:tcW w:w="906" w:type="dxa"/>
            <w:noWrap/>
            <w:vAlign w:val="center"/>
            <w:hideMark/>
          </w:tcPr>
          <w:p w14:paraId="7DB14F88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4</w:t>
            </w:r>
          </w:p>
        </w:tc>
        <w:tc>
          <w:tcPr>
            <w:tcW w:w="790" w:type="dxa"/>
            <w:noWrap/>
            <w:vAlign w:val="center"/>
            <w:hideMark/>
          </w:tcPr>
          <w:p w14:paraId="16451C41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0.5</w:t>
            </w:r>
          </w:p>
        </w:tc>
        <w:tc>
          <w:tcPr>
            <w:tcW w:w="1280" w:type="dxa"/>
            <w:noWrap/>
            <w:vAlign w:val="center"/>
            <w:hideMark/>
          </w:tcPr>
          <w:p w14:paraId="7459A939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78.9</w:t>
            </w:r>
          </w:p>
        </w:tc>
        <w:tc>
          <w:tcPr>
            <w:tcW w:w="1560" w:type="dxa"/>
            <w:noWrap/>
            <w:vAlign w:val="center"/>
            <w:hideMark/>
          </w:tcPr>
          <w:p w14:paraId="2EBDF814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48E2E138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No</w:t>
            </w:r>
          </w:p>
        </w:tc>
      </w:tr>
      <w:tr w:rsidR="006D28D5" w:rsidRPr="008712B4" w14:paraId="0579C214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33DA1941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51079E24" w14:textId="3EFCA2E4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8. Allocate protected time for staff participation in medication safety reviews, audits, and educational activities.</w:t>
            </w:r>
            <w:r w:rsidR="000D284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 xml:space="preserve"> ^</w:t>
            </w:r>
          </w:p>
        </w:tc>
        <w:tc>
          <w:tcPr>
            <w:tcW w:w="906" w:type="dxa"/>
            <w:noWrap/>
            <w:vAlign w:val="center"/>
            <w:hideMark/>
          </w:tcPr>
          <w:p w14:paraId="2C4AA884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4</w:t>
            </w:r>
          </w:p>
        </w:tc>
        <w:tc>
          <w:tcPr>
            <w:tcW w:w="790" w:type="dxa"/>
            <w:noWrap/>
            <w:vAlign w:val="center"/>
            <w:hideMark/>
          </w:tcPr>
          <w:p w14:paraId="472F96D6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0.75</w:t>
            </w:r>
          </w:p>
        </w:tc>
        <w:tc>
          <w:tcPr>
            <w:tcW w:w="1280" w:type="dxa"/>
            <w:noWrap/>
            <w:vAlign w:val="center"/>
            <w:hideMark/>
          </w:tcPr>
          <w:p w14:paraId="07BA6324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83.3</w:t>
            </w:r>
          </w:p>
        </w:tc>
        <w:tc>
          <w:tcPr>
            <w:tcW w:w="1560" w:type="dxa"/>
            <w:noWrap/>
            <w:vAlign w:val="center"/>
            <w:hideMark/>
          </w:tcPr>
          <w:p w14:paraId="147A15E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11.1</w:t>
            </w:r>
          </w:p>
        </w:tc>
        <w:tc>
          <w:tcPr>
            <w:tcW w:w="1208" w:type="dxa"/>
            <w:noWrap/>
            <w:vAlign w:val="center"/>
            <w:hideMark/>
          </w:tcPr>
          <w:p w14:paraId="2AA7E144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501A6D7E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2B171A9C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3064A5FE" w14:textId="4049DC76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9. Promote a just and transparent safety culture that treats medication errors as learning opportunities and encourages speaking up.</w:t>
            </w:r>
            <w:r w:rsidR="000D284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 xml:space="preserve"> ^</w:t>
            </w:r>
          </w:p>
        </w:tc>
        <w:tc>
          <w:tcPr>
            <w:tcW w:w="906" w:type="dxa"/>
            <w:noWrap/>
            <w:vAlign w:val="center"/>
            <w:hideMark/>
          </w:tcPr>
          <w:p w14:paraId="2040DA84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730BBA3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23F4B08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83.3</w:t>
            </w:r>
          </w:p>
        </w:tc>
        <w:tc>
          <w:tcPr>
            <w:tcW w:w="1560" w:type="dxa"/>
            <w:noWrap/>
            <w:vAlign w:val="center"/>
            <w:hideMark/>
          </w:tcPr>
          <w:p w14:paraId="7D24A99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11.1</w:t>
            </w:r>
          </w:p>
        </w:tc>
        <w:tc>
          <w:tcPr>
            <w:tcW w:w="1208" w:type="dxa"/>
            <w:noWrap/>
            <w:vAlign w:val="center"/>
            <w:hideMark/>
          </w:tcPr>
          <w:p w14:paraId="028C014C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6039D315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20E74D0D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6483A0C5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10. Separate pediatric medication order verification and preparation processes from adult medication services.</w:t>
            </w:r>
          </w:p>
        </w:tc>
        <w:tc>
          <w:tcPr>
            <w:tcW w:w="906" w:type="dxa"/>
            <w:noWrap/>
            <w:vAlign w:val="center"/>
            <w:hideMark/>
          </w:tcPr>
          <w:p w14:paraId="28BB967C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3F88E29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016AC3DC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78.9</w:t>
            </w:r>
          </w:p>
        </w:tc>
        <w:tc>
          <w:tcPr>
            <w:tcW w:w="1560" w:type="dxa"/>
            <w:noWrap/>
            <w:vAlign w:val="center"/>
            <w:hideMark/>
          </w:tcPr>
          <w:p w14:paraId="77E8771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2C2D4842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No</w:t>
            </w:r>
          </w:p>
        </w:tc>
      </w:tr>
      <w:tr w:rsidR="006D28D5" w:rsidRPr="008712B4" w14:paraId="46DB3A59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2563B4EE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7D20E24D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11. Recruit specialized pediatric and neonatal clinical pharmacists for tertiary and high-risk care areas.</w:t>
            </w:r>
          </w:p>
        </w:tc>
        <w:tc>
          <w:tcPr>
            <w:tcW w:w="906" w:type="dxa"/>
            <w:noWrap/>
            <w:vAlign w:val="center"/>
            <w:hideMark/>
          </w:tcPr>
          <w:p w14:paraId="7196ADF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3C9DB33A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</w:t>
            </w:r>
          </w:p>
        </w:tc>
        <w:tc>
          <w:tcPr>
            <w:tcW w:w="1280" w:type="dxa"/>
            <w:noWrap/>
            <w:vAlign w:val="center"/>
            <w:hideMark/>
          </w:tcPr>
          <w:p w14:paraId="08F19CB4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381556B2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10.5</w:t>
            </w:r>
          </w:p>
        </w:tc>
        <w:tc>
          <w:tcPr>
            <w:tcW w:w="1208" w:type="dxa"/>
            <w:noWrap/>
            <w:vAlign w:val="center"/>
            <w:hideMark/>
          </w:tcPr>
          <w:p w14:paraId="25ABB213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25BE62B7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635A520E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1B0AC83E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12. Implement continuous organizational training programs focused on pediatric medication safety.</w:t>
            </w:r>
          </w:p>
        </w:tc>
        <w:tc>
          <w:tcPr>
            <w:tcW w:w="906" w:type="dxa"/>
            <w:noWrap/>
            <w:vAlign w:val="center"/>
            <w:hideMark/>
          </w:tcPr>
          <w:p w14:paraId="07B0AE3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20195173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065662DA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3B1AEFE8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10.5</w:t>
            </w:r>
          </w:p>
        </w:tc>
        <w:tc>
          <w:tcPr>
            <w:tcW w:w="1208" w:type="dxa"/>
            <w:noWrap/>
            <w:vAlign w:val="center"/>
            <w:hideMark/>
          </w:tcPr>
          <w:p w14:paraId="13725F4A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6466DFAA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13DDCF3D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3F6418F3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13. Conduct regular audits of staffing levels, workload distribution, and resource allocation.</w:t>
            </w:r>
          </w:p>
        </w:tc>
        <w:tc>
          <w:tcPr>
            <w:tcW w:w="906" w:type="dxa"/>
            <w:noWrap/>
            <w:vAlign w:val="center"/>
            <w:hideMark/>
          </w:tcPr>
          <w:p w14:paraId="7E1DE82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4</w:t>
            </w:r>
          </w:p>
        </w:tc>
        <w:tc>
          <w:tcPr>
            <w:tcW w:w="790" w:type="dxa"/>
            <w:noWrap/>
            <w:vAlign w:val="center"/>
            <w:hideMark/>
          </w:tcPr>
          <w:p w14:paraId="5C613EF8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19B99F84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01294241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26DF6D0A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7ECB9B09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599F6997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53A2AC82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14. Standardize definitions of reportable medication safety events and communicate common errors and lessons learned on a regular basis.</w:t>
            </w:r>
          </w:p>
        </w:tc>
        <w:tc>
          <w:tcPr>
            <w:tcW w:w="906" w:type="dxa"/>
            <w:noWrap/>
            <w:vAlign w:val="center"/>
            <w:hideMark/>
          </w:tcPr>
          <w:p w14:paraId="22C0CB39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4</w:t>
            </w:r>
          </w:p>
        </w:tc>
        <w:tc>
          <w:tcPr>
            <w:tcW w:w="790" w:type="dxa"/>
            <w:noWrap/>
            <w:vAlign w:val="center"/>
            <w:hideMark/>
          </w:tcPr>
          <w:p w14:paraId="594114E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30CCFCC0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78.9</w:t>
            </w:r>
          </w:p>
        </w:tc>
        <w:tc>
          <w:tcPr>
            <w:tcW w:w="1560" w:type="dxa"/>
            <w:noWrap/>
            <w:vAlign w:val="center"/>
            <w:hideMark/>
          </w:tcPr>
          <w:p w14:paraId="4309291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10.5</w:t>
            </w:r>
          </w:p>
        </w:tc>
        <w:tc>
          <w:tcPr>
            <w:tcW w:w="1208" w:type="dxa"/>
            <w:noWrap/>
            <w:vAlign w:val="center"/>
            <w:hideMark/>
          </w:tcPr>
          <w:p w14:paraId="517B35C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No</w:t>
            </w:r>
          </w:p>
        </w:tc>
      </w:tr>
      <w:tr w:rsidR="006D28D5" w:rsidRPr="008712B4" w14:paraId="4FE7A798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6407B6DB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16FEE2E0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15. Align the institutional definition of pediatric age groups with international standards (up to 18 years).</w:t>
            </w:r>
          </w:p>
        </w:tc>
        <w:tc>
          <w:tcPr>
            <w:tcW w:w="906" w:type="dxa"/>
            <w:noWrap/>
            <w:vAlign w:val="center"/>
            <w:hideMark/>
          </w:tcPr>
          <w:p w14:paraId="4B5273C1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4</w:t>
            </w:r>
          </w:p>
        </w:tc>
        <w:tc>
          <w:tcPr>
            <w:tcW w:w="790" w:type="dxa"/>
            <w:noWrap/>
            <w:vAlign w:val="center"/>
            <w:hideMark/>
          </w:tcPr>
          <w:p w14:paraId="352F9EC9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2</w:t>
            </w:r>
          </w:p>
        </w:tc>
        <w:tc>
          <w:tcPr>
            <w:tcW w:w="1280" w:type="dxa"/>
            <w:noWrap/>
            <w:vAlign w:val="center"/>
            <w:hideMark/>
          </w:tcPr>
          <w:p w14:paraId="7EEB5F88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63.2</w:t>
            </w:r>
          </w:p>
        </w:tc>
        <w:tc>
          <w:tcPr>
            <w:tcW w:w="1560" w:type="dxa"/>
            <w:noWrap/>
            <w:vAlign w:val="center"/>
            <w:hideMark/>
          </w:tcPr>
          <w:p w14:paraId="26BCCE6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15.8</w:t>
            </w:r>
          </w:p>
        </w:tc>
        <w:tc>
          <w:tcPr>
            <w:tcW w:w="1208" w:type="dxa"/>
            <w:noWrap/>
            <w:vAlign w:val="center"/>
            <w:hideMark/>
          </w:tcPr>
          <w:p w14:paraId="34482CB3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No</w:t>
            </w:r>
          </w:p>
        </w:tc>
      </w:tr>
      <w:tr w:rsidR="006D28D5" w:rsidRPr="008712B4" w14:paraId="0C806F5F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05154086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1B59010A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16. Manage medication shortages through approved alternatives and communication.</w:t>
            </w:r>
          </w:p>
        </w:tc>
        <w:tc>
          <w:tcPr>
            <w:tcW w:w="906" w:type="dxa"/>
            <w:noWrap/>
            <w:vAlign w:val="center"/>
            <w:hideMark/>
          </w:tcPr>
          <w:p w14:paraId="4089A47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4</w:t>
            </w:r>
          </w:p>
        </w:tc>
        <w:tc>
          <w:tcPr>
            <w:tcW w:w="790" w:type="dxa"/>
            <w:noWrap/>
            <w:vAlign w:val="center"/>
            <w:hideMark/>
          </w:tcPr>
          <w:p w14:paraId="7B7830AA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4CEFE11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299C2360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6605EDC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54939720" w14:textId="77777777" w:rsidTr="006D28D5">
        <w:trPr>
          <w:trHeight w:val="283"/>
        </w:trPr>
        <w:tc>
          <w:tcPr>
            <w:tcW w:w="1696" w:type="dxa"/>
            <w:vMerge w:val="restart"/>
            <w:noWrap/>
            <w:vAlign w:val="center"/>
            <w:hideMark/>
          </w:tcPr>
          <w:p w14:paraId="363D5532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Environment</w:t>
            </w:r>
          </w:p>
        </w:tc>
        <w:tc>
          <w:tcPr>
            <w:tcW w:w="7230" w:type="dxa"/>
            <w:noWrap/>
            <w:hideMark/>
          </w:tcPr>
          <w:p w14:paraId="69FA3627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1. Minimize interruptions during prescribing, preparation, and administration of medications.</w:t>
            </w:r>
          </w:p>
        </w:tc>
        <w:tc>
          <w:tcPr>
            <w:tcW w:w="906" w:type="dxa"/>
            <w:noWrap/>
            <w:vAlign w:val="center"/>
            <w:hideMark/>
          </w:tcPr>
          <w:p w14:paraId="3EFC71F3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4</w:t>
            </w:r>
          </w:p>
        </w:tc>
        <w:tc>
          <w:tcPr>
            <w:tcW w:w="790" w:type="dxa"/>
            <w:noWrap/>
            <w:vAlign w:val="center"/>
            <w:hideMark/>
          </w:tcPr>
          <w:p w14:paraId="75AC53D0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6F1838E9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84.2</w:t>
            </w:r>
          </w:p>
        </w:tc>
        <w:tc>
          <w:tcPr>
            <w:tcW w:w="1560" w:type="dxa"/>
            <w:noWrap/>
            <w:vAlign w:val="center"/>
            <w:hideMark/>
          </w:tcPr>
          <w:p w14:paraId="0F4C47A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10.5</w:t>
            </w:r>
          </w:p>
        </w:tc>
        <w:tc>
          <w:tcPr>
            <w:tcW w:w="1208" w:type="dxa"/>
            <w:noWrap/>
            <w:vAlign w:val="center"/>
            <w:hideMark/>
          </w:tcPr>
          <w:p w14:paraId="7C65484C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5D08178E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3D1988DB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17A4186C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2. Establish designated 'no-interruption' zones for high-risk medication preparation.</w:t>
            </w:r>
          </w:p>
        </w:tc>
        <w:tc>
          <w:tcPr>
            <w:tcW w:w="906" w:type="dxa"/>
            <w:noWrap/>
            <w:vAlign w:val="center"/>
            <w:hideMark/>
          </w:tcPr>
          <w:p w14:paraId="0D499911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4</w:t>
            </w:r>
          </w:p>
        </w:tc>
        <w:tc>
          <w:tcPr>
            <w:tcW w:w="790" w:type="dxa"/>
            <w:noWrap/>
            <w:vAlign w:val="center"/>
            <w:hideMark/>
          </w:tcPr>
          <w:p w14:paraId="5B81CCA2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2</w:t>
            </w:r>
          </w:p>
        </w:tc>
        <w:tc>
          <w:tcPr>
            <w:tcW w:w="1280" w:type="dxa"/>
            <w:noWrap/>
            <w:vAlign w:val="center"/>
            <w:hideMark/>
          </w:tcPr>
          <w:p w14:paraId="1D944A2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68.4</w:t>
            </w:r>
          </w:p>
        </w:tc>
        <w:tc>
          <w:tcPr>
            <w:tcW w:w="1560" w:type="dxa"/>
            <w:noWrap/>
            <w:vAlign w:val="center"/>
            <w:hideMark/>
          </w:tcPr>
          <w:p w14:paraId="5CEE8CB1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15.8</w:t>
            </w:r>
          </w:p>
        </w:tc>
        <w:tc>
          <w:tcPr>
            <w:tcW w:w="1208" w:type="dxa"/>
            <w:noWrap/>
            <w:vAlign w:val="center"/>
            <w:hideMark/>
          </w:tcPr>
          <w:p w14:paraId="4698552A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No</w:t>
            </w:r>
          </w:p>
        </w:tc>
      </w:tr>
      <w:tr w:rsidR="006D28D5" w:rsidRPr="008712B4" w14:paraId="75C042EE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1A7C80A0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355F2C07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3. Maintain adequate and adjustable lighting in medication preparation areas.</w:t>
            </w:r>
          </w:p>
        </w:tc>
        <w:tc>
          <w:tcPr>
            <w:tcW w:w="906" w:type="dxa"/>
            <w:noWrap/>
            <w:vAlign w:val="center"/>
            <w:hideMark/>
          </w:tcPr>
          <w:p w14:paraId="1F28E156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4</w:t>
            </w:r>
          </w:p>
        </w:tc>
        <w:tc>
          <w:tcPr>
            <w:tcW w:w="790" w:type="dxa"/>
            <w:noWrap/>
            <w:vAlign w:val="center"/>
            <w:hideMark/>
          </w:tcPr>
          <w:p w14:paraId="7E595D1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4554DB5A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636FD4C0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5441A769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1039EA6C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6BD491DB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54EC5FE4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4. Control noise, overcrowding, and environmental distractions in pediatric units.</w:t>
            </w:r>
          </w:p>
        </w:tc>
        <w:tc>
          <w:tcPr>
            <w:tcW w:w="906" w:type="dxa"/>
            <w:noWrap/>
            <w:vAlign w:val="center"/>
            <w:hideMark/>
          </w:tcPr>
          <w:p w14:paraId="0B2785D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4</w:t>
            </w:r>
          </w:p>
        </w:tc>
        <w:tc>
          <w:tcPr>
            <w:tcW w:w="790" w:type="dxa"/>
            <w:noWrap/>
            <w:vAlign w:val="center"/>
            <w:hideMark/>
          </w:tcPr>
          <w:p w14:paraId="06477FE7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000263C4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76B9F512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56FBAD73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466AE11D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18E2FC51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56F6630D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 Ensure proper workspace design, organization, and availability of medication preparation space.</w:t>
            </w:r>
          </w:p>
        </w:tc>
        <w:tc>
          <w:tcPr>
            <w:tcW w:w="906" w:type="dxa"/>
            <w:noWrap/>
            <w:vAlign w:val="center"/>
            <w:hideMark/>
          </w:tcPr>
          <w:p w14:paraId="4542C95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2E329307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653F4284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46E7AD07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10.5</w:t>
            </w:r>
          </w:p>
        </w:tc>
        <w:tc>
          <w:tcPr>
            <w:tcW w:w="1208" w:type="dxa"/>
            <w:noWrap/>
            <w:vAlign w:val="center"/>
            <w:hideMark/>
          </w:tcPr>
          <w:p w14:paraId="40E5AEAC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2030B962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0D4AED34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0E7AAB4D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6. Maintain comfortable temperature and adequate ventilation in medication preparation and clinical areas to support staff performance.</w:t>
            </w:r>
          </w:p>
        </w:tc>
        <w:tc>
          <w:tcPr>
            <w:tcW w:w="906" w:type="dxa"/>
            <w:noWrap/>
            <w:vAlign w:val="center"/>
            <w:hideMark/>
          </w:tcPr>
          <w:p w14:paraId="130A606C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1021D299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7C98F65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84.2</w:t>
            </w:r>
          </w:p>
        </w:tc>
        <w:tc>
          <w:tcPr>
            <w:tcW w:w="1560" w:type="dxa"/>
            <w:noWrap/>
            <w:vAlign w:val="center"/>
            <w:hideMark/>
          </w:tcPr>
          <w:p w14:paraId="13307C99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4628A437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21507CFB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0844B18F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4E5C5CF7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7. Reduce alarm fatigue from monitors, infusion pumps, and communication devices through appropriate alarm management strategies.</w:t>
            </w:r>
          </w:p>
        </w:tc>
        <w:tc>
          <w:tcPr>
            <w:tcW w:w="906" w:type="dxa"/>
            <w:noWrap/>
            <w:vAlign w:val="center"/>
            <w:hideMark/>
          </w:tcPr>
          <w:p w14:paraId="48675B67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4</w:t>
            </w:r>
          </w:p>
        </w:tc>
        <w:tc>
          <w:tcPr>
            <w:tcW w:w="790" w:type="dxa"/>
            <w:noWrap/>
            <w:vAlign w:val="center"/>
            <w:hideMark/>
          </w:tcPr>
          <w:p w14:paraId="402A58E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33A28C7C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78.9</w:t>
            </w:r>
          </w:p>
        </w:tc>
        <w:tc>
          <w:tcPr>
            <w:tcW w:w="1560" w:type="dxa"/>
            <w:noWrap/>
            <w:vAlign w:val="center"/>
            <w:hideMark/>
          </w:tcPr>
          <w:p w14:paraId="7DF44BB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10.5</w:t>
            </w:r>
          </w:p>
        </w:tc>
        <w:tc>
          <w:tcPr>
            <w:tcW w:w="1208" w:type="dxa"/>
            <w:noWrap/>
            <w:vAlign w:val="center"/>
            <w:hideMark/>
          </w:tcPr>
          <w:p w14:paraId="200956B7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No</w:t>
            </w:r>
          </w:p>
        </w:tc>
      </w:tr>
      <w:tr w:rsidR="006D28D5" w:rsidRPr="008712B4" w14:paraId="6C4533CE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27D75C23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0BF671FA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8. Restrict unnecessary access to medication rooms to prevent crowding and interruptions.</w:t>
            </w:r>
          </w:p>
        </w:tc>
        <w:tc>
          <w:tcPr>
            <w:tcW w:w="906" w:type="dxa"/>
            <w:noWrap/>
            <w:vAlign w:val="center"/>
            <w:hideMark/>
          </w:tcPr>
          <w:p w14:paraId="087F2D56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11FAE17C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60A91016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50DB051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7D6023AA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76E25C2E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35E15A33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214E33D1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9. Keep medication preparation areas tidy and free from unrelated activities to support focused and safe medication handling.</w:t>
            </w:r>
          </w:p>
        </w:tc>
        <w:tc>
          <w:tcPr>
            <w:tcW w:w="906" w:type="dxa"/>
            <w:noWrap/>
            <w:vAlign w:val="center"/>
            <w:hideMark/>
          </w:tcPr>
          <w:p w14:paraId="502691D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72B6F3A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6FAE06C3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02465091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5E8D898A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5EDF5495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64F75AE0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0066417C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10. Implement standardized interruption-recovery processes, such as visual cues, checklists, or system prompts, to support safe task resumption following interruptions.</w:t>
            </w:r>
          </w:p>
        </w:tc>
        <w:tc>
          <w:tcPr>
            <w:tcW w:w="906" w:type="dxa"/>
            <w:noWrap/>
            <w:vAlign w:val="center"/>
            <w:hideMark/>
          </w:tcPr>
          <w:p w14:paraId="6DEADA0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4</w:t>
            </w:r>
          </w:p>
        </w:tc>
        <w:tc>
          <w:tcPr>
            <w:tcW w:w="790" w:type="dxa"/>
            <w:noWrap/>
            <w:vAlign w:val="center"/>
            <w:hideMark/>
          </w:tcPr>
          <w:p w14:paraId="65BC4B23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1.5</w:t>
            </w:r>
          </w:p>
        </w:tc>
        <w:tc>
          <w:tcPr>
            <w:tcW w:w="1280" w:type="dxa"/>
            <w:noWrap/>
            <w:vAlign w:val="center"/>
            <w:hideMark/>
          </w:tcPr>
          <w:p w14:paraId="039B7647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68.4</w:t>
            </w:r>
          </w:p>
        </w:tc>
        <w:tc>
          <w:tcPr>
            <w:tcW w:w="1560" w:type="dxa"/>
            <w:noWrap/>
            <w:vAlign w:val="center"/>
            <w:hideMark/>
          </w:tcPr>
          <w:p w14:paraId="7E153F3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1027B88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No</w:t>
            </w:r>
          </w:p>
        </w:tc>
      </w:tr>
      <w:tr w:rsidR="006D28D5" w:rsidRPr="008712B4" w14:paraId="1EE8C6C1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38BCB8CA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3B09DCFF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11. Limit multitasking during medication administration, especially for IV and weight-based doses.</w:t>
            </w:r>
          </w:p>
        </w:tc>
        <w:tc>
          <w:tcPr>
            <w:tcW w:w="906" w:type="dxa"/>
            <w:noWrap/>
            <w:vAlign w:val="center"/>
            <w:hideMark/>
          </w:tcPr>
          <w:p w14:paraId="047004A6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586EF7E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3428F0B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21A8A016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5D12378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6834EF04" w14:textId="77777777" w:rsidTr="006D28D5">
        <w:trPr>
          <w:trHeight w:val="283"/>
        </w:trPr>
        <w:tc>
          <w:tcPr>
            <w:tcW w:w="1696" w:type="dxa"/>
            <w:vMerge w:val="restart"/>
            <w:noWrap/>
            <w:vAlign w:val="center"/>
            <w:hideMark/>
          </w:tcPr>
          <w:p w14:paraId="631DA0F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Staff</w:t>
            </w:r>
          </w:p>
        </w:tc>
        <w:tc>
          <w:tcPr>
            <w:tcW w:w="7230" w:type="dxa"/>
            <w:noWrap/>
            <w:hideMark/>
          </w:tcPr>
          <w:p w14:paraId="02B62A09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1. Provide structured and ongoing pediatric pharmacotherapy training and weight-based dosing principles for healthcare professionals.</w:t>
            </w:r>
          </w:p>
        </w:tc>
        <w:tc>
          <w:tcPr>
            <w:tcW w:w="906" w:type="dxa"/>
            <w:noWrap/>
            <w:vAlign w:val="center"/>
            <w:hideMark/>
          </w:tcPr>
          <w:p w14:paraId="2177551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7A091C11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</w:t>
            </w:r>
          </w:p>
        </w:tc>
        <w:tc>
          <w:tcPr>
            <w:tcW w:w="1280" w:type="dxa"/>
            <w:noWrap/>
            <w:vAlign w:val="center"/>
            <w:hideMark/>
          </w:tcPr>
          <w:p w14:paraId="4A86A38C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2A3D16F0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04A5D04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0126272E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51C24C83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25FE1230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2. Ensure that pediatric medication-related tasks are performed by staff with demonstrated competency.</w:t>
            </w:r>
          </w:p>
        </w:tc>
        <w:tc>
          <w:tcPr>
            <w:tcW w:w="906" w:type="dxa"/>
            <w:noWrap/>
            <w:vAlign w:val="center"/>
            <w:hideMark/>
          </w:tcPr>
          <w:p w14:paraId="1F0C71B0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3B7233E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273DB28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04F7CDA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319A2264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1311E5F9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2FB9C2D0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04737AC3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3. Establish pediatric pharmacy residency programs and other specialized pediatric medication safety training pathways.</w:t>
            </w:r>
          </w:p>
        </w:tc>
        <w:tc>
          <w:tcPr>
            <w:tcW w:w="906" w:type="dxa"/>
            <w:noWrap/>
            <w:vAlign w:val="center"/>
            <w:hideMark/>
          </w:tcPr>
          <w:p w14:paraId="5D39379C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771736A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5099424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84.2</w:t>
            </w:r>
          </w:p>
        </w:tc>
        <w:tc>
          <w:tcPr>
            <w:tcW w:w="1560" w:type="dxa"/>
            <w:noWrap/>
            <w:vAlign w:val="center"/>
            <w:hideMark/>
          </w:tcPr>
          <w:p w14:paraId="229120F9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0.0</w:t>
            </w:r>
          </w:p>
        </w:tc>
        <w:tc>
          <w:tcPr>
            <w:tcW w:w="1208" w:type="dxa"/>
            <w:noWrap/>
            <w:vAlign w:val="center"/>
            <w:hideMark/>
          </w:tcPr>
          <w:p w14:paraId="34AAAF3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203292E7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30B02C04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719575E2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4. Ensure the regular availability of pediatric and neonatal clinical pharmacists during clinical rounds and within patient care units.</w:t>
            </w:r>
          </w:p>
        </w:tc>
        <w:tc>
          <w:tcPr>
            <w:tcW w:w="906" w:type="dxa"/>
            <w:noWrap/>
            <w:vAlign w:val="center"/>
            <w:hideMark/>
          </w:tcPr>
          <w:p w14:paraId="0DD8568A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3F7CB44A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0.5</w:t>
            </w:r>
          </w:p>
        </w:tc>
        <w:tc>
          <w:tcPr>
            <w:tcW w:w="1280" w:type="dxa"/>
            <w:noWrap/>
            <w:vAlign w:val="center"/>
            <w:hideMark/>
          </w:tcPr>
          <w:p w14:paraId="2E1D51A7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35D2342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5C28B19C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40DBF715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4F3A6A9B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0F18891D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 Implement structured supervision and support systems for junior staff and trainees.</w:t>
            </w:r>
          </w:p>
        </w:tc>
        <w:tc>
          <w:tcPr>
            <w:tcW w:w="906" w:type="dxa"/>
            <w:noWrap/>
            <w:vAlign w:val="center"/>
            <w:hideMark/>
          </w:tcPr>
          <w:p w14:paraId="3B50D7F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277A85BC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22695710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3E3DCB84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0.0</w:t>
            </w:r>
          </w:p>
        </w:tc>
        <w:tc>
          <w:tcPr>
            <w:tcW w:w="1208" w:type="dxa"/>
            <w:noWrap/>
            <w:vAlign w:val="center"/>
            <w:hideMark/>
          </w:tcPr>
          <w:p w14:paraId="63B56476" w14:textId="2FA7B022" w:rsidR="00084DDB" w:rsidRPr="00D430D5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D430D5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  <w:r w:rsidR="00D430D5" w:rsidRPr="00D430D5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*</w:t>
            </w:r>
          </w:p>
        </w:tc>
      </w:tr>
      <w:tr w:rsidR="006D28D5" w:rsidRPr="008712B4" w14:paraId="60324317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51A2AFE7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69431180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6. Conduct competency validation and periodic re-assessment for handling high-risk pediatric medications.</w:t>
            </w:r>
          </w:p>
        </w:tc>
        <w:tc>
          <w:tcPr>
            <w:tcW w:w="906" w:type="dxa"/>
            <w:noWrap/>
            <w:vAlign w:val="center"/>
            <w:hideMark/>
          </w:tcPr>
          <w:p w14:paraId="4D033A82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4</w:t>
            </w:r>
          </w:p>
        </w:tc>
        <w:tc>
          <w:tcPr>
            <w:tcW w:w="790" w:type="dxa"/>
            <w:noWrap/>
            <w:vAlign w:val="center"/>
            <w:hideMark/>
          </w:tcPr>
          <w:p w14:paraId="0FE8735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639E33A3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472FDC4A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0.0</w:t>
            </w:r>
          </w:p>
        </w:tc>
        <w:tc>
          <w:tcPr>
            <w:tcW w:w="1208" w:type="dxa"/>
            <w:noWrap/>
            <w:vAlign w:val="center"/>
            <w:hideMark/>
          </w:tcPr>
          <w:p w14:paraId="1222E830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5BC82544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0344B867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7E63023C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7. Strengthen multidisciplinary teamwork and communication between physicians, pharmacists, and nurses involved in pediatric care.</w:t>
            </w:r>
          </w:p>
        </w:tc>
        <w:tc>
          <w:tcPr>
            <w:tcW w:w="906" w:type="dxa"/>
            <w:noWrap/>
            <w:vAlign w:val="center"/>
            <w:hideMark/>
          </w:tcPr>
          <w:p w14:paraId="3759A831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05963C0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0.5</w:t>
            </w:r>
          </w:p>
        </w:tc>
        <w:tc>
          <w:tcPr>
            <w:tcW w:w="1280" w:type="dxa"/>
            <w:noWrap/>
            <w:vAlign w:val="center"/>
            <w:hideMark/>
          </w:tcPr>
          <w:p w14:paraId="6F8A161C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1F7F1F2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0.0</w:t>
            </w:r>
          </w:p>
        </w:tc>
        <w:tc>
          <w:tcPr>
            <w:tcW w:w="1208" w:type="dxa"/>
            <w:noWrap/>
            <w:vAlign w:val="center"/>
            <w:hideMark/>
          </w:tcPr>
          <w:p w14:paraId="6ADA825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35B9812A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284A88BB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4E6C3E68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8. Provide simulation-based and hands-on training focused on pediatric medication calculations and infusion pump use.</w:t>
            </w:r>
          </w:p>
        </w:tc>
        <w:tc>
          <w:tcPr>
            <w:tcW w:w="906" w:type="dxa"/>
            <w:noWrap/>
            <w:vAlign w:val="center"/>
            <w:hideMark/>
          </w:tcPr>
          <w:p w14:paraId="29A2F8C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6C2E6100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4A4C291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66D2684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0.0</w:t>
            </w:r>
          </w:p>
        </w:tc>
        <w:tc>
          <w:tcPr>
            <w:tcW w:w="1208" w:type="dxa"/>
            <w:noWrap/>
            <w:vAlign w:val="center"/>
            <w:hideMark/>
          </w:tcPr>
          <w:p w14:paraId="30F803E0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569E7FD8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289D0B77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2BCD9A97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9. Keep healthcare staff regularly updated on new medications, clinical guidelines, and medication safety alerts.</w:t>
            </w:r>
          </w:p>
        </w:tc>
        <w:tc>
          <w:tcPr>
            <w:tcW w:w="906" w:type="dxa"/>
            <w:noWrap/>
            <w:vAlign w:val="center"/>
            <w:hideMark/>
          </w:tcPr>
          <w:p w14:paraId="09B05BD7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4DBFF76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0.5</w:t>
            </w:r>
          </w:p>
        </w:tc>
        <w:tc>
          <w:tcPr>
            <w:tcW w:w="1280" w:type="dxa"/>
            <w:noWrap/>
            <w:vAlign w:val="center"/>
            <w:hideMark/>
          </w:tcPr>
          <w:p w14:paraId="58843D3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642DED74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0.0</w:t>
            </w:r>
          </w:p>
        </w:tc>
        <w:tc>
          <w:tcPr>
            <w:tcW w:w="1208" w:type="dxa"/>
            <w:noWrap/>
            <w:vAlign w:val="center"/>
            <w:hideMark/>
          </w:tcPr>
          <w:p w14:paraId="50FB5FFE" w14:textId="4F1CD095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  <w:r w:rsidR="00D430D5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*</w:t>
            </w:r>
          </w:p>
        </w:tc>
      </w:tr>
      <w:tr w:rsidR="006D28D5" w:rsidRPr="008712B4" w14:paraId="3A59C7A4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199B62E1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792D0A4E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10. Address staff fatigue, stress, and burnout by optimizing shift schedules and workload distribution.</w:t>
            </w:r>
          </w:p>
        </w:tc>
        <w:tc>
          <w:tcPr>
            <w:tcW w:w="906" w:type="dxa"/>
            <w:noWrap/>
            <w:vAlign w:val="center"/>
            <w:hideMark/>
          </w:tcPr>
          <w:p w14:paraId="4FF157DC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4</w:t>
            </w:r>
          </w:p>
        </w:tc>
        <w:tc>
          <w:tcPr>
            <w:tcW w:w="790" w:type="dxa"/>
            <w:noWrap/>
            <w:vAlign w:val="center"/>
            <w:hideMark/>
          </w:tcPr>
          <w:p w14:paraId="78C460C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20C15B3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34D4BAA0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0.0</w:t>
            </w:r>
          </w:p>
        </w:tc>
        <w:tc>
          <w:tcPr>
            <w:tcW w:w="1208" w:type="dxa"/>
            <w:noWrap/>
            <w:vAlign w:val="center"/>
            <w:hideMark/>
          </w:tcPr>
          <w:p w14:paraId="600852B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68F7801A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214CA8E9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14F8AD51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11. Train new staff on pediatric-specific medication safety risks before independent practice.</w:t>
            </w:r>
          </w:p>
        </w:tc>
        <w:tc>
          <w:tcPr>
            <w:tcW w:w="906" w:type="dxa"/>
            <w:noWrap/>
            <w:vAlign w:val="center"/>
            <w:hideMark/>
          </w:tcPr>
          <w:p w14:paraId="231DB88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463C93B8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</w:t>
            </w:r>
          </w:p>
        </w:tc>
        <w:tc>
          <w:tcPr>
            <w:tcW w:w="1280" w:type="dxa"/>
            <w:noWrap/>
            <w:vAlign w:val="center"/>
            <w:hideMark/>
          </w:tcPr>
          <w:p w14:paraId="1CFBC5AC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01DB2A6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0.0</w:t>
            </w:r>
          </w:p>
        </w:tc>
        <w:tc>
          <w:tcPr>
            <w:tcW w:w="1208" w:type="dxa"/>
            <w:noWrap/>
            <w:vAlign w:val="center"/>
            <w:hideMark/>
          </w:tcPr>
          <w:p w14:paraId="4FF79AB9" w14:textId="7DC7A90C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  <w:r w:rsidR="00D648E7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*</w:t>
            </w:r>
          </w:p>
        </w:tc>
      </w:tr>
      <w:tr w:rsidR="006D28D5" w:rsidRPr="008712B4" w14:paraId="3A128148" w14:textId="77777777" w:rsidTr="006D28D5">
        <w:trPr>
          <w:trHeight w:val="283"/>
        </w:trPr>
        <w:tc>
          <w:tcPr>
            <w:tcW w:w="1696" w:type="dxa"/>
            <w:vMerge w:val="restart"/>
            <w:noWrap/>
            <w:vAlign w:val="center"/>
            <w:hideMark/>
          </w:tcPr>
          <w:p w14:paraId="79FA4E91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Protocol / guideline</w:t>
            </w:r>
          </w:p>
        </w:tc>
        <w:tc>
          <w:tcPr>
            <w:tcW w:w="7230" w:type="dxa"/>
            <w:noWrap/>
            <w:hideMark/>
          </w:tcPr>
          <w:p w14:paraId="12A50AD0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1. Develop and implement standardized protocols for dosing, monitoring, and adjustment of high-alert pediatric medications.</w:t>
            </w:r>
          </w:p>
        </w:tc>
        <w:tc>
          <w:tcPr>
            <w:tcW w:w="906" w:type="dxa"/>
            <w:noWrap/>
            <w:vAlign w:val="center"/>
            <w:hideMark/>
          </w:tcPr>
          <w:p w14:paraId="609C8409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6F822921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6F70CB59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84.2</w:t>
            </w:r>
          </w:p>
        </w:tc>
        <w:tc>
          <w:tcPr>
            <w:tcW w:w="1560" w:type="dxa"/>
            <w:noWrap/>
            <w:vAlign w:val="center"/>
            <w:hideMark/>
          </w:tcPr>
          <w:p w14:paraId="553618F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17693492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286AA32C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72F6827E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75F905B8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2. Standardize electrolyte replacement, sedation, withdrawal, and inotrope protocols.</w:t>
            </w:r>
          </w:p>
        </w:tc>
        <w:tc>
          <w:tcPr>
            <w:tcW w:w="906" w:type="dxa"/>
            <w:noWrap/>
            <w:vAlign w:val="center"/>
            <w:hideMark/>
          </w:tcPr>
          <w:p w14:paraId="6D5D5E0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31EDFC74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11FABEF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5B7DC960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03A33D13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0FBB8D8F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1E029B57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650E0F9A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3. Create evidence-based order sets for common critical pediatric conditions (e.g., sepsis, DKA, ECMO, renal and hepatic impairment).</w:t>
            </w:r>
          </w:p>
        </w:tc>
        <w:tc>
          <w:tcPr>
            <w:tcW w:w="906" w:type="dxa"/>
            <w:noWrap/>
            <w:vAlign w:val="center"/>
            <w:hideMark/>
          </w:tcPr>
          <w:p w14:paraId="67796D38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385FFB39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5535998A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04502930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1248D90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5589340A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29326584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0D6D4622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4. Ensure access to reliable pediatric drug references and digital resources.</w:t>
            </w:r>
          </w:p>
        </w:tc>
        <w:tc>
          <w:tcPr>
            <w:tcW w:w="906" w:type="dxa"/>
            <w:noWrap/>
            <w:vAlign w:val="center"/>
            <w:hideMark/>
          </w:tcPr>
          <w:p w14:paraId="34283D46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06C385B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</w:t>
            </w:r>
          </w:p>
        </w:tc>
        <w:tc>
          <w:tcPr>
            <w:tcW w:w="1280" w:type="dxa"/>
            <w:noWrap/>
            <w:vAlign w:val="center"/>
            <w:hideMark/>
          </w:tcPr>
          <w:p w14:paraId="15EE7F4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79966611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19D683C1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068DFC44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0B9E54EE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542CD426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 Standardize IV admixture, infusion concentrations, and compounding procedures.</w:t>
            </w:r>
          </w:p>
        </w:tc>
        <w:tc>
          <w:tcPr>
            <w:tcW w:w="906" w:type="dxa"/>
            <w:noWrap/>
            <w:vAlign w:val="center"/>
            <w:hideMark/>
          </w:tcPr>
          <w:p w14:paraId="56D39DA7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0F54066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0.5</w:t>
            </w:r>
          </w:p>
        </w:tc>
        <w:tc>
          <w:tcPr>
            <w:tcW w:w="1280" w:type="dxa"/>
            <w:noWrap/>
            <w:vAlign w:val="center"/>
            <w:hideMark/>
          </w:tcPr>
          <w:p w14:paraId="25877FF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5A4587B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38754968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550253F3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10137C3F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5692318F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6. Implement medication reconciliation at all transitions of care along with standardize structured handover protocols to ensure safe medication transitions of care.</w:t>
            </w:r>
          </w:p>
        </w:tc>
        <w:tc>
          <w:tcPr>
            <w:tcW w:w="906" w:type="dxa"/>
            <w:noWrap/>
            <w:vAlign w:val="center"/>
            <w:hideMark/>
          </w:tcPr>
          <w:p w14:paraId="41842F63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071ACD26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2A3CD8AA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84.2</w:t>
            </w:r>
          </w:p>
        </w:tc>
        <w:tc>
          <w:tcPr>
            <w:tcW w:w="1560" w:type="dxa"/>
            <w:noWrap/>
            <w:vAlign w:val="center"/>
            <w:hideMark/>
          </w:tcPr>
          <w:p w14:paraId="7B50AB86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60D1359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0AC20490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555B668B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2E79D776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7. Define processes for dose modification, omitted doses, and tapering.</w:t>
            </w:r>
          </w:p>
        </w:tc>
        <w:tc>
          <w:tcPr>
            <w:tcW w:w="906" w:type="dxa"/>
            <w:noWrap/>
            <w:vAlign w:val="center"/>
            <w:hideMark/>
          </w:tcPr>
          <w:p w14:paraId="134B921A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5530A6D1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467C82A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84.2</w:t>
            </w:r>
          </w:p>
        </w:tc>
        <w:tc>
          <w:tcPr>
            <w:tcW w:w="1560" w:type="dxa"/>
            <w:noWrap/>
            <w:vAlign w:val="center"/>
            <w:hideMark/>
          </w:tcPr>
          <w:p w14:paraId="31AE367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036D14C2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122C4570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5035B0A0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36C5B953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8. Establish antimicrobial stewardship principles in pediatric units.</w:t>
            </w:r>
          </w:p>
        </w:tc>
        <w:tc>
          <w:tcPr>
            <w:tcW w:w="906" w:type="dxa"/>
            <w:noWrap/>
            <w:vAlign w:val="center"/>
            <w:hideMark/>
          </w:tcPr>
          <w:p w14:paraId="5A637EC4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36030856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2D638AA2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5ECA35F4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0.0</w:t>
            </w:r>
          </w:p>
        </w:tc>
        <w:tc>
          <w:tcPr>
            <w:tcW w:w="1208" w:type="dxa"/>
            <w:noWrap/>
            <w:vAlign w:val="center"/>
            <w:hideMark/>
          </w:tcPr>
          <w:p w14:paraId="0E84A7F6" w14:textId="06AA5916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  <w:r w:rsidR="00D0245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*</w:t>
            </w:r>
          </w:p>
        </w:tc>
      </w:tr>
      <w:tr w:rsidR="006D28D5" w:rsidRPr="008712B4" w14:paraId="52E58D64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47708E96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441AF379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9. Regularly review medications to avoid unnecessary continuation or duplication.</w:t>
            </w:r>
          </w:p>
        </w:tc>
        <w:tc>
          <w:tcPr>
            <w:tcW w:w="906" w:type="dxa"/>
            <w:noWrap/>
            <w:vAlign w:val="center"/>
            <w:hideMark/>
          </w:tcPr>
          <w:p w14:paraId="58FB40C6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39F0C146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64336FF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245C741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09DF3449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1A78E906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4B6E09FF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57825F37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10. Update guidelines regularly to reflect current evidence.</w:t>
            </w:r>
          </w:p>
        </w:tc>
        <w:tc>
          <w:tcPr>
            <w:tcW w:w="906" w:type="dxa"/>
            <w:noWrap/>
            <w:vAlign w:val="center"/>
            <w:hideMark/>
          </w:tcPr>
          <w:p w14:paraId="3F8BAA2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6C0C8172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0.5</w:t>
            </w:r>
          </w:p>
        </w:tc>
        <w:tc>
          <w:tcPr>
            <w:tcW w:w="1280" w:type="dxa"/>
            <w:noWrap/>
            <w:vAlign w:val="center"/>
            <w:hideMark/>
          </w:tcPr>
          <w:p w14:paraId="36CEF158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3C0D8B6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6EAA6887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7375D6F3" w14:textId="77777777" w:rsidTr="006D28D5">
        <w:trPr>
          <w:trHeight w:val="283"/>
        </w:trPr>
        <w:tc>
          <w:tcPr>
            <w:tcW w:w="1696" w:type="dxa"/>
            <w:vMerge w:val="restart"/>
            <w:noWrap/>
            <w:vAlign w:val="center"/>
            <w:hideMark/>
          </w:tcPr>
          <w:p w14:paraId="2B9046E6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Communication</w:t>
            </w:r>
          </w:p>
        </w:tc>
        <w:tc>
          <w:tcPr>
            <w:tcW w:w="7230" w:type="dxa"/>
            <w:noWrap/>
            <w:hideMark/>
          </w:tcPr>
          <w:p w14:paraId="58FCB67A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1. Implement structured handover and communication tools (e.g., SBAR).</w:t>
            </w:r>
          </w:p>
        </w:tc>
        <w:tc>
          <w:tcPr>
            <w:tcW w:w="906" w:type="dxa"/>
            <w:noWrap/>
            <w:vAlign w:val="center"/>
            <w:hideMark/>
          </w:tcPr>
          <w:p w14:paraId="71F146C0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4</w:t>
            </w:r>
          </w:p>
        </w:tc>
        <w:tc>
          <w:tcPr>
            <w:tcW w:w="790" w:type="dxa"/>
            <w:noWrap/>
            <w:vAlign w:val="center"/>
            <w:hideMark/>
          </w:tcPr>
          <w:p w14:paraId="50342B2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1.5</w:t>
            </w:r>
          </w:p>
        </w:tc>
        <w:tc>
          <w:tcPr>
            <w:tcW w:w="1280" w:type="dxa"/>
            <w:noWrap/>
            <w:vAlign w:val="center"/>
            <w:hideMark/>
          </w:tcPr>
          <w:p w14:paraId="7C699897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73.7</w:t>
            </w:r>
          </w:p>
        </w:tc>
        <w:tc>
          <w:tcPr>
            <w:tcW w:w="1560" w:type="dxa"/>
            <w:noWrap/>
            <w:vAlign w:val="center"/>
            <w:hideMark/>
          </w:tcPr>
          <w:p w14:paraId="7A0FD5FC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4C910B93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No</w:t>
            </w:r>
          </w:p>
        </w:tc>
      </w:tr>
      <w:tr w:rsidR="006D28D5" w:rsidRPr="008712B4" w14:paraId="211C2CAB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0AC40C3C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1E161943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2. Use closed-loop communication for verbal and telephone medication orders.</w:t>
            </w:r>
          </w:p>
        </w:tc>
        <w:tc>
          <w:tcPr>
            <w:tcW w:w="906" w:type="dxa"/>
            <w:noWrap/>
            <w:vAlign w:val="center"/>
            <w:hideMark/>
          </w:tcPr>
          <w:p w14:paraId="50D3F369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4</w:t>
            </w:r>
          </w:p>
        </w:tc>
        <w:tc>
          <w:tcPr>
            <w:tcW w:w="790" w:type="dxa"/>
            <w:noWrap/>
            <w:vAlign w:val="center"/>
            <w:hideMark/>
          </w:tcPr>
          <w:p w14:paraId="6E2DD557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6F5E4E68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84.2</w:t>
            </w:r>
          </w:p>
        </w:tc>
        <w:tc>
          <w:tcPr>
            <w:tcW w:w="1560" w:type="dxa"/>
            <w:noWrap/>
            <w:vAlign w:val="center"/>
            <w:hideMark/>
          </w:tcPr>
          <w:p w14:paraId="0FF2E9E4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750377E9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2F43B359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50EA5BE2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49D3DD0B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3. Limit the use of verbal medication orders.</w:t>
            </w:r>
          </w:p>
        </w:tc>
        <w:tc>
          <w:tcPr>
            <w:tcW w:w="906" w:type="dxa"/>
            <w:noWrap/>
            <w:vAlign w:val="center"/>
            <w:hideMark/>
          </w:tcPr>
          <w:p w14:paraId="5FD3D712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5CEEB2D7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4C4FD21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2D3CDE4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0.0</w:t>
            </w:r>
          </w:p>
        </w:tc>
        <w:tc>
          <w:tcPr>
            <w:tcW w:w="1208" w:type="dxa"/>
            <w:noWrap/>
            <w:vAlign w:val="center"/>
            <w:hideMark/>
          </w:tcPr>
          <w:p w14:paraId="1329378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7749C79C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5344227D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77EC0859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4. Ensure pharmacist participation in clinical rounds for real-time medication review</w:t>
            </w:r>
          </w:p>
        </w:tc>
        <w:tc>
          <w:tcPr>
            <w:tcW w:w="906" w:type="dxa"/>
            <w:noWrap/>
            <w:vAlign w:val="center"/>
            <w:hideMark/>
          </w:tcPr>
          <w:p w14:paraId="35093099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3C9A3792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0352BBA7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78.9</w:t>
            </w:r>
          </w:p>
        </w:tc>
        <w:tc>
          <w:tcPr>
            <w:tcW w:w="1560" w:type="dxa"/>
            <w:noWrap/>
            <w:vAlign w:val="center"/>
            <w:hideMark/>
          </w:tcPr>
          <w:p w14:paraId="17F5A074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4519511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No</w:t>
            </w:r>
          </w:p>
        </w:tc>
      </w:tr>
      <w:tr w:rsidR="006D28D5" w:rsidRPr="008712B4" w14:paraId="40B78813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647B9219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73A0AE9B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 Provide constructive feedback on medication errors and near misses to staff.</w:t>
            </w:r>
          </w:p>
        </w:tc>
        <w:tc>
          <w:tcPr>
            <w:tcW w:w="906" w:type="dxa"/>
            <w:noWrap/>
            <w:vAlign w:val="center"/>
            <w:hideMark/>
          </w:tcPr>
          <w:p w14:paraId="7657753A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14393B44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72A369A8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02193697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1C4FE958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4781F6BA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5BEC06BC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08CB3F3B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6. Promote open communication within the team.</w:t>
            </w:r>
          </w:p>
        </w:tc>
        <w:tc>
          <w:tcPr>
            <w:tcW w:w="906" w:type="dxa"/>
            <w:noWrap/>
            <w:vAlign w:val="center"/>
            <w:hideMark/>
          </w:tcPr>
          <w:p w14:paraId="7845613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18B08B2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47D7F65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431356C1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57F40573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4CDDBCBB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5FE31143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251A336C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7. Ensure easy access to clinical pharmacist consultation.</w:t>
            </w:r>
          </w:p>
        </w:tc>
        <w:tc>
          <w:tcPr>
            <w:tcW w:w="906" w:type="dxa"/>
            <w:noWrap/>
            <w:vAlign w:val="center"/>
            <w:hideMark/>
          </w:tcPr>
          <w:p w14:paraId="79338847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49000806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</w:t>
            </w:r>
          </w:p>
        </w:tc>
        <w:tc>
          <w:tcPr>
            <w:tcW w:w="1280" w:type="dxa"/>
            <w:noWrap/>
            <w:vAlign w:val="center"/>
            <w:hideMark/>
          </w:tcPr>
          <w:p w14:paraId="2140AE51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496C0EA0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5179E89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590BC96D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719E28C6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5B8F21C6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8. Encourage double-checking and teamwork during high-risk medication tasks.</w:t>
            </w:r>
          </w:p>
        </w:tc>
        <w:tc>
          <w:tcPr>
            <w:tcW w:w="906" w:type="dxa"/>
            <w:noWrap/>
            <w:vAlign w:val="center"/>
            <w:hideMark/>
          </w:tcPr>
          <w:p w14:paraId="1D0F8DDC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78C1FE18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453DE25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72220F88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1FBAB704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1D765502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343B448C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60C1828D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9. Engage families using teach-back methods and clear instructions.</w:t>
            </w:r>
          </w:p>
        </w:tc>
        <w:tc>
          <w:tcPr>
            <w:tcW w:w="906" w:type="dxa"/>
            <w:noWrap/>
            <w:vAlign w:val="center"/>
            <w:hideMark/>
          </w:tcPr>
          <w:p w14:paraId="7ABA574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4</w:t>
            </w:r>
          </w:p>
        </w:tc>
        <w:tc>
          <w:tcPr>
            <w:tcW w:w="790" w:type="dxa"/>
            <w:noWrap/>
            <w:vAlign w:val="center"/>
            <w:hideMark/>
          </w:tcPr>
          <w:p w14:paraId="59B41D62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6DD80E8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14B2D173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0.0</w:t>
            </w:r>
          </w:p>
        </w:tc>
        <w:tc>
          <w:tcPr>
            <w:tcW w:w="1208" w:type="dxa"/>
            <w:noWrap/>
            <w:vAlign w:val="center"/>
            <w:hideMark/>
          </w:tcPr>
          <w:p w14:paraId="2B19F26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2B34E523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5FA7E88B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47910CE3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10. Strengthen communication during inter-unit or inter-hospital transfers.</w:t>
            </w:r>
          </w:p>
        </w:tc>
        <w:tc>
          <w:tcPr>
            <w:tcW w:w="906" w:type="dxa"/>
            <w:noWrap/>
            <w:vAlign w:val="center"/>
            <w:hideMark/>
          </w:tcPr>
          <w:p w14:paraId="22A84BF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2D77F57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6E11884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31A73EFA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0.0</w:t>
            </w:r>
          </w:p>
        </w:tc>
        <w:tc>
          <w:tcPr>
            <w:tcW w:w="1208" w:type="dxa"/>
            <w:noWrap/>
            <w:vAlign w:val="center"/>
            <w:hideMark/>
          </w:tcPr>
          <w:p w14:paraId="7827D575" w14:textId="286BEBE8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  <w:r w:rsidR="00C94E8B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*</w:t>
            </w:r>
          </w:p>
        </w:tc>
      </w:tr>
      <w:tr w:rsidR="006D28D5" w:rsidRPr="008712B4" w14:paraId="390CE6CE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27473E77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73343165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11. Standardize documentation of medication changes and rationale in the medical record.</w:t>
            </w:r>
          </w:p>
        </w:tc>
        <w:tc>
          <w:tcPr>
            <w:tcW w:w="906" w:type="dxa"/>
            <w:noWrap/>
            <w:vAlign w:val="center"/>
            <w:hideMark/>
          </w:tcPr>
          <w:p w14:paraId="3457EB8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2BF43D71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53E5DAE3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340B1134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279FD07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7FAB811A" w14:textId="77777777" w:rsidTr="006D28D5">
        <w:trPr>
          <w:trHeight w:val="283"/>
        </w:trPr>
        <w:tc>
          <w:tcPr>
            <w:tcW w:w="1696" w:type="dxa"/>
            <w:vMerge w:val="restart"/>
            <w:noWrap/>
            <w:vAlign w:val="center"/>
            <w:hideMark/>
          </w:tcPr>
          <w:p w14:paraId="3EFF3F8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lastRenderedPageBreak/>
              <w:t>Medication</w:t>
            </w:r>
          </w:p>
        </w:tc>
        <w:tc>
          <w:tcPr>
            <w:tcW w:w="7230" w:type="dxa"/>
            <w:noWrap/>
            <w:hideMark/>
          </w:tcPr>
          <w:p w14:paraId="613618CE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1. Standardize medication concentrations, especially for high-risk pediatric drugs to reduce calculation errors.</w:t>
            </w:r>
          </w:p>
        </w:tc>
        <w:tc>
          <w:tcPr>
            <w:tcW w:w="906" w:type="dxa"/>
            <w:noWrap/>
            <w:vAlign w:val="center"/>
            <w:hideMark/>
          </w:tcPr>
          <w:p w14:paraId="73627817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23A601B8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329CB0F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403D7AE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0.0</w:t>
            </w:r>
          </w:p>
        </w:tc>
        <w:tc>
          <w:tcPr>
            <w:tcW w:w="1208" w:type="dxa"/>
            <w:noWrap/>
            <w:vAlign w:val="center"/>
            <w:hideMark/>
          </w:tcPr>
          <w:p w14:paraId="11A19A5C" w14:textId="090093F6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  <w:r w:rsidR="00CD004C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*</w:t>
            </w:r>
          </w:p>
        </w:tc>
      </w:tr>
      <w:tr w:rsidR="006D28D5" w:rsidRPr="008712B4" w14:paraId="185320E6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7184BFCC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0CBEF0F8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2. Use tall-man lettering and separate storage for look-alike/sound-alike (LASA) medications.</w:t>
            </w:r>
          </w:p>
        </w:tc>
        <w:tc>
          <w:tcPr>
            <w:tcW w:w="906" w:type="dxa"/>
            <w:noWrap/>
            <w:vAlign w:val="center"/>
            <w:hideMark/>
          </w:tcPr>
          <w:p w14:paraId="142F1750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6D9E1AE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0.5</w:t>
            </w:r>
          </w:p>
        </w:tc>
        <w:tc>
          <w:tcPr>
            <w:tcW w:w="1280" w:type="dxa"/>
            <w:noWrap/>
            <w:vAlign w:val="center"/>
            <w:hideMark/>
          </w:tcPr>
          <w:p w14:paraId="657AC44A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31C949E3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0.0</w:t>
            </w:r>
          </w:p>
        </w:tc>
        <w:tc>
          <w:tcPr>
            <w:tcW w:w="1208" w:type="dxa"/>
            <w:noWrap/>
            <w:vAlign w:val="center"/>
            <w:hideMark/>
          </w:tcPr>
          <w:p w14:paraId="12245EBD" w14:textId="76390900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  <w:r w:rsidR="00CD004C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*</w:t>
            </w:r>
          </w:p>
        </w:tc>
      </w:tr>
      <w:tr w:rsidR="006D28D5" w:rsidRPr="008712B4" w14:paraId="365648A2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4821DFC9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5692FFC1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3. Establish monitoring requirements for narrow therapeutic index medications.</w:t>
            </w:r>
          </w:p>
        </w:tc>
        <w:tc>
          <w:tcPr>
            <w:tcW w:w="906" w:type="dxa"/>
            <w:noWrap/>
            <w:vAlign w:val="center"/>
            <w:hideMark/>
          </w:tcPr>
          <w:p w14:paraId="606A71D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6E9F3AEC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0.5</w:t>
            </w:r>
          </w:p>
        </w:tc>
        <w:tc>
          <w:tcPr>
            <w:tcW w:w="1280" w:type="dxa"/>
            <w:noWrap/>
            <w:vAlign w:val="center"/>
            <w:hideMark/>
          </w:tcPr>
          <w:p w14:paraId="6DA45170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53D5307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0.0</w:t>
            </w:r>
          </w:p>
        </w:tc>
        <w:tc>
          <w:tcPr>
            <w:tcW w:w="1208" w:type="dxa"/>
            <w:noWrap/>
            <w:vAlign w:val="center"/>
            <w:hideMark/>
          </w:tcPr>
          <w:p w14:paraId="34B246E3" w14:textId="051B2D8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  <w:r w:rsidR="00CD004C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*</w:t>
            </w:r>
          </w:p>
        </w:tc>
      </w:tr>
      <w:tr w:rsidR="006D28D5" w:rsidRPr="008712B4" w14:paraId="284EFF47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272D4459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0EA3C77A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4. Ensure availability of pediatric-appropriate formulations.</w:t>
            </w:r>
          </w:p>
        </w:tc>
        <w:tc>
          <w:tcPr>
            <w:tcW w:w="906" w:type="dxa"/>
            <w:noWrap/>
            <w:vAlign w:val="center"/>
            <w:hideMark/>
          </w:tcPr>
          <w:p w14:paraId="3C284F30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7172C34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</w:t>
            </w:r>
          </w:p>
        </w:tc>
        <w:tc>
          <w:tcPr>
            <w:tcW w:w="1280" w:type="dxa"/>
            <w:noWrap/>
            <w:vAlign w:val="center"/>
            <w:hideMark/>
          </w:tcPr>
          <w:p w14:paraId="5ABB12CC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55CD145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0.0</w:t>
            </w:r>
          </w:p>
        </w:tc>
        <w:tc>
          <w:tcPr>
            <w:tcW w:w="1208" w:type="dxa"/>
            <w:noWrap/>
            <w:vAlign w:val="center"/>
            <w:hideMark/>
          </w:tcPr>
          <w:p w14:paraId="37934872" w14:textId="7EAE5680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  <w:r w:rsidR="00CD004C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*</w:t>
            </w:r>
          </w:p>
        </w:tc>
      </w:tr>
      <w:tr w:rsidR="006D28D5" w:rsidRPr="008712B4" w14:paraId="6B7FC99F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79A413AB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26936EE6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 Conduct regular medication reviews to reduce polypharmacy and inappropriate continuation of therapy.</w:t>
            </w:r>
          </w:p>
        </w:tc>
        <w:tc>
          <w:tcPr>
            <w:tcW w:w="906" w:type="dxa"/>
            <w:noWrap/>
            <w:vAlign w:val="center"/>
            <w:hideMark/>
          </w:tcPr>
          <w:p w14:paraId="01123710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32D71B8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0.5</w:t>
            </w:r>
          </w:p>
        </w:tc>
        <w:tc>
          <w:tcPr>
            <w:tcW w:w="1280" w:type="dxa"/>
            <w:noWrap/>
            <w:vAlign w:val="center"/>
            <w:hideMark/>
          </w:tcPr>
          <w:p w14:paraId="01490004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689247D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0.0</w:t>
            </w:r>
          </w:p>
        </w:tc>
        <w:tc>
          <w:tcPr>
            <w:tcW w:w="1208" w:type="dxa"/>
            <w:noWrap/>
            <w:vAlign w:val="center"/>
            <w:hideMark/>
          </w:tcPr>
          <w:p w14:paraId="4EDC10DD" w14:textId="39B7F17F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  <w:r w:rsidR="00CD004C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*</w:t>
            </w:r>
          </w:p>
        </w:tc>
      </w:tr>
      <w:tr w:rsidR="006D28D5" w:rsidRPr="008712B4" w14:paraId="2E1A6505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2066C2B6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214893F7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6. Implement double-check systems for high-alert and IV medications.</w:t>
            </w:r>
          </w:p>
        </w:tc>
        <w:tc>
          <w:tcPr>
            <w:tcW w:w="906" w:type="dxa"/>
            <w:noWrap/>
            <w:vAlign w:val="center"/>
            <w:hideMark/>
          </w:tcPr>
          <w:p w14:paraId="7861280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424937FC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</w:t>
            </w:r>
          </w:p>
        </w:tc>
        <w:tc>
          <w:tcPr>
            <w:tcW w:w="1280" w:type="dxa"/>
            <w:noWrap/>
            <w:vAlign w:val="center"/>
            <w:hideMark/>
          </w:tcPr>
          <w:p w14:paraId="0DF5953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216B2512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0.0</w:t>
            </w:r>
          </w:p>
        </w:tc>
        <w:tc>
          <w:tcPr>
            <w:tcW w:w="1208" w:type="dxa"/>
            <w:noWrap/>
            <w:vAlign w:val="center"/>
            <w:hideMark/>
          </w:tcPr>
          <w:p w14:paraId="2679EA33" w14:textId="60B8565C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  <w:r w:rsidR="00CD004C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*</w:t>
            </w:r>
          </w:p>
        </w:tc>
      </w:tr>
      <w:tr w:rsidR="006D28D5" w:rsidRPr="008712B4" w14:paraId="192C52E9" w14:textId="77777777" w:rsidTr="006D28D5">
        <w:trPr>
          <w:trHeight w:val="283"/>
        </w:trPr>
        <w:tc>
          <w:tcPr>
            <w:tcW w:w="1696" w:type="dxa"/>
            <w:vMerge w:val="restart"/>
            <w:noWrap/>
            <w:vAlign w:val="center"/>
            <w:hideMark/>
          </w:tcPr>
          <w:p w14:paraId="45A23706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Technology</w:t>
            </w:r>
          </w:p>
        </w:tc>
        <w:tc>
          <w:tcPr>
            <w:tcW w:w="7230" w:type="dxa"/>
            <w:noWrap/>
            <w:hideMark/>
          </w:tcPr>
          <w:p w14:paraId="7B25C295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1. Implement electronic prescribing systems with clinical decision support and dose alerts.</w:t>
            </w:r>
          </w:p>
        </w:tc>
        <w:tc>
          <w:tcPr>
            <w:tcW w:w="906" w:type="dxa"/>
            <w:noWrap/>
            <w:vAlign w:val="center"/>
            <w:hideMark/>
          </w:tcPr>
          <w:p w14:paraId="72A6D36C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0509DBD6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66434F1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3F3F42C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0.0</w:t>
            </w:r>
          </w:p>
        </w:tc>
        <w:tc>
          <w:tcPr>
            <w:tcW w:w="1208" w:type="dxa"/>
            <w:noWrap/>
            <w:vAlign w:val="center"/>
            <w:hideMark/>
          </w:tcPr>
          <w:p w14:paraId="78F2E446" w14:textId="7972F9ED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  <w:r w:rsidR="003F152C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*</w:t>
            </w:r>
          </w:p>
        </w:tc>
      </w:tr>
      <w:tr w:rsidR="006D28D5" w:rsidRPr="008712B4" w14:paraId="45480DDF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54756353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36704736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2. Use smart infusion pumps with regularly updated drug libraries.</w:t>
            </w:r>
          </w:p>
        </w:tc>
        <w:tc>
          <w:tcPr>
            <w:tcW w:w="906" w:type="dxa"/>
            <w:noWrap/>
            <w:vAlign w:val="center"/>
            <w:hideMark/>
          </w:tcPr>
          <w:p w14:paraId="0C68B737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28496F3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</w:t>
            </w:r>
          </w:p>
        </w:tc>
        <w:tc>
          <w:tcPr>
            <w:tcW w:w="1280" w:type="dxa"/>
            <w:noWrap/>
            <w:vAlign w:val="center"/>
            <w:hideMark/>
          </w:tcPr>
          <w:p w14:paraId="243CF16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510563B1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0.0</w:t>
            </w:r>
          </w:p>
        </w:tc>
        <w:tc>
          <w:tcPr>
            <w:tcW w:w="1208" w:type="dxa"/>
            <w:noWrap/>
            <w:vAlign w:val="center"/>
            <w:hideMark/>
          </w:tcPr>
          <w:p w14:paraId="56CE5963" w14:textId="3CB214E6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  <w:r w:rsidR="00542461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*</w:t>
            </w:r>
          </w:p>
        </w:tc>
      </w:tr>
      <w:tr w:rsidR="006D28D5" w:rsidRPr="008712B4" w14:paraId="76B6BD53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7848F4DB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21E67563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3. Implement barcode medication dispensing and administration systems.</w:t>
            </w:r>
          </w:p>
        </w:tc>
        <w:tc>
          <w:tcPr>
            <w:tcW w:w="906" w:type="dxa"/>
            <w:noWrap/>
            <w:vAlign w:val="center"/>
            <w:hideMark/>
          </w:tcPr>
          <w:p w14:paraId="21322C4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1CDAA84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0B76232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4E30537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0.0</w:t>
            </w:r>
          </w:p>
        </w:tc>
        <w:tc>
          <w:tcPr>
            <w:tcW w:w="1208" w:type="dxa"/>
            <w:noWrap/>
            <w:vAlign w:val="center"/>
            <w:hideMark/>
          </w:tcPr>
          <w:p w14:paraId="2EFE8EBD" w14:textId="7C57BAC6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  <w:r w:rsidR="003F152C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*</w:t>
            </w:r>
          </w:p>
        </w:tc>
      </w:tr>
      <w:tr w:rsidR="006D28D5" w:rsidRPr="008712B4" w14:paraId="53A1E707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5B8A2318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5D7138FE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4. Adopt therapeutic drug monitoring (TDM) systems and tools integrated with clinical workflows.</w:t>
            </w:r>
          </w:p>
        </w:tc>
        <w:tc>
          <w:tcPr>
            <w:tcW w:w="906" w:type="dxa"/>
            <w:noWrap/>
            <w:vAlign w:val="center"/>
            <w:hideMark/>
          </w:tcPr>
          <w:p w14:paraId="5BA449F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48B6F6A1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</w:t>
            </w:r>
          </w:p>
        </w:tc>
        <w:tc>
          <w:tcPr>
            <w:tcW w:w="1280" w:type="dxa"/>
            <w:noWrap/>
            <w:vAlign w:val="center"/>
            <w:hideMark/>
          </w:tcPr>
          <w:p w14:paraId="2E204D2A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283D137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0.0</w:t>
            </w:r>
          </w:p>
        </w:tc>
        <w:tc>
          <w:tcPr>
            <w:tcW w:w="1208" w:type="dxa"/>
            <w:noWrap/>
            <w:vAlign w:val="center"/>
            <w:hideMark/>
          </w:tcPr>
          <w:p w14:paraId="4A20491E" w14:textId="4C30847E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  <w:r w:rsidR="003F152C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*</w:t>
            </w:r>
          </w:p>
        </w:tc>
      </w:tr>
      <w:tr w:rsidR="006D28D5" w:rsidRPr="008712B4" w14:paraId="60A5DF16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0528DD4D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0BBE79B7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 Implement technology-supported weight-based dose calculation tools to reduce dosing errors.</w:t>
            </w:r>
          </w:p>
        </w:tc>
        <w:tc>
          <w:tcPr>
            <w:tcW w:w="906" w:type="dxa"/>
            <w:noWrap/>
            <w:vAlign w:val="center"/>
            <w:hideMark/>
          </w:tcPr>
          <w:p w14:paraId="25501170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0BB9B2C2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6E0B7160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480952D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0.0</w:t>
            </w:r>
          </w:p>
        </w:tc>
        <w:tc>
          <w:tcPr>
            <w:tcW w:w="1208" w:type="dxa"/>
            <w:noWrap/>
            <w:vAlign w:val="center"/>
            <w:hideMark/>
          </w:tcPr>
          <w:p w14:paraId="28BC7374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2167731F" w14:textId="77777777" w:rsidTr="006D28D5">
        <w:trPr>
          <w:trHeight w:val="283"/>
        </w:trPr>
        <w:tc>
          <w:tcPr>
            <w:tcW w:w="1696" w:type="dxa"/>
            <w:vMerge w:val="restart"/>
            <w:noWrap/>
            <w:vAlign w:val="center"/>
            <w:hideMark/>
          </w:tcPr>
          <w:p w14:paraId="566C46C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Patient</w:t>
            </w:r>
          </w:p>
        </w:tc>
        <w:tc>
          <w:tcPr>
            <w:tcW w:w="7230" w:type="dxa"/>
            <w:noWrap/>
            <w:hideMark/>
          </w:tcPr>
          <w:p w14:paraId="12E51153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1. Ensure accurate and up-to-date patient weight for all weight-based dosing decisions.</w:t>
            </w:r>
          </w:p>
        </w:tc>
        <w:tc>
          <w:tcPr>
            <w:tcW w:w="906" w:type="dxa"/>
            <w:noWrap/>
            <w:vAlign w:val="center"/>
            <w:hideMark/>
          </w:tcPr>
          <w:p w14:paraId="78D65160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50FCC0D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0B7FDB32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4308B8C6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40A552D4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3A074FD4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18B83984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6E833AD7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2. Adjust dosing based on organ function and the presence of comorbidities.</w:t>
            </w:r>
          </w:p>
        </w:tc>
        <w:tc>
          <w:tcPr>
            <w:tcW w:w="906" w:type="dxa"/>
            <w:noWrap/>
            <w:vAlign w:val="center"/>
            <w:hideMark/>
          </w:tcPr>
          <w:p w14:paraId="3B754BA8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1DE4481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59AF89C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3E4674A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2FF7370A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244CD794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458E3FA6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7D2C8FA7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3. Provide additional safeguards for critically ill children and neonates.</w:t>
            </w:r>
          </w:p>
        </w:tc>
        <w:tc>
          <w:tcPr>
            <w:tcW w:w="906" w:type="dxa"/>
            <w:noWrap/>
            <w:vAlign w:val="center"/>
            <w:hideMark/>
          </w:tcPr>
          <w:p w14:paraId="318FFD6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7BF8CBC0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12AD9092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278FE26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55EDF13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6D5394F4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32F70C80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4AA76C22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4. Apply extra precautions for immunocompromised pediatric patients.</w:t>
            </w:r>
          </w:p>
        </w:tc>
        <w:tc>
          <w:tcPr>
            <w:tcW w:w="906" w:type="dxa"/>
            <w:noWrap/>
            <w:vAlign w:val="center"/>
            <w:hideMark/>
          </w:tcPr>
          <w:p w14:paraId="13EC21D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64DA94C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308BBE63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7C13B919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1BB0EBD2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0E54DE74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3A86414A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4B83760B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 Conduct regular therapeutic reviews for prolonged hospital stays and clinical status changes.</w:t>
            </w:r>
          </w:p>
        </w:tc>
        <w:tc>
          <w:tcPr>
            <w:tcW w:w="906" w:type="dxa"/>
            <w:noWrap/>
            <w:vAlign w:val="center"/>
            <w:hideMark/>
          </w:tcPr>
          <w:p w14:paraId="0D546CC0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4</w:t>
            </w:r>
          </w:p>
        </w:tc>
        <w:tc>
          <w:tcPr>
            <w:tcW w:w="790" w:type="dxa"/>
            <w:noWrap/>
            <w:vAlign w:val="center"/>
            <w:hideMark/>
          </w:tcPr>
          <w:p w14:paraId="7ADCB2AD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7FBF8823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89.5</w:t>
            </w:r>
          </w:p>
        </w:tc>
        <w:tc>
          <w:tcPr>
            <w:tcW w:w="1560" w:type="dxa"/>
            <w:noWrap/>
            <w:vAlign w:val="center"/>
            <w:hideMark/>
          </w:tcPr>
          <w:p w14:paraId="71D69921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50BD6EEA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269EA69D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68E6BAA4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76930FC0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6. Monitor patients receiving extracorporeal therapies closely.</w:t>
            </w:r>
          </w:p>
        </w:tc>
        <w:tc>
          <w:tcPr>
            <w:tcW w:w="906" w:type="dxa"/>
            <w:noWrap/>
            <w:vAlign w:val="center"/>
            <w:hideMark/>
          </w:tcPr>
          <w:p w14:paraId="02D0215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059C430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56C51CE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62F25F7C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074614F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2AB70702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2F6AA3F0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291FEBEE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7. Recognize the impact of developmental pharmacokinetics on drug response.</w:t>
            </w:r>
          </w:p>
        </w:tc>
        <w:tc>
          <w:tcPr>
            <w:tcW w:w="906" w:type="dxa"/>
            <w:noWrap/>
            <w:vAlign w:val="center"/>
            <w:hideMark/>
          </w:tcPr>
          <w:p w14:paraId="48AAD6B6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5CFBE85F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470E5FB3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0D7A320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23DE8592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5C1825F5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4A94B0D1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45501AA4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8. Address risks related to off-label and unlicensed medication use.</w:t>
            </w:r>
          </w:p>
        </w:tc>
        <w:tc>
          <w:tcPr>
            <w:tcW w:w="906" w:type="dxa"/>
            <w:noWrap/>
            <w:vAlign w:val="center"/>
            <w:hideMark/>
          </w:tcPr>
          <w:p w14:paraId="2D1AE1D1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7B55D967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27823363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48FA3741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42268DB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0819B592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25751ED8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192CFB18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9. Engage families and address health literacy and language barriers.</w:t>
            </w:r>
          </w:p>
        </w:tc>
        <w:tc>
          <w:tcPr>
            <w:tcW w:w="906" w:type="dxa"/>
            <w:noWrap/>
            <w:vAlign w:val="center"/>
            <w:hideMark/>
          </w:tcPr>
          <w:p w14:paraId="6DA98B27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1C4C434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34BE4BE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78.9</w:t>
            </w:r>
          </w:p>
        </w:tc>
        <w:tc>
          <w:tcPr>
            <w:tcW w:w="1560" w:type="dxa"/>
            <w:noWrap/>
            <w:vAlign w:val="center"/>
            <w:hideMark/>
          </w:tcPr>
          <w:p w14:paraId="03734EA4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799C9C00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</w:rPr>
              <w:t>No</w:t>
            </w:r>
          </w:p>
        </w:tc>
      </w:tr>
      <w:tr w:rsidR="006D28D5" w:rsidRPr="008712B4" w14:paraId="458CFD3A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5D576865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7D4CDA08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10. Monitor for cumulative adverse effects during long PICU/NICU stays.</w:t>
            </w:r>
          </w:p>
        </w:tc>
        <w:tc>
          <w:tcPr>
            <w:tcW w:w="906" w:type="dxa"/>
            <w:noWrap/>
            <w:vAlign w:val="center"/>
            <w:hideMark/>
          </w:tcPr>
          <w:p w14:paraId="085561F7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4E9BFA5A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50E01C52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40AB5686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08231944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  <w:tr w:rsidR="006D28D5" w:rsidRPr="008712B4" w14:paraId="7488C36F" w14:textId="77777777" w:rsidTr="006D28D5">
        <w:trPr>
          <w:trHeight w:val="283"/>
        </w:trPr>
        <w:tc>
          <w:tcPr>
            <w:tcW w:w="1696" w:type="dxa"/>
            <w:vMerge/>
            <w:vAlign w:val="center"/>
            <w:hideMark/>
          </w:tcPr>
          <w:p w14:paraId="4CDB6466" w14:textId="77777777" w:rsidR="00084DDB" w:rsidRPr="008712B4" w:rsidRDefault="00084DDB" w:rsidP="006A1D4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</w:p>
        </w:tc>
        <w:tc>
          <w:tcPr>
            <w:tcW w:w="7230" w:type="dxa"/>
            <w:noWrap/>
            <w:hideMark/>
          </w:tcPr>
          <w:p w14:paraId="17A77E17" w14:textId="77777777" w:rsidR="00084DDB" w:rsidRPr="008712B4" w:rsidRDefault="00084DDB" w:rsidP="006A1D4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11. Assess individual patient risk factors such as age, weight, and organ function before prescribing.</w:t>
            </w:r>
          </w:p>
        </w:tc>
        <w:tc>
          <w:tcPr>
            <w:tcW w:w="906" w:type="dxa"/>
            <w:noWrap/>
            <w:vAlign w:val="center"/>
            <w:hideMark/>
          </w:tcPr>
          <w:p w14:paraId="0F9CF474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</w:t>
            </w:r>
          </w:p>
        </w:tc>
        <w:tc>
          <w:tcPr>
            <w:tcW w:w="790" w:type="dxa"/>
            <w:noWrap/>
            <w:vAlign w:val="center"/>
            <w:hideMark/>
          </w:tcPr>
          <w:p w14:paraId="135AAD2E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18B2898B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94.7</w:t>
            </w:r>
          </w:p>
        </w:tc>
        <w:tc>
          <w:tcPr>
            <w:tcW w:w="1560" w:type="dxa"/>
            <w:noWrap/>
            <w:vAlign w:val="center"/>
            <w:hideMark/>
          </w:tcPr>
          <w:p w14:paraId="14534615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en-GB"/>
                <w14:ligatures w14:val="none"/>
              </w:rPr>
              <w:t>5.3</w:t>
            </w:r>
          </w:p>
        </w:tc>
        <w:tc>
          <w:tcPr>
            <w:tcW w:w="1208" w:type="dxa"/>
            <w:noWrap/>
            <w:vAlign w:val="center"/>
            <w:hideMark/>
          </w:tcPr>
          <w:p w14:paraId="59B44A07" w14:textId="77777777" w:rsidR="00084DDB" w:rsidRPr="008712B4" w:rsidRDefault="00084DDB" w:rsidP="006A1D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1"/>
                <w:szCs w:val="21"/>
                <w:lang w:val="en-US" w:eastAsia="en-GB"/>
                <w14:ligatures w14:val="none"/>
              </w:rPr>
            </w:pPr>
            <w:r w:rsidRPr="008712B4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Yes</w:t>
            </w:r>
          </w:p>
        </w:tc>
      </w:tr>
    </w:tbl>
    <w:p w14:paraId="2CF505E2" w14:textId="77777777" w:rsidR="00BF3BDF" w:rsidRDefault="00C377E4" w:rsidP="00AE1282">
      <w:pPr>
        <w:rPr>
          <w:rFonts w:asciiTheme="majorBidi" w:hAnsiTheme="majorBidi" w:cstheme="majorBidi"/>
          <w:sz w:val="22"/>
          <w:szCs w:val="22"/>
        </w:rPr>
      </w:pPr>
      <w:r w:rsidRPr="00C377E4">
        <w:rPr>
          <w:rFonts w:asciiTheme="majorBidi" w:hAnsiTheme="majorBidi" w:cstheme="majorBidi"/>
          <w:sz w:val="22"/>
          <w:szCs w:val="22"/>
        </w:rPr>
        <w:t>* Priority recommendation, defined as a recommendation achieving the highest level of expert consensus (median = 5, agreement = 94.7%, disagreement = 0%)</w:t>
      </w:r>
    </w:p>
    <w:p w14:paraId="3BB26D2D" w14:textId="5C6B6093" w:rsidR="00562538" w:rsidRPr="00C377E4" w:rsidRDefault="000D2846" w:rsidP="000D2846">
      <w:pPr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^ </w:t>
      </w:r>
      <w:r w:rsidRPr="000D2846">
        <w:rPr>
          <w:rFonts w:asciiTheme="majorBidi" w:hAnsiTheme="majorBidi" w:cstheme="majorBidi"/>
          <w:sz w:val="22"/>
          <w:szCs w:val="22"/>
        </w:rPr>
        <w:t>One of the 19 Round 2 participants did not provide a response to this recommendation; therefore, percentages were calculated based on 18 valid responses.</w:t>
      </w:r>
    </w:p>
    <w:sectPr w:rsidR="00562538" w:rsidRPr="00C377E4" w:rsidSect="00CB1C9C">
      <w:headerReference w:type="even" r:id="rId6"/>
      <w:headerReference w:type="first" r:id="rId7"/>
      <w:pgSz w:w="16840" w:h="11900" w:orient="landscape"/>
      <w:pgMar w:top="1440" w:right="1080" w:bottom="1208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D952F" w14:textId="77777777" w:rsidR="00CA3F89" w:rsidRDefault="00CA3F89" w:rsidP="00084DDB">
      <w:r>
        <w:separator/>
      </w:r>
    </w:p>
  </w:endnote>
  <w:endnote w:type="continuationSeparator" w:id="0">
    <w:p w14:paraId="7CBA24AD" w14:textId="77777777" w:rsidR="00CA3F89" w:rsidRDefault="00CA3F89" w:rsidP="00084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02CF8" w14:textId="77777777" w:rsidR="00CA3F89" w:rsidRDefault="00CA3F89" w:rsidP="00084DDB">
      <w:r>
        <w:separator/>
      </w:r>
    </w:p>
  </w:footnote>
  <w:footnote w:type="continuationSeparator" w:id="0">
    <w:p w14:paraId="3C868181" w14:textId="77777777" w:rsidR="00CA3F89" w:rsidRDefault="00CA3F89" w:rsidP="00084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B1050" w14:textId="0B783BA9" w:rsidR="00084DDB" w:rsidRDefault="00084DD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E9578F2" wp14:editId="5A00BF97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443865" cy="443865"/>
              <wp:effectExtent l="0" t="495300" r="0" b="494030"/>
              <wp:wrapNone/>
              <wp:docPr id="1245993518" name="Text Box 5" descr="مقيد |TU|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349945" w14:textId="5DE8C0E2" w:rsidR="00084DDB" w:rsidRPr="00084DDB" w:rsidRDefault="00084DDB" w:rsidP="00084DDB">
                          <w:pPr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28"/>
                              <w:szCs w:val="28"/>
                              <w14:textFill>
                                <w14:solidFill>
                                  <w14:srgbClr w14:val="FFFF0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084DDB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28"/>
                              <w:szCs w:val="28"/>
                              <w:rtl/>
                              <w14:textFill>
                                <w14:solidFill>
                                  <w14:srgbClr w14:val="FFFF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مقيد</w:t>
                          </w:r>
                          <w:r w:rsidRPr="00084DDB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28"/>
                              <w:szCs w:val="28"/>
                              <w14:textFill>
                                <w14:solidFill>
                                  <w14:srgbClr w14:val="FFFF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 xml:space="preserve"> |TU|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9578F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مقيد |TU| Restricted" style="position:absolute;margin-left:0;margin-top:0;width:34.95pt;height:34.95pt;rotation:-45;z-index:-251654144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1GRUCAIAAB8EAAAOAAAAZHJzL2Uyb0RvYy54bWysU8Fu2zAMvQ/YPwi6L3a6rsiMOEXWIsOA&#13;&#10;oC2QDj0rshwbkERBYmJnXz9KttOt22mYD8IzRT2Rj0/L295odlI+tGBLPp/lnCkroWrtoeTfnzcf&#13;&#10;FpwFFLYSGqwq+VkFfrt6/27ZuUJdQQO6Up4RiQ1F50reILoiy4JslBFhBk5Z2qzBG4H06w9Z5UVH&#13;&#10;7EZnV3l+k3XgK+dBqhAoej9s8lXir2sl8bGug0KmS061YVp9WvdxzVZLURy8cE0rxzLEP1RhRGvp&#13;&#10;0gvVvUDBjr79g8q00kOAGmcSTAZ13UqVeqBu5vmbbnaNcCr1QuIEd5Ep/D9a+XDauSfPsP8CPQ0w&#13;&#10;CtK5UAQKxn762hvmgXSbLz7n8UttUuGM0knR80VF1SOTFLy+/ri4+cSZpK0RE2k2cEVO5wN+VWBY&#13;&#10;BCX3NKREKk7bgEPqlBLTLWxardOgtP0tQJwxkr0WHBH2+37sYg/VmZpL9VOtwclNS3duRcAn4WnQ&#13;&#10;FCTz4iMttYau5DAizhrwP/4Wj/mkP+1y1pFxSm7J2Zzpb5bmEj02AT+B/QTs0dwBOXGeakmQDnjU&#13;&#10;E6w9mBdy9DreQVvCSrqp5DjBOxzMSy9CqvU6JZGTnMCt3TkZqSeJn/sX4d0oMtJ0HmAylCjeaD3k&#13;&#10;xpPBrY9IiqdBRDkHDUeVyYVplOOLiTb/9T9lvb7r1U8AAAD//wMAUEsDBBQABgAIAAAAIQDLsm3T&#13;&#10;2wAAAAgBAAAPAAAAZHJzL2Rvd25yZXYueG1sTI/BbsIwEETvlfgHa5F6Kw5FikqIg4AqrcQN2g8w&#13;&#10;8SaOGq+j2EDar++2PdDLrFajnZ2Xr0fXiQsOofWkYD5LQCBV3rTUKHh/Kx+eQISoyejOEyr4xADr&#13;&#10;YnKX68z4Kx3wcoyN4BAKmVZgY+wzKUNl0ekw8z0Se7UfnI68Do00g75yuOvkY5Kk0umW+IPVPe4s&#13;&#10;Vh/Hs1NQNjata3pp93L7VYaIi9fDfqHU/XR8XrFsViAijvF2AT8M3B8KLnbyZzJBdAqYJv4qe+ly&#13;&#10;CeL0N2WRy/8AxTcAAAD//wMAUEsBAi0AFAAGAAgAAAAhALaDOJL+AAAA4QEAABMAAAAAAAAAAAAA&#13;&#10;AAAAAAAAAFtDb250ZW50X1R5cGVzXS54bWxQSwECLQAUAAYACAAAACEAOP0h/9YAAACUAQAACwAA&#13;&#10;AAAAAAAAAAAAAAAvAQAAX3JlbHMvLnJlbHNQSwECLQAUAAYACAAAACEAttRkVAgCAAAfBAAADgAA&#13;&#10;AAAAAAAAAAAAAAAuAgAAZHJzL2Uyb0RvYy54bWxQSwECLQAUAAYACAAAACEAy7Jt09sAAAAIAQAA&#13;&#10;DwAAAAAAAAAAAAAAAABiBAAAZHJzL2Rvd25yZXYueG1sUEsFBgAAAAAEAAQA8wAAAGoFAAAAAA==&#13;&#10;" filled="f" stroked="f">
              <v:textbox style="mso-fit-shape-to-text:t" inset="0,0,0,0">
                <w:txbxContent>
                  <w:p w14:paraId="55349945" w14:textId="5DE8C0E2" w:rsidR="00084DDB" w:rsidRPr="00084DDB" w:rsidRDefault="00084DDB" w:rsidP="00084DDB">
                    <w:pPr>
                      <w:rPr>
                        <w:rFonts w:ascii="Calibri" w:eastAsia="Calibri" w:hAnsi="Calibri" w:cs="Calibri"/>
                        <w:noProof/>
                        <w:color w:val="FFFF00"/>
                        <w:sz w:val="28"/>
                        <w:szCs w:val="28"/>
                        <w14:textFill>
                          <w14:solidFill>
                            <w14:srgbClr w14:val="FFFF0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084DDB">
                      <w:rPr>
                        <w:rFonts w:ascii="Calibri" w:eastAsia="Calibri" w:hAnsi="Calibri" w:cs="Calibri"/>
                        <w:noProof/>
                        <w:color w:val="FFFF00"/>
                        <w:sz w:val="28"/>
                        <w:szCs w:val="28"/>
                        <w:rtl/>
                        <w14:textFill>
                          <w14:solidFill>
                            <w14:srgbClr w14:val="FFFF00">
                              <w14:alpha w14:val="50000"/>
                            </w14:srgbClr>
                          </w14:solidFill>
                        </w14:textFill>
                      </w:rPr>
                      <w:t>مقيد</w:t>
                    </w:r>
                    <w:r w:rsidRPr="00084DDB">
                      <w:rPr>
                        <w:rFonts w:ascii="Calibri" w:eastAsia="Calibri" w:hAnsi="Calibri" w:cs="Calibri"/>
                        <w:noProof/>
                        <w:color w:val="FFFF00"/>
                        <w:sz w:val="28"/>
                        <w:szCs w:val="28"/>
                        <w14:textFill>
                          <w14:solidFill>
                            <w14:srgbClr w14:val="FFFF00">
                              <w14:alpha w14:val="50000"/>
                            </w14:srgbClr>
                          </w14:solidFill>
                        </w14:textFill>
                      </w:rPr>
                      <w:t xml:space="preserve"> |TU| Restricted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6115691" wp14:editId="6F02CD4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0795" b="4445"/>
              <wp:wrapNone/>
              <wp:docPr id="413483901" name="Text Box 2" descr="مقيد |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828A87" w14:textId="23093D08" w:rsidR="00084DDB" w:rsidRPr="00084DDB" w:rsidRDefault="00084DDB" w:rsidP="00084DDB">
                          <w:pPr>
                            <w:rPr>
                              <w:rFonts w:ascii="Calibri" w:eastAsia="Calibri" w:hAnsi="Calibri" w:cs="Calibri"/>
                              <w:noProof/>
                              <w:color w:val="FFFF00"/>
                            </w:rPr>
                          </w:pPr>
                          <w:r w:rsidRPr="00084DDB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rtl/>
                            </w:rPr>
                            <w:t>مقيد</w:t>
                          </w:r>
                          <w:r w:rsidRPr="00084DDB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</w:rPr>
                            <w:t xml:space="preserve"> |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115691" id="Text Box 2" o:spid="_x0000_s1027" type="#_x0000_t202" alt="مقيد | Restricted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2+juCAIAABwEAAAOAAAAZHJzL2Uyb0RvYy54bWysU8Fu2zAMvQ/YPwi6L3a6tuiMOEXWIsOA&#13;&#10;oC2QDj0rshQbkEVBYmJnXz9Ktpuu22nYRaZI+pF8fFrc9q1hR+VDA7bk81nOmbISqsbuS/7jef3p&#13;&#10;hrOAwlbCgFUlP6nAb5cfPyw6V6gLqMFUyjMCsaHoXMlrRFdkWZC1akWYgVOWghp8K5Cufp9VXnSE&#13;&#10;3prsIs+vsw585TxIFQJ574cgXyZ8rZXER62DQmZKTr1hOn06d/HMlgtR7L1wdSPHNsQ/dNGKxlLR&#13;&#10;V6h7gYIdfPMHVNtIDwE0ziS0GWjdSJVmoGnm+btptrVwKs1C5AT3SlP4f7Dy4bh1T55h/xV6WmAk&#13;&#10;pHOhCOSM8/Tat/FLnTKKE4WnV9pUj0yS8/Ly8831FWeSQqNNKNn5Z+cDflPQsmiU3NNWElniuAk4&#13;&#10;pE4psZaFdWNM2oyxvzkIM3qyc4fRwn7Xs6Z60/0OqhMN5WHYd3By3VDpjQj4JDwtmOYg0eIjHdpA&#13;&#10;V3IYLc5q8D//5o/5xDtFOetIMCW3pGjOzHdL+4jaSsb8S36V081P7t1k2EN7ByTDOb0IJ5MZ89BM&#13;&#10;pvbQvpCcV7EQhYSVVK7kOJl3OCiXnoNUq1VKIhk5gRu7dTJCR7oil8/9i/BuJBxpUw8wqUkU73gf&#13;&#10;cuOfwa0OSOynpURqByJHxkmCaa3jc4kaf3tPWedHvfwFAAD//wMAUEsDBBQABgAIAAAAIQB0YZZB&#13;&#10;2wAAAAgBAAAPAAAAZHJzL2Rvd25yZXYueG1sTI/NbsJADITvlXiHlSv1VjapBIKQDUJUHLhR+nM2&#13;&#10;WTdJm/VG2QVSnr5ue6CXsayRx/Ply8G16kR9aDwbSMcJKOLS24YrAy/Pm/sZqBCRLbaeycAXBVgW&#13;&#10;o5scM+vP/ESnfayUhHDI0EAdY5dpHcqaHIax74jFe/e9wyhrX2nb41nCXasfkmSqHTYsH2rsaF1T&#13;&#10;+bk/OgPNZOVjSq/bzcebS3162W0nl50xd7fD40JktQAVaYjXC/hhkP5QSLGDP7INqjUgNPFXxZvO&#13;&#10;56AOf1MXuf4PUHwDAAD//wMAUEsBAi0AFAAGAAgAAAAhALaDOJL+AAAA4QEAABMAAAAAAAAAAAAA&#13;&#10;AAAAAAAAAFtDb250ZW50X1R5cGVzXS54bWxQSwECLQAUAAYACAAAACEAOP0h/9YAAACUAQAACwAA&#13;&#10;AAAAAAAAAAAAAAAvAQAAX3JlbHMvLnJlbHNQSwECLQAUAAYACAAAACEAkdvo7ggCAAAcBAAADgAA&#13;&#10;AAAAAAAAAAAAAAAuAgAAZHJzL2Uyb0RvYy54bWxQSwECLQAUAAYACAAAACEAdGGWQdsAAAAIAQAA&#13;&#10;DwAAAAAAAAAAAAAAAABiBAAAZHJzL2Rvd25yZXYueG1sUEsFBgAAAAAEAAQA8wAAAGoFAAAAAA==&#13;&#10;" filled="f" stroked="f">
              <v:textbox style="mso-fit-shape-to-text:t" inset="0,15pt,0,0">
                <w:txbxContent>
                  <w:p w14:paraId="58828A87" w14:textId="23093D08" w:rsidR="00084DDB" w:rsidRPr="00084DDB" w:rsidRDefault="00084DDB" w:rsidP="00084DDB">
                    <w:pPr>
                      <w:rPr>
                        <w:rFonts w:ascii="Calibri" w:eastAsia="Calibri" w:hAnsi="Calibri" w:cs="Calibri"/>
                        <w:noProof/>
                        <w:color w:val="FFFF00"/>
                      </w:rPr>
                    </w:pPr>
                    <w:r w:rsidRPr="00084DDB">
                      <w:rPr>
                        <w:rFonts w:ascii="Calibri" w:eastAsia="Calibri" w:hAnsi="Calibri" w:cs="Calibri"/>
                        <w:noProof/>
                        <w:color w:val="FFFF00"/>
                        <w:rtl/>
                      </w:rPr>
                      <w:t>مقيد</w:t>
                    </w:r>
                    <w:r w:rsidRPr="00084DDB">
                      <w:rPr>
                        <w:rFonts w:ascii="Calibri" w:eastAsia="Calibri" w:hAnsi="Calibri" w:cs="Calibri"/>
                        <w:noProof/>
                        <w:color w:val="FFFF00"/>
                      </w:rPr>
                      <w:t xml:space="preserve"> |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7A79E" w14:textId="506B8F86" w:rsidR="00084DDB" w:rsidRDefault="00084DD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96DF1EE" wp14:editId="24064B0F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443865" cy="443865"/>
              <wp:effectExtent l="0" t="495300" r="0" b="494030"/>
              <wp:wrapNone/>
              <wp:docPr id="1223611287" name="Text Box 4" descr="مقيد |TU|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6A279B" w14:textId="5F7E2D17" w:rsidR="00084DDB" w:rsidRPr="00084DDB" w:rsidRDefault="00084DDB" w:rsidP="00084DDB">
                          <w:pPr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28"/>
                              <w:szCs w:val="28"/>
                              <w14:textFill>
                                <w14:solidFill>
                                  <w14:srgbClr w14:val="FFFF0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084DDB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28"/>
                              <w:szCs w:val="28"/>
                              <w:rtl/>
                              <w14:textFill>
                                <w14:solidFill>
                                  <w14:srgbClr w14:val="FFFF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مقيد</w:t>
                          </w:r>
                          <w:r w:rsidRPr="00084DDB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28"/>
                              <w:szCs w:val="28"/>
                              <w14:textFill>
                                <w14:solidFill>
                                  <w14:srgbClr w14:val="FFFF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 xml:space="preserve"> |TU|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6DF1E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مقيد |TU| Restricted" style="position:absolute;margin-left:0;margin-top:0;width:34.95pt;height:34.95pt;rotation:-45;z-index:-251655168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5gTaDAIAACYEAAAOAAAAZHJzL2Uyb0RvYy54bWysU8Fu2zAMvQ/YPwi6L06yrsiMOEXWIsOA&#13;&#10;oC2QDj0rshwbkESBUmJnXz9KttOt7WmYD8IzRT2Rj0/Lm85odlLoG7AFn02mnCkroWzsoeA/nzaf&#13;&#10;Fpz5IGwpNFhV8LPy/Gb18cOydbmaQw26VMiIxPq8dQWvQ3B5lnlZKyP8BJyytFkBGhHoFw9ZiaIl&#13;&#10;dqOz+XR6nbWApUOQynuK3vWbfJX4q0rJ8FBVXgWmC061hbRiWvdxzVZLkR9QuLqRQxniH6oworF0&#13;&#10;6YXqTgTBjti8oTKNRPBQhYkEk0FVNVKlHqib2fRVN7taOJV6IXG8u8jk/x+tvD/t3COy0H2DjgYY&#13;&#10;BWmdzz0FYz9dhYYhkG6zxddp/FKbVDijdFL0fFFRdYFJCl5dfV5cf+FM0taAiTTruSKnQx++KzAs&#13;&#10;goIjDSmRitPWhz51TInpFjaN1mlQ2v4VIM4YyV4Kjih0+441ZcHnYzN7KM/UY2qDSvZObhq6eit8&#13;&#10;eBRI86YgeTg80FJpaAsOA+KsBvz1Xjzm0xhol7OW/FNwSwbnTP+wNJ5otRHgCPYjsEdzC2TIWaol&#13;&#10;QTqAQY+wQjDPZOx1vIO2hJV0U8HDCG9D72F6GFKt1ymJDOVE2Nqdk5F6VPqpexboBq0DDekeRl+J&#13;&#10;/JXkfW486d36GEj4NI+oaq/hIDaZMU10eDjR7X/+p6yX5736DQAA//8DAFBLAwQUAAYACAAAACEA&#13;&#10;y7Jt09sAAAAIAQAADwAAAGRycy9kb3ducmV2LnhtbEyPwW7CMBBE75X4B2uReisORYpKiIOAKq3E&#13;&#10;DdoPMPEmjhqvo9hA2q/vtj3Qy6xWo52dl69H14kLDqH1pGA+S0AgVd601Ch4fysfnkCEqMnozhMq&#13;&#10;+MQA62Jyl+vM+Csd8HKMjeAQCplWYGPsMylDZdHpMPM9Enu1H5yOvA6NNIO+crjr5GOSpNLplviD&#13;&#10;1T3uLFYfx7NTUDY2rWt6afdy+1WGiIvXw36h1P10fF6xbFYgIo7xdgE/DNwfCi528mcyQXQKmCb+&#13;&#10;Knvpcgni9Ddlkcv/AMU3AAAA//8DAFBLAQItABQABgAIAAAAIQC2gziS/gAAAOEBAAATAAAAAAAA&#13;&#10;AAAAAAAAAAAAAABbQ29udGVudF9UeXBlc10ueG1sUEsBAi0AFAAGAAgAAAAhADj9If/WAAAAlAEA&#13;&#10;AAsAAAAAAAAAAAAAAAAALwEAAF9yZWxzLy5yZWxzUEsBAi0AFAAGAAgAAAAhAC7mBNoMAgAAJgQA&#13;&#10;AA4AAAAAAAAAAAAAAAAALgIAAGRycy9lMm9Eb2MueG1sUEsBAi0AFAAGAAgAAAAhAMuybdPbAAAA&#13;&#10;CAEAAA8AAAAAAAAAAAAAAAAAZgQAAGRycy9kb3ducmV2LnhtbFBLBQYAAAAABAAEAPMAAABuBQAA&#13;&#10;AAA=&#13;&#10;" filled="f" stroked="f">
              <v:textbox style="mso-fit-shape-to-text:t" inset="0,0,0,0">
                <w:txbxContent>
                  <w:p w14:paraId="0C6A279B" w14:textId="5F7E2D17" w:rsidR="00084DDB" w:rsidRPr="00084DDB" w:rsidRDefault="00084DDB" w:rsidP="00084DDB">
                    <w:pPr>
                      <w:rPr>
                        <w:rFonts w:ascii="Calibri" w:eastAsia="Calibri" w:hAnsi="Calibri" w:cs="Calibri"/>
                        <w:noProof/>
                        <w:color w:val="FFFF00"/>
                        <w:sz w:val="28"/>
                        <w:szCs w:val="28"/>
                        <w14:textFill>
                          <w14:solidFill>
                            <w14:srgbClr w14:val="FFFF0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084DDB">
                      <w:rPr>
                        <w:rFonts w:ascii="Calibri" w:eastAsia="Calibri" w:hAnsi="Calibri" w:cs="Calibri"/>
                        <w:noProof/>
                        <w:color w:val="FFFF00"/>
                        <w:sz w:val="28"/>
                        <w:szCs w:val="28"/>
                        <w:rtl/>
                        <w14:textFill>
                          <w14:solidFill>
                            <w14:srgbClr w14:val="FFFF00">
                              <w14:alpha w14:val="50000"/>
                            </w14:srgbClr>
                          </w14:solidFill>
                        </w14:textFill>
                      </w:rPr>
                      <w:t>مقيد</w:t>
                    </w:r>
                    <w:r w:rsidRPr="00084DDB">
                      <w:rPr>
                        <w:rFonts w:ascii="Calibri" w:eastAsia="Calibri" w:hAnsi="Calibri" w:cs="Calibri"/>
                        <w:noProof/>
                        <w:color w:val="FFFF00"/>
                        <w:sz w:val="28"/>
                        <w:szCs w:val="28"/>
                        <w14:textFill>
                          <w14:solidFill>
                            <w14:srgbClr w14:val="FFFF00">
                              <w14:alpha w14:val="50000"/>
                            </w14:srgbClr>
                          </w14:solidFill>
                        </w14:textFill>
                      </w:rPr>
                      <w:t xml:space="preserve"> |TU| Restricted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52C2E2E" wp14:editId="5F593BF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0795" b="4445"/>
              <wp:wrapNone/>
              <wp:docPr id="819320070" name="Text Box 1" descr="مقيد |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0A6577" w14:textId="31E35522" w:rsidR="00084DDB" w:rsidRPr="00084DDB" w:rsidRDefault="00084DDB" w:rsidP="00084DDB">
                          <w:pPr>
                            <w:rPr>
                              <w:rFonts w:ascii="Calibri" w:eastAsia="Calibri" w:hAnsi="Calibri" w:cs="Calibri"/>
                              <w:noProof/>
                              <w:color w:val="FFFF00"/>
                            </w:rPr>
                          </w:pPr>
                          <w:r w:rsidRPr="00084DDB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rtl/>
                            </w:rPr>
                            <w:t>مقيد</w:t>
                          </w:r>
                          <w:r w:rsidRPr="00084DDB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</w:rPr>
                            <w:t xml:space="preserve"> |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2C2E2E" id="Text Box 1" o:spid="_x0000_s1029" type="#_x0000_t202" alt="مقيد | Restricted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pY2VCgIAABwEAAAOAAAAZHJzL2Uyb0RvYy54bWysU01v2zAMvQ/YfxB0X+z0C50Rp8haZBgQ&#13;&#10;tAXSoWdFlmMDkihITOzs14+S7Wbrdhp2kSmSfiQfnxZ3vdHsqHxowZZ8Pss5U1ZC1dp9yb+/rD/d&#13;&#10;chZQ2EposKrkJxX43fLjh0XnCnUBDehKeUYgNhSdK3mD6IosC7JRRoQZOGUpWIM3Aunq91nlRUfo&#13;&#10;RmcXeX6TdeAr50GqEMj7MAT5MuHXtZL4VNdBIdMlp94wnT6du3hmy4Uo9l64ppVjG+IfujCitVT0&#13;&#10;DepBoGAH3/4BZVrpIUCNMwkmg7pupUoz0DTz/N0020Y4lWYhcoJ7oyn8P1j5eNy6Z8+w/wI9LTAS&#13;&#10;0rlQBHLGefram/ilThnFicLTG22qRybJeXV1eXtzzZmk0GgTSnb+2fmAXxUYFo2Se9pKIkscNwGH&#13;&#10;1Ckl1rKwbrVOm9H2NwdhRk927jBa2O961lYlv5y630F1oqE8DPsOTq5bKr0RAZ+FpwXTHCRafKKj&#13;&#10;1tCVHEaLswb8j7/5Yz7xTlHOOhJMyS0pmjP9zdI+oraSMf+cX+d085N7Nxn2YO6BZDinF+FkMmMe&#13;&#10;6smsPZhXkvMqFqKQsJLKlRwn8x4H5dJzkGq1SkkkIydwY7dORuhIV+TypX8V3o2EI23qESY1ieId&#13;&#10;70Nu/DO41QGJ/bSUSO1A5Mg4STCtdXwuUeO/3lPW+VEvfwIAAP//AwBQSwMEFAAGAAgAAAAhAHRh&#13;&#10;lkHbAAAACAEAAA8AAABkcnMvZG93bnJldi54bWxMj81uwkAMhO+VeIeVK/VWNqkEgpANQlQcuFH6&#13;&#10;czZZN0mb9UbZBVKevm57oJexrJHH8+XLwbXqRH1oPBtIxwko4tLbhisDL8+b+xmoEJEttp7JwBcF&#13;&#10;WBajmxwz68/8RKd9rJSEcMjQQB1jl2kdypochrHviMV7973DKGtfadvjWcJdqx+SZKodNiwfauxo&#13;&#10;XVP5uT86A81k5WNKr9vNx5tLfXrZbSeXnTF3t8PjQmS1ABVpiNcL+GGQ/lBIsYM/sg2qNSA08VfF&#13;&#10;m87noA5/Uxe5/g9QfAMAAP//AwBQSwECLQAUAAYACAAAACEAtoM4kv4AAADhAQAAEwAAAAAAAAAA&#13;&#10;AAAAAAAAAAAAW0NvbnRlbnRfVHlwZXNdLnhtbFBLAQItABQABgAIAAAAIQA4/SH/1gAAAJQBAAAL&#13;&#10;AAAAAAAAAAAAAAAAAC8BAABfcmVscy8ucmVsc1BLAQItABQABgAIAAAAIQBLpY2VCgIAABwEAAAO&#13;&#10;AAAAAAAAAAAAAAAAAC4CAABkcnMvZTJvRG9jLnhtbFBLAQItABQABgAIAAAAIQB0YZZB2wAAAAgB&#13;&#10;AAAPAAAAAAAAAAAAAAAAAGQEAABkcnMvZG93bnJldi54bWxQSwUGAAAAAAQABADzAAAAbAUAAAAA&#13;&#10;" filled="f" stroked="f">
              <v:textbox style="mso-fit-shape-to-text:t" inset="0,15pt,0,0">
                <w:txbxContent>
                  <w:p w14:paraId="280A6577" w14:textId="31E35522" w:rsidR="00084DDB" w:rsidRPr="00084DDB" w:rsidRDefault="00084DDB" w:rsidP="00084DDB">
                    <w:pPr>
                      <w:rPr>
                        <w:rFonts w:ascii="Calibri" w:eastAsia="Calibri" w:hAnsi="Calibri" w:cs="Calibri"/>
                        <w:noProof/>
                        <w:color w:val="FFFF00"/>
                      </w:rPr>
                    </w:pPr>
                    <w:r w:rsidRPr="00084DDB">
                      <w:rPr>
                        <w:rFonts w:ascii="Calibri" w:eastAsia="Calibri" w:hAnsi="Calibri" w:cs="Calibri"/>
                        <w:noProof/>
                        <w:color w:val="FFFF00"/>
                        <w:rtl/>
                      </w:rPr>
                      <w:t>مقيد</w:t>
                    </w:r>
                    <w:r w:rsidRPr="00084DDB">
                      <w:rPr>
                        <w:rFonts w:ascii="Calibri" w:eastAsia="Calibri" w:hAnsi="Calibri" w:cs="Calibri"/>
                        <w:noProof/>
                        <w:color w:val="FFFF00"/>
                      </w:rPr>
                      <w:t xml:space="preserve"> |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DDB"/>
    <w:rsid w:val="00007A4E"/>
    <w:rsid w:val="00011B11"/>
    <w:rsid w:val="000152C4"/>
    <w:rsid w:val="00023997"/>
    <w:rsid w:val="000252ED"/>
    <w:rsid w:val="00030DF3"/>
    <w:rsid w:val="000347DB"/>
    <w:rsid w:val="00042E0A"/>
    <w:rsid w:val="00047237"/>
    <w:rsid w:val="00047414"/>
    <w:rsid w:val="000500E0"/>
    <w:rsid w:val="0005182B"/>
    <w:rsid w:val="00056699"/>
    <w:rsid w:val="00056DE8"/>
    <w:rsid w:val="00082CC1"/>
    <w:rsid w:val="000835A4"/>
    <w:rsid w:val="00084DDB"/>
    <w:rsid w:val="000A2855"/>
    <w:rsid w:val="000A58FD"/>
    <w:rsid w:val="000B42D6"/>
    <w:rsid w:val="000C7FBC"/>
    <w:rsid w:val="000D2846"/>
    <w:rsid w:val="000D565F"/>
    <w:rsid w:val="000E1275"/>
    <w:rsid w:val="000F6F47"/>
    <w:rsid w:val="00107136"/>
    <w:rsid w:val="001157C8"/>
    <w:rsid w:val="001211A0"/>
    <w:rsid w:val="00121A77"/>
    <w:rsid w:val="00124D80"/>
    <w:rsid w:val="0014292B"/>
    <w:rsid w:val="00152860"/>
    <w:rsid w:val="00154E32"/>
    <w:rsid w:val="0017115D"/>
    <w:rsid w:val="001818A7"/>
    <w:rsid w:val="001857C7"/>
    <w:rsid w:val="001914F6"/>
    <w:rsid w:val="00192FCE"/>
    <w:rsid w:val="001978FB"/>
    <w:rsid w:val="001B4032"/>
    <w:rsid w:val="001C7613"/>
    <w:rsid w:val="001F2A6E"/>
    <w:rsid w:val="00204C78"/>
    <w:rsid w:val="002378FD"/>
    <w:rsid w:val="00240842"/>
    <w:rsid w:val="00243E3B"/>
    <w:rsid w:val="0026205C"/>
    <w:rsid w:val="00292DD2"/>
    <w:rsid w:val="0029688E"/>
    <w:rsid w:val="002A039F"/>
    <w:rsid w:val="002A0695"/>
    <w:rsid w:val="002A0B2C"/>
    <w:rsid w:val="002B1B53"/>
    <w:rsid w:val="002C334C"/>
    <w:rsid w:val="002C415A"/>
    <w:rsid w:val="002D3CFE"/>
    <w:rsid w:val="002E36F3"/>
    <w:rsid w:val="002E6500"/>
    <w:rsid w:val="00303004"/>
    <w:rsid w:val="003127E0"/>
    <w:rsid w:val="0031701E"/>
    <w:rsid w:val="003267D7"/>
    <w:rsid w:val="00333DBE"/>
    <w:rsid w:val="00346398"/>
    <w:rsid w:val="003818F3"/>
    <w:rsid w:val="00393A61"/>
    <w:rsid w:val="00393F24"/>
    <w:rsid w:val="00396187"/>
    <w:rsid w:val="003A2640"/>
    <w:rsid w:val="003E0C19"/>
    <w:rsid w:val="003E2A9B"/>
    <w:rsid w:val="003F12AB"/>
    <w:rsid w:val="003F152C"/>
    <w:rsid w:val="00407E38"/>
    <w:rsid w:val="004273C6"/>
    <w:rsid w:val="00437063"/>
    <w:rsid w:val="00447693"/>
    <w:rsid w:val="00463919"/>
    <w:rsid w:val="00471EE3"/>
    <w:rsid w:val="00497717"/>
    <w:rsid w:val="004B10C0"/>
    <w:rsid w:val="004B1D69"/>
    <w:rsid w:val="004C42D1"/>
    <w:rsid w:val="004C5A88"/>
    <w:rsid w:val="004E0BED"/>
    <w:rsid w:val="004F6155"/>
    <w:rsid w:val="0051344E"/>
    <w:rsid w:val="00522F33"/>
    <w:rsid w:val="00542461"/>
    <w:rsid w:val="00562538"/>
    <w:rsid w:val="005952B9"/>
    <w:rsid w:val="00597FC4"/>
    <w:rsid w:val="005B0372"/>
    <w:rsid w:val="005F2956"/>
    <w:rsid w:val="0063627B"/>
    <w:rsid w:val="0063628F"/>
    <w:rsid w:val="00640006"/>
    <w:rsid w:val="00650E3A"/>
    <w:rsid w:val="006832A2"/>
    <w:rsid w:val="006A1D46"/>
    <w:rsid w:val="006C4E8B"/>
    <w:rsid w:val="006C7EAF"/>
    <w:rsid w:val="006D28D5"/>
    <w:rsid w:val="006D3972"/>
    <w:rsid w:val="006F0237"/>
    <w:rsid w:val="00705108"/>
    <w:rsid w:val="007371AF"/>
    <w:rsid w:val="00741682"/>
    <w:rsid w:val="007454AF"/>
    <w:rsid w:val="00757ED1"/>
    <w:rsid w:val="007839AA"/>
    <w:rsid w:val="00785130"/>
    <w:rsid w:val="00797BFF"/>
    <w:rsid w:val="007A0868"/>
    <w:rsid w:val="007A6D80"/>
    <w:rsid w:val="007C3F00"/>
    <w:rsid w:val="007D374B"/>
    <w:rsid w:val="007E5A32"/>
    <w:rsid w:val="007F53A6"/>
    <w:rsid w:val="00801AF2"/>
    <w:rsid w:val="0080240D"/>
    <w:rsid w:val="0081057C"/>
    <w:rsid w:val="00820056"/>
    <w:rsid w:val="00822077"/>
    <w:rsid w:val="00841A21"/>
    <w:rsid w:val="008527B0"/>
    <w:rsid w:val="00863772"/>
    <w:rsid w:val="008712B4"/>
    <w:rsid w:val="00881A42"/>
    <w:rsid w:val="00881B87"/>
    <w:rsid w:val="008853B8"/>
    <w:rsid w:val="008971D4"/>
    <w:rsid w:val="008D6159"/>
    <w:rsid w:val="00921AC5"/>
    <w:rsid w:val="00950E07"/>
    <w:rsid w:val="00954984"/>
    <w:rsid w:val="009568C8"/>
    <w:rsid w:val="0096288F"/>
    <w:rsid w:val="009C680B"/>
    <w:rsid w:val="009E49F0"/>
    <w:rsid w:val="00A11F99"/>
    <w:rsid w:val="00A42150"/>
    <w:rsid w:val="00A444BA"/>
    <w:rsid w:val="00A67950"/>
    <w:rsid w:val="00A817C2"/>
    <w:rsid w:val="00AA6F8D"/>
    <w:rsid w:val="00AB4325"/>
    <w:rsid w:val="00AB5A9E"/>
    <w:rsid w:val="00AC44E9"/>
    <w:rsid w:val="00AD68D0"/>
    <w:rsid w:val="00AE1282"/>
    <w:rsid w:val="00AE302E"/>
    <w:rsid w:val="00AF0BFB"/>
    <w:rsid w:val="00AF495F"/>
    <w:rsid w:val="00AF660E"/>
    <w:rsid w:val="00B0743F"/>
    <w:rsid w:val="00B10338"/>
    <w:rsid w:val="00B24324"/>
    <w:rsid w:val="00B4112F"/>
    <w:rsid w:val="00B92765"/>
    <w:rsid w:val="00BC2CE7"/>
    <w:rsid w:val="00BC7331"/>
    <w:rsid w:val="00BF3BDF"/>
    <w:rsid w:val="00BF4DE6"/>
    <w:rsid w:val="00BF799D"/>
    <w:rsid w:val="00C122F2"/>
    <w:rsid w:val="00C1399C"/>
    <w:rsid w:val="00C377E4"/>
    <w:rsid w:val="00C3780E"/>
    <w:rsid w:val="00C94E8B"/>
    <w:rsid w:val="00C96304"/>
    <w:rsid w:val="00CA3F89"/>
    <w:rsid w:val="00CB1C9C"/>
    <w:rsid w:val="00CC0978"/>
    <w:rsid w:val="00CC68BB"/>
    <w:rsid w:val="00CD004C"/>
    <w:rsid w:val="00CD168F"/>
    <w:rsid w:val="00CE4F27"/>
    <w:rsid w:val="00CE6579"/>
    <w:rsid w:val="00CE718F"/>
    <w:rsid w:val="00D02454"/>
    <w:rsid w:val="00D05A66"/>
    <w:rsid w:val="00D13A16"/>
    <w:rsid w:val="00D349C1"/>
    <w:rsid w:val="00D37E04"/>
    <w:rsid w:val="00D430D5"/>
    <w:rsid w:val="00D478C4"/>
    <w:rsid w:val="00D642A3"/>
    <w:rsid w:val="00D648E7"/>
    <w:rsid w:val="00D7540E"/>
    <w:rsid w:val="00D81DC8"/>
    <w:rsid w:val="00D9235B"/>
    <w:rsid w:val="00DC626B"/>
    <w:rsid w:val="00DD7C8E"/>
    <w:rsid w:val="00DD7F33"/>
    <w:rsid w:val="00DE7257"/>
    <w:rsid w:val="00DF1D89"/>
    <w:rsid w:val="00E16296"/>
    <w:rsid w:val="00E275A1"/>
    <w:rsid w:val="00E46C5D"/>
    <w:rsid w:val="00E8156C"/>
    <w:rsid w:val="00EA211E"/>
    <w:rsid w:val="00EA6110"/>
    <w:rsid w:val="00EA7DAE"/>
    <w:rsid w:val="00EB241A"/>
    <w:rsid w:val="00EB65B3"/>
    <w:rsid w:val="00EC2CD2"/>
    <w:rsid w:val="00F14BFE"/>
    <w:rsid w:val="00F14E73"/>
    <w:rsid w:val="00F30CF0"/>
    <w:rsid w:val="00F34DDA"/>
    <w:rsid w:val="00F405A8"/>
    <w:rsid w:val="00F4144B"/>
    <w:rsid w:val="00F60BE1"/>
    <w:rsid w:val="00F71148"/>
    <w:rsid w:val="00F719EE"/>
    <w:rsid w:val="00F73C5A"/>
    <w:rsid w:val="00F77EED"/>
    <w:rsid w:val="00F82254"/>
    <w:rsid w:val="00F97805"/>
    <w:rsid w:val="00FA5E7F"/>
    <w:rsid w:val="00FB4148"/>
    <w:rsid w:val="00FB7943"/>
    <w:rsid w:val="00FC1F9B"/>
    <w:rsid w:val="00FC2A6E"/>
    <w:rsid w:val="00FD3380"/>
    <w:rsid w:val="00FD47D3"/>
    <w:rsid w:val="00FF13A7"/>
    <w:rsid w:val="00FF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67092"/>
  <w15:chartTrackingRefBased/>
  <w15:docId w15:val="{0187E7F1-DA7E-CE4D-9DB8-19029C2A1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DDB"/>
  </w:style>
  <w:style w:type="paragraph" w:styleId="Heading1">
    <w:name w:val="heading 1"/>
    <w:basedOn w:val="Normal"/>
    <w:next w:val="Normal"/>
    <w:link w:val="Heading1Char"/>
    <w:uiPriority w:val="9"/>
    <w:qFormat/>
    <w:rsid w:val="00084D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4D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4D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4D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4D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4D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4D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4D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4D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4D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4D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4D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4D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4D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4D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4D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4D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4D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4D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4D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DD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4D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4D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4D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4D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4D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D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D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4DDB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084DDB"/>
    <w:pPr>
      <w:spacing w:before="100" w:beforeAutospacing="1" w:after="100" w:afterAutospacing="1"/>
    </w:pPr>
    <w:rPr>
      <w:rFonts w:ascii="Times New Roman" w:eastAsiaTheme="minorEastAsia" w:hAnsi="Times New Roman" w:cs="Times New Roman"/>
      <w:kern w:val="0"/>
      <w:lang w:val="en-US"/>
      <w14:ligatures w14:val="none"/>
    </w:rPr>
  </w:style>
  <w:style w:type="table" w:styleId="GridTable1Light-Accent1">
    <w:name w:val="Grid Table 1 Light Accent 1"/>
    <w:basedOn w:val="TableNormal"/>
    <w:uiPriority w:val="46"/>
    <w:rsid w:val="00084DDB"/>
    <w:rPr>
      <w:rFonts w:eastAsiaTheme="minorEastAsia"/>
      <w:lang w:val="en-US"/>
    </w:r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pple-converted-space">
    <w:name w:val="apple-converted-space"/>
    <w:basedOn w:val="DefaultParagraphFont"/>
    <w:rsid w:val="00084DDB"/>
  </w:style>
  <w:style w:type="paragraph" w:styleId="Header">
    <w:name w:val="header"/>
    <w:basedOn w:val="Normal"/>
    <w:link w:val="HeaderChar"/>
    <w:uiPriority w:val="99"/>
    <w:unhideWhenUsed/>
    <w:rsid w:val="00084D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4DDB"/>
  </w:style>
  <w:style w:type="table" w:styleId="TableGrid">
    <w:name w:val="Table Grid"/>
    <w:basedOn w:val="TableNormal"/>
    <w:uiPriority w:val="39"/>
    <w:rsid w:val="008712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927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27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7b842b-8c74-4f80-ad6f-ce4fa12d793c}" enabled="1" method="Standard" siteId="{e26bab4b-97e6-4754-b163-60f8237e8531}" contentBits="5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1469</Words>
  <Characters>8376</Characters>
  <Application>Microsoft Office Word</Application>
  <DocSecurity>0</DocSecurity>
  <Lines>69</Lines>
  <Paragraphs>19</Paragraphs>
  <ScaleCrop>false</ScaleCrop>
  <Company/>
  <LinksUpToDate>false</LinksUpToDate>
  <CharactersWithSpaces>9826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وائل يحيى علي خواجي</dc:creator>
  <cp:keywords/>
  <dc:description/>
  <cp:lastModifiedBy>وائل يحيى علي خواجي</cp:lastModifiedBy>
  <cp:revision>4</cp:revision>
  <dcterms:created xsi:type="dcterms:W3CDTF">2026-08-29T09:02:00Z</dcterms:created>
  <dcterms:modified xsi:type="dcterms:W3CDTF">2026-09-12T18:15:00Z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30d5d506,18a5437d,da97935</vt:lpwstr>
  </property>
  <property fmtid="{D5CDD505-2E9C-101B-9397-08002B2CF9AE}" pid="3" name="ClassificationContentMarkingHeaderFontProps">
    <vt:lpwstr>#ffff00,12,Calibri</vt:lpwstr>
  </property>
  <property fmtid="{D5CDD505-2E9C-101B-9397-08002B2CF9AE}" pid="4" name="ClassificationContentMarkingHeaderText">
    <vt:lpwstr>مقيد | Restricted</vt:lpwstr>
  </property>
  <property fmtid="{D5CDD505-2E9C-101B-9397-08002B2CF9AE}" pid="5" name="ClassificationWatermarkShapeIds">
    <vt:lpwstr>48eed397,4a445a2e,1036c41f</vt:lpwstr>
  </property>
  <property fmtid="{D5CDD505-2E9C-101B-9397-08002B2CF9AE}" pid="6" name="ClassificationWatermarkFontProps">
    <vt:lpwstr>#ffff00,14,Calibri</vt:lpwstr>
  </property>
  <property fmtid="{D5CDD505-2E9C-101B-9397-08002B2CF9AE}" pid="7" name="ClassificationWatermarkText">
    <vt:lpwstr>مقيد |TU| Restricted</vt:lpwstr>
  </property>
</Properties>
</file>