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3B2C" w14:textId="6CE7DA24" w:rsidR="004D38B9" w:rsidRDefault="001E749D" w:rsidP="00BC5A6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Supplementary material</w:t>
      </w:r>
    </w:p>
    <w:p w14:paraId="04E7B8C9" w14:textId="558CDDE6" w:rsidR="00FF38F5" w:rsidRPr="00BC5A60" w:rsidRDefault="001E749D" w:rsidP="001E749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w:t>
      </w:r>
      <w:r w:rsidR="00280E78">
        <w:rPr>
          <w:rFonts w:ascii="Times New Roman" w:hAnsi="Times New Roman" w:cs="Times New Roman"/>
          <w:b/>
          <w:sz w:val="24"/>
          <w:szCs w:val="24"/>
        </w:rPr>
        <w:t>S1</w:t>
      </w:r>
      <w:r>
        <w:rPr>
          <w:rFonts w:ascii="Times New Roman" w:hAnsi="Times New Roman" w:cs="Times New Roman"/>
          <w:b/>
          <w:sz w:val="24"/>
          <w:szCs w:val="24"/>
        </w:rPr>
        <w:t>: Search strategy</w:t>
      </w:r>
    </w:p>
    <w:tbl>
      <w:tblPr>
        <w:tblStyle w:val="TableGrid"/>
        <w:tblW w:w="0" w:type="auto"/>
        <w:tblLook w:val="04A0" w:firstRow="1" w:lastRow="0" w:firstColumn="1" w:lastColumn="0" w:noHBand="0" w:noVBand="1"/>
      </w:tblPr>
      <w:tblGrid>
        <w:gridCol w:w="1345"/>
        <w:gridCol w:w="4288"/>
        <w:gridCol w:w="1110"/>
        <w:gridCol w:w="1150"/>
        <w:gridCol w:w="1123"/>
      </w:tblGrid>
      <w:tr w:rsidR="00B749E8" w:rsidRPr="00BC5A60" w14:paraId="6A5F97C5" w14:textId="6E7B3BE2" w:rsidTr="00B749E8">
        <w:tc>
          <w:tcPr>
            <w:tcW w:w="1346" w:type="dxa"/>
          </w:tcPr>
          <w:p w14:paraId="35B72FB6" w14:textId="59BC3CD3" w:rsidR="00B749E8" w:rsidRPr="00BC5A60" w:rsidRDefault="00B749E8" w:rsidP="00BC5A60">
            <w:pPr>
              <w:spacing w:line="360" w:lineRule="auto"/>
              <w:rPr>
                <w:rFonts w:ascii="Times New Roman" w:hAnsi="Times New Roman" w:cs="Times New Roman"/>
                <w:b/>
                <w:sz w:val="24"/>
                <w:szCs w:val="24"/>
              </w:rPr>
            </w:pPr>
            <w:r w:rsidRPr="00BC5A60">
              <w:rPr>
                <w:rFonts w:ascii="Times New Roman" w:hAnsi="Times New Roman" w:cs="Times New Roman"/>
                <w:b/>
                <w:sz w:val="24"/>
                <w:szCs w:val="24"/>
              </w:rPr>
              <w:t>Database</w:t>
            </w:r>
          </w:p>
        </w:tc>
        <w:tc>
          <w:tcPr>
            <w:tcW w:w="4470" w:type="dxa"/>
          </w:tcPr>
          <w:p w14:paraId="4FAE3B7F" w14:textId="38429F29" w:rsidR="00B749E8" w:rsidRPr="00BC5A60" w:rsidRDefault="00B749E8" w:rsidP="00BC5A60">
            <w:pPr>
              <w:spacing w:line="360" w:lineRule="auto"/>
              <w:rPr>
                <w:rFonts w:ascii="Times New Roman" w:hAnsi="Times New Roman" w:cs="Times New Roman"/>
                <w:b/>
                <w:sz w:val="24"/>
                <w:szCs w:val="24"/>
              </w:rPr>
            </w:pPr>
            <w:r w:rsidRPr="00BC5A60">
              <w:rPr>
                <w:rFonts w:ascii="Times New Roman" w:hAnsi="Times New Roman" w:cs="Times New Roman"/>
                <w:b/>
                <w:sz w:val="24"/>
                <w:szCs w:val="24"/>
              </w:rPr>
              <w:t>Search Strategy</w:t>
            </w:r>
          </w:p>
        </w:tc>
        <w:tc>
          <w:tcPr>
            <w:tcW w:w="927" w:type="dxa"/>
          </w:tcPr>
          <w:p w14:paraId="7B6ADD42" w14:textId="48F67A0F" w:rsidR="00B749E8" w:rsidRPr="00BC5A60" w:rsidRDefault="00B749E8" w:rsidP="00BC5A60">
            <w:pPr>
              <w:spacing w:line="360" w:lineRule="auto"/>
              <w:rPr>
                <w:rFonts w:ascii="Times New Roman" w:hAnsi="Times New Roman" w:cs="Times New Roman"/>
                <w:b/>
                <w:sz w:val="24"/>
                <w:szCs w:val="24"/>
              </w:rPr>
            </w:pPr>
            <w:r>
              <w:rPr>
                <w:rFonts w:ascii="Times New Roman" w:hAnsi="Times New Roman" w:cs="Times New Roman"/>
                <w:b/>
                <w:sz w:val="24"/>
                <w:szCs w:val="24"/>
              </w:rPr>
              <w:t>Date</w:t>
            </w:r>
          </w:p>
        </w:tc>
        <w:tc>
          <w:tcPr>
            <w:tcW w:w="1150" w:type="dxa"/>
          </w:tcPr>
          <w:p w14:paraId="6A2D63EE" w14:textId="5D8CBE3C" w:rsidR="00B749E8" w:rsidRPr="00BC5A60" w:rsidRDefault="00B749E8" w:rsidP="00BC5A60">
            <w:pPr>
              <w:spacing w:line="360" w:lineRule="auto"/>
              <w:rPr>
                <w:rFonts w:ascii="Times New Roman" w:hAnsi="Times New Roman" w:cs="Times New Roman"/>
                <w:b/>
                <w:sz w:val="24"/>
                <w:szCs w:val="24"/>
              </w:rPr>
            </w:pPr>
            <w:r w:rsidRPr="00BC5A60">
              <w:rPr>
                <w:rFonts w:ascii="Times New Roman" w:hAnsi="Times New Roman" w:cs="Times New Roman"/>
                <w:b/>
                <w:sz w:val="24"/>
                <w:szCs w:val="24"/>
              </w:rPr>
              <w:t>Limits</w:t>
            </w:r>
          </w:p>
        </w:tc>
        <w:tc>
          <w:tcPr>
            <w:tcW w:w="1123" w:type="dxa"/>
          </w:tcPr>
          <w:p w14:paraId="08B5485D" w14:textId="567DF2FB" w:rsidR="00B749E8" w:rsidRPr="00BC5A60" w:rsidRDefault="00B749E8" w:rsidP="00BC5A60">
            <w:pPr>
              <w:spacing w:line="360" w:lineRule="auto"/>
              <w:rPr>
                <w:rFonts w:ascii="Times New Roman" w:hAnsi="Times New Roman" w:cs="Times New Roman"/>
                <w:b/>
                <w:sz w:val="24"/>
                <w:szCs w:val="24"/>
              </w:rPr>
            </w:pPr>
            <w:r w:rsidRPr="00BC5A60">
              <w:rPr>
                <w:rFonts w:ascii="Times New Roman" w:hAnsi="Times New Roman" w:cs="Times New Roman"/>
                <w:b/>
                <w:sz w:val="24"/>
                <w:szCs w:val="24"/>
              </w:rPr>
              <w:t>Hits</w:t>
            </w:r>
          </w:p>
        </w:tc>
      </w:tr>
      <w:tr w:rsidR="00B749E8" w:rsidRPr="00BC5A60" w14:paraId="01C683A7" w14:textId="1A006AA2" w:rsidTr="00B749E8">
        <w:tc>
          <w:tcPr>
            <w:tcW w:w="1346" w:type="dxa"/>
          </w:tcPr>
          <w:p w14:paraId="704E597F" w14:textId="1F05C22F"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PubMed</w:t>
            </w:r>
          </w:p>
        </w:tc>
        <w:tc>
          <w:tcPr>
            <w:tcW w:w="4470" w:type="dxa"/>
          </w:tcPr>
          <w:p w14:paraId="08CC63C9" w14:textId="575A9DF7"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(infant OR newborn OR neonate OR preterm OR “low birth weight”) AND (“umbilical line” OR “umbilical catheter” OR “central venous catheter” OR PICC OR “peripherally inserted central catheter”) AND (sepsis OR mortality OR death OR complications OR morbidity OR “side effect” OR adverse)</w:t>
            </w:r>
          </w:p>
        </w:tc>
        <w:tc>
          <w:tcPr>
            <w:tcW w:w="927" w:type="dxa"/>
          </w:tcPr>
          <w:p w14:paraId="7CC20AD0" w14:textId="475ED2A5"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1946 to Nov 5 2025</w:t>
            </w:r>
          </w:p>
        </w:tc>
        <w:tc>
          <w:tcPr>
            <w:tcW w:w="1150" w:type="dxa"/>
          </w:tcPr>
          <w:p w14:paraId="241CD93B" w14:textId="7D4936A3"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bCs/>
                <w:sz w:val="24"/>
                <w:szCs w:val="24"/>
              </w:rPr>
              <w:t>None</w:t>
            </w:r>
          </w:p>
        </w:tc>
        <w:tc>
          <w:tcPr>
            <w:tcW w:w="1123" w:type="dxa"/>
          </w:tcPr>
          <w:p w14:paraId="1D07973B" w14:textId="3A529C95"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2,015</w:t>
            </w:r>
          </w:p>
        </w:tc>
      </w:tr>
      <w:tr w:rsidR="00B749E8" w:rsidRPr="00BC5A60" w14:paraId="0AA31E3B" w14:textId="49B4C209" w:rsidTr="00B749E8">
        <w:tc>
          <w:tcPr>
            <w:tcW w:w="1346" w:type="dxa"/>
          </w:tcPr>
          <w:p w14:paraId="37B561A1" w14:textId="5B99ECF1"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Embase</w:t>
            </w:r>
          </w:p>
        </w:tc>
        <w:tc>
          <w:tcPr>
            <w:tcW w:w="4470" w:type="dxa"/>
          </w:tcPr>
          <w:p w14:paraId="446F2DAA" w14:textId="1C133EA4"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(infant OR newborn OR neonate OR preterm OR ‘low birth weight’) AND (‘umbilical line’ OR ‘umbilical catheter’ OR ‘central venous catheter’ OR PICC OR ‘peripherally inserted central catheter’) AND (sepsis OR mortality OR death OR complications OR morbidity OR ‘side effect’ OR adverse)</w:t>
            </w:r>
          </w:p>
        </w:tc>
        <w:tc>
          <w:tcPr>
            <w:tcW w:w="927" w:type="dxa"/>
          </w:tcPr>
          <w:p w14:paraId="74C3AD31" w14:textId="4F0B3D75"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1974 to Nov 5 2025</w:t>
            </w:r>
          </w:p>
        </w:tc>
        <w:tc>
          <w:tcPr>
            <w:tcW w:w="1150" w:type="dxa"/>
          </w:tcPr>
          <w:p w14:paraId="7837AADF" w14:textId="1FFAD4D5"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bCs/>
                <w:sz w:val="24"/>
                <w:szCs w:val="24"/>
              </w:rPr>
              <w:t>None</w:t>
            </w:r>
          </w:p>
        </w:tc>
        <w:tc>
          <w:tcPr>
            <w:tcW w:w="1123" w:type="dxa"/>
          </w:tcPr>
          <w:p w14:paraId="3684A0BF" w14:textId="38DF79D1"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5,130</w:t>
            </w:r>
          </w:p>
        </w:tc>
      </w:tr>
      <w:tr w:rsidR="00B749E8" w:rsidRPr="00BC5A60" w14:paraId="36C16801" w14:textId="6BE6CBB0" w:rsidTr="00B749E8">
        <w:tc>
          <w:tcPr>
            <w:tcW w:w="1346" w:type="dxa"/>
          </w:tcPr>
          <w:p w14:paraId="2ECB8298" w14:textId="36C82BF1"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Web of Science</w:t>
            </w:r>
          </w:p>
        </w:tc>
        <w:tc>
          <w:tcPr>
            <w:tcW w:w="4470" w:type="dxa"/>
          </w:tcPr>
          <w:p w14:paraId="505DCDCB" w14:textId="57ABA3D4"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sz w:val="24"/>
                <w:szCs w:val="24"/>
              </w:rPr>
              <w:t>(infant OR newborn OR neonate OR preterm OR “low birth weight”) AND (“umbilical line” OR “umbilical catheter” OR “central venous catheter” OR PICC OR “peripherally inserted central catheter”) AND (sepsis OR mortality OR death OR complications OR morbidity OR “side effect” OR adverse)</w:t>
            </w:r>
          </w:p>
        </w:tc>
        <w:tc>
          <w:tcPr>
            <w:tcW w:w="927" w:type="dxa"/>
          </w:tcPr>
          <w:p w14:paraId="0E26796A" w14:textId="08F1190E"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Since inception</w:t>
            </w:r>
          </w:p>
        </w:tc>
        <w:tc>
          <w:tcPr>
            <w:tcW w:w="1150" w:type="dxa"/>
          </w:tcPr>
          <w:p w14:paraId="39ACD703" w14:textId="3ADEBDDC"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bCs/>
                <w:sz w:val="24"/>
                <w:szCs w:val="24"/>
              </w:rPr>
              <w:t>None</w:t>
            </w:r>
          </w:p>
        </w:tc>
        <w:tc>
          <w:tcPr>
            <w:tcW w:w="1123" w:type="dxa"/>
          </w:tcPr>
          <w:p w14:paraId="102116AD" w14:textId="36235B48"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t>1,115</w:t>
            </w:r>
          </w:p>
        </w:tc>
      </w:tr>
      <w:tr w:rsidR="00B749E8" w:rsidRPr="00BC5A60" w14:paraId="610F0456" w14:textId="6D239063" w:rsidTr="00B749E8">
        <w:tc>
          <w:tcPr>
            <w:tcW w:w="1346" w:type="dxa"/>
          </w:tcPr>
          <w:p w14:paraId="23850F81" w14:textId="182630A2" w:rsidR="00B749E8" w:rsidRPr="00BC5A60" w:rsidRDefault="00B749E8" w:rsidP="00BC5A60">
            <w:pPr>
              <w:spacing w:line="360" w:lineRule="auto"/>
              <w:rPr>
                <w:rFonts w:ascii="Times New Roman" w:hAnsi="Times New Roman" w:cs="Times New Roman"/>
                <w:sz w:val="24"/>
                <w:szCs w:val="24"/>
              </w:rPr>
            </w:pPr>
            <w:r w:rsidRPr="00BC5A60">
              <w:rPr>
                <w:rFonts w:ascii="Times New Roman" w:hAnsi="Times New Roman" w:cs="Times New Roman"/>
                <w:sz w:val="24"/>
                <w:szCs w:val="24"/>
              </w:rPr>
              <w:t>Cochrane CENTRAL</w:t>
            </w:r>
          </w:p>
        </w:tc>
        <w:tc>
          <w:tcPr>
            <w:tcW w:w="4470" w:type="dxa"/>
          </w:tcPr>
          <w:p w14:paraId="42B09497" w14:textId="68DB795F" w:rsidR="00B749E8" w:rsidRPr="00BC5A60" w:rsidRDefault="00B749E8" w:rsidP="00BC5A60">
            <w:pPr>
              <w:spacing w:line="360" w:lineRule="auto"/>
              <w:rPr>
                <w:rFonts w:ascii="Times New Roman" w:hAnsi="Times New Roman" w:cs="Times New Roman"/>
                <w:sz w:val="24"/>
                <w:szCs w:val="24"/>
              </w:rPr>
            </w:pPr>
            <w:r w:rsidRPr="00BC5A60">
              <w:rPr>
                <w:rFonts w:ascii="Times New Roman" w:hAnsi="Times New Roman" w:cs="Times New Roman"/>
                <w:sz w:val="24"/>
                <w:szCs w:val="24"/>
              </w:rPr>
              <w:t xml:space="preserve">(infant OR newborn OR neonate OR preterm OR “low birth weight”) AND (“umbilical line” OR “umbilical catheter” OR “central venous catheter” OR PICC OR “peripherally inserted central catheter”) AND (sepsis OR mortality OR </w:t>
            </w:r>
            <w:r w:rsidRPr="00BC5A60">
              <w:rPr>
                <w:rFonts w:ascii="Times New Roman" w:hAnsi="Times New Roman" w:cs="Times New Roman"/>
                <w:sz w:val="24"/>
                <w:szCs w:val="24"/>
              </w:rPr>
              <w:lastRenderedPageBreak/>
              <w:t>death OR complications OR morbidity OR “side effect” OR adverse)</w:t>
            </w:r>
          </w:p>
        </w:tc>
        <w:tc>
          <w:tcPr>
            <w:tcW w:w="927" w:type="dxa"/>
          </w:tcPr>
          <w:p w14:paraId="33B6B821" w14:textId="75D7220D" w:rsidR="00B749E8" w:rsidRPr="00BC5A60" w:rsidRDefault="00B749E8" w:rsidP="00BC5A60">
            <w:pPr>
              <w:spacing w:line="360" w:lineRule="auto"/>
              <w:rPr>
                <w:rFonts w:ascii="Times New Roman" w:hAnsi="Times New Roman" w:cs="Times New Roman"/>
                <w:bCs/>
                <w:sz w:val="24"/>
                <w:szCs w:val="24"/>
              </w:rPr>
            </w:pPr>
            <w:r>
              <w:rPr>
                <w:rFonts w:ascii="Times New Roman" w:hAnsi="Times New Roman" w:cs="Times New Roman"/>
                <w:bCs/>
                <w:sz w:val="24"/>
                <w:szCs w:val="24"/>
              </w:rPr>
              <w:lastRenderedPageBreak/>
              <w:t>Since inception</w:t>
            </w:r>
          </w:p>
        </w:tc>
        <w:tc>
          <w:tcPr>
            <w:tcW w:w="1150" w:type="dxa"/>
          </w:tcPr>
          <w:p w14:paraId="0B413EB3" w14:textId="443155D5"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bCs/>
                <w:sz w:val="24"/>
                <w:szCs w:val="24"/>
              </w:rPr>
              <w:t>Title-abstract-keywords</w:t>
            </w:r>
          </w:p>
        </w:tc>
        <w:tc>
          <w:tcPr>
            <w:tcW w:w="1123" w:type="dxa"/>
          </w:tcPr>
          <w:p w14:paraId="08672665" w14:textId="42AC97D5" w:rsidR="00B749E8" w:rsidRPr="00BC5A60" w:rsidRDefault="00B749E8" w:rsidP="00BC5A60">
            <w:pPr>
              <w:spacing w:line="360" w:lineRule="auto"/>
              <w:rPr>
                <w:rFonts w:ascii="Times New Roman" w:hAnsi="Times New Roman" w:cs="Times New Roman"/>
                <w:bCs/>
                <w:sz w:val="24"/>
                <w:szCs w:val="24"/>
              </w:rPr>
            </w:pPr>
            <w:r w:rsidRPr="00BC5A60">
              <w:rPr>
                <w:rFonts w:ascii="Times New Roman" w:hAnsi="Times New Roman" w:cs="Times New Roman"/>
                <w:bCs/>
                <w:sz w:val="24"/>
                <w:szCs w:val="24"/>
              </w:rPr>
              <w:t>29</w:t>
            </w:r>
            <w:r>
              <w:rPr>
                <w:rFonts w:ascii="Times New Roman" w:hAnsi="Times New Roman" w:cs="Times New Roman"/>
                <w:bCs/>
                <w:sz w:val="24"/>
                <w:szCs w:val="24"/>
              </w:rPr>
              <w:t>6</w:t>
            </w:r>
            <w:r w:rsidRPr="00BC5A60">
              <w:rPr>
                <w:rFonts w:ascii="Times New Roman" w:hAnsi="Times New Roman" w:cs="Times New Roman"/>
                <w:bCs/>
                <w:sz w:val="24"/>
                <w:szCs w:val="24"/>
              </w:rPr>
              <w:t xml:space="preserve"> (Trials- 27</w:t>
            </w:r>
            <w:r>
              <w:rPr>
                <w:rFonts w:ascii="Times New Roman" w:hAnsi="Times New Roman" w:cs="Times New Roman"/>
                <w:bCs/>
                <w:sz w:val="24"/>
                <w:szCs w:val="24"/>
              </w:rPr>
              <w:t>6</w:t>
            </w:r>
            <w:r w:rsidRPr="00BC5A60">
              <w:rPr>
                <w:rFonts w:ascii="Times New Roman" w:hAnsi="Times New Roman" w:cs="Times New Roman"/>
                <w:bCs/>
                <w:sz w:val="24"/>
                <w:szCs w:val="24"/>
              </w:rPr>
              <w:t>, Reviews- 20)</w:t>
            </w:r>
          </w:p>
        </w:tc>
      </w:tr>
    </w:tbl>
    <w:p w14:paraId="3F96A4E9" w14:textId="77777777" w:rsidR="00D847D3" w:rsidRPr="00BC5A60" w:rsidRDefault="00D847D3" w:rsidP="00BC5A60">
      <w:pPr>
        <w:spacing w:line="360" w:lineRule="auto"/>
        <w:rPr>
          <w:rFonts w:ascii="Times New Roman" w:hAnsi="Times New Roman" w:cs="Times New Roman"/>
          <w:sz w:val="24"/>
          <w:szCs w:val="24"/>
        </w:rPr>
      </w:pPr>
    </w:p>
    <w:p w14:paraId="37714EDF" w14:textId="45AE8624" w:rsidR="00564A50" w:rsidRDefault="002117A3" w:rsidP="00BC5A60">
      <w:pPr>
        <w:spacing w:line="360" w:lineRule="auto"/>
        <w:rPr>
          <w:rFonts w:ascii="Times New Roman" w:hAnsi="Times New Roman" w:cs="Times New Roman"/>
          <w:sz w:val="24"/>
          <w:szCs w:val="24"/>
        </w:rPr>
      </w:pPr>
      <w:r w:rsidRPr="00BC5A60">
        <w:rPr>
          <w:rFonts w:ascii="Times New Roman" w:hAnsi="Times New Roman" w:cs="Times New Roman"/>
          <w:b/>
          <w:sz w:val="24"/>
          <w:szCs w:val="24"/>
        </w:rPr>
        <w:t>Search date:</w:t>
      </w:r>
      <w:r w:rsidR="00EE28ED">
        <w:rPr>
          <w:rFonts w:ascii="Times New Roman" w:hAnsi="Times New Roman" w:cs="Times New Roman"/>
          <w:sz w:val="24"/>
          <w:szCs w:val="24"/>
        </w:rPr>
        <w:t xml:space="preserve"> November 5</w:t>
      </w:r>
      <w:r w:rsidR="00EE28ED" w:rsidRPr="00EE28ED">
        <w:rPr>
          <w:rFonts w:ascii="Times New Roman" w:hAnsi="Times New Roman" w:cs="Times New Roman"/>
          <w:sz w:val="24"/>
          <w:szCs w:val="24"/>
          <w:vertAlign w:val="superscript"/>
        </w:rPr>
        <w:t>th</w:t>
      </w:r>
      <w:r w:rsidR="00EE28ED">
        <w:rPr>
          <w:rFonts w:ascii="Times New Roman" w:hAnsi="Times New Roman" w:cs="Times New Roman"/>
          <w:sz w:val="24"/>
          <w:szCs w:val="24"/>
        </w:rPr>
        <w:t xml:space="preserve"> 2025</w:t>
      </w:r>
    </w:p>
    <w:p w14:paraId="022DD6DF" w14:textId="5AA6D96F" w:rsidR="00564A50" w:rsidRPr="00564A50" w:rsidRDefault="00564A50">
      <w:pPr>
        <w:rPr>
          <w:rFonts w:ascii="Times New Roman" w:hAnsi="Times New Roman" w:cs="Times New Roman"/>
          <w:b/>
          <w:bCs/>
          <w:sz w:val="24"/>
          <w:szCs w:val="24"/>
        </w:rPr>
      </w:pPr>
      <w:r w:rsidRPr="00564A50">
        <w:rPr>
          <w:rFonts w:ascii="Times New Roman" w:hAnsi="Times New Roman" w:cs="Times New Roman"/>
          <w:b/>
          <w:bCs/>
          <w:sz w:val="24"/>
          <w:szCs w:val="24"/>
        </w:rPr>
        <w:t xml:space="preserve">Table </w:t>
      </w:r>
      <w:r w:rsidR="00280E78">
        <w:rPr>
          <w:rFonts w:ascii="Times New Roman" w:hAnsi="Times New Roman" w:cs="Times New Roman"/>
          <w:b/>
          <w:bCs/>
          <w:sz w:val="24"/>
          <w:szCs w:val="24"/>
        </w:rPr>
        <w:t>S2</w:t>
      </w:r>
      <w:r w:rsidRPr="00564A50">
        <w:rPr>
          <w:rFonts w:ascii="Times New Roman" w:hAnsi="Times New Roman" w:cs="Times New Roman"/>
          <w:b/>
          <w:bCs/>
          <w:sz w:val="24"/>
          <w:szCs w:val="24"/>
        </w:rPr>
        <w:t>: List of excluded studies</w:t>
      </w:r>
    </w:p>
    <w:tbl>
      <w:tblPr>
        <w:tblStyle w:val="TableGrid"/>
        <w:tblW w:w="0" w:type="auto"/>
        <w:tblLook w:val="04A0" w:firstRow="1" w:lastRow="0" w:firstColumn="1" w:lastColumn="0" w:noHBand="0" w:noVBand="1"/>
      </w:tblPr>
      <w:tblGrid>
        <w:gridCol w:w="603"/>
        <w:gridCol w:w="1802"/>
        <w:gridCol w:w="4473"/>
        <w:gridCol w:w="2138"/>
      </w:tblGrid>
      <w:tr w:rsidR="00564A50" w:rsidRPr="00300951" w14:paraId="7301F18F" w14:textId="77777777" w:rsidTr="00E26950">
        <w:tc>
          <w:tcPr>
            <w:tcW w:w="603" w:type="dxa"/>
          </w:tcPr>
          <w:p w14:paraId="0BAE294F" w14:textId="77777777" w:rsidR="00564A50" w:rsidRPr="00300951" w:rsidRDefault="00564A50" w:rsidP="00E26950">
            <w:pPr>
              <w:spacing w:line="360" w:lineRule="auto"/>
              <w:jc w:val="center"/>
              <w:rPr>
                <w:rFonts w:ascii="Times New Roman" w:hAnsi="Times New Roman" w:cs="Times New Roman"/>
                <w:b/>
                <w:sz w:val="24"/>
                <w:szCs w:val="24"/>
                <w:lang w:val="en-US"/>
              </w:rPr>
            </w:pPr>
            <w:r w:rsidRPr="00300951">
              <w:rPr>
                <w:rFonts w:ascii="Times New Roman" w:hAnsi="Times New Roman" w:cs="Times New Roman"/>
                <w:b/>
                <w:sz w:val="24"/>
                <w:szCs w:val="24"/>
                <w:lang w:val="en-US"/>
              </w:rPr>
              <w:t>S No</w:t>
            </w:r>
          </w:p>
        </w:tc>
        <w:tc>
          <w:tcPr>
            <w:tcW w:w="1802" w:type="dxa"/>
          </w:tcPr>
          <w:p w14:paraId="337381AF" w14:textId="77777777" w:rsidR="00564A50" w:rsidRPr="00300951" w:rsidRDefault="00564A50" w:rsidP="00E26950">
            <w:pPr>
              <w:spacing w:line="360" w:lineRule="auto"/>
              <w:jc w:val="center"/>
              <w:rPr>
                <w:rFonts w:ascii="Times New Roman" w:hAnsi="Times New Roman" w:cs="Times New Roman"/>
                <w:b/>
                <w:sz w:val="24"/>
                <w:szCs w:val="24"/>
                <w:lang w:val="en-US"/>
              </w:rPr>
            </w:pPr>
            <w:r w:rsidRPr="00300951">
              <w:rPr>
                <w:rFonts w:ascii="Times New Roman" w:hAnsi="Times New Roman" w:cs="Times New Roman"/>
                <w:b/>
                <w:sz w:val="24"/>
                <w:szCs w:val="24"/>
                <w:lang w:val="en-US"/>
              </w:rPr>
              <w:t>Author, year</w:t>
            </w:r>
          </w:p>
        </w:tc>
        <w:tc>
          <w:tcPr>
            <w:tcW w:w="4473" w:type="dxa"/>
          </w:tcPr>
          <w:p w14:paraId="7142E313" w14:textId="77777777" w:rsidR="00564A50" w:rsidRPr="00300951" w:rsidRDefault="00564A50" w:rsidP="00E26950">
            <w:pPr>
              <w:spacing w:line="360" w:lineRule="auto"/>
              <w:jc w:val="center"/>
              <w:rPr>
                <w:rFonts w:ascii="Times New Roman" w:hAnsi="Times New Roman" w:cs="Times New Roman"/>
                <w:b/>
                <w:sz w:val="24"/>
                <w:szCs w:val="24"/>
                <w:lang w:val="en-US"/>
              </w:rPr>
            </w:pPr>
            <w:r w:rsidRPr="00300951">
              <w:rPr>
                <w:rFonts w:ascii="Times New Roman" w:hAnsi="Times New Roman" w:cs="Times New Roman"/>
                <w:b/>
                <w:sz w:val="24"/>
                <w:szCs w:val="24"/>
                <w:lang w:val="en-US"/>
              </w:rPr>
              <w:t>Title</w:t>
            </w:r>
          </w:p>
        </w:tc>
        <w:tc>
          <w:tcPr>
            <w:tcW w:w="2138" w:type="dxa"/>
          </w:tcPr>
          <w:p w14:paraId="2E0E3B33" w14:textId="77777777" w:rsidR="00564A50" w:rsidRPr="00300951" w:rsidRDefault="00564A50" w:rsidP="00E26950">
            <w:pPr>
              <w:spacing w:line="360" w:lineRule="auto"/>
              <w:jc w:val="center"/>
              <w:rPr>
                <w:rFonts w:ascii="Times New Roman" w:hAnsi="Times New Roman" w:cs="Times New Roman"/>
                <w:b/>
                <w:sz w:val="24"/>
                <w:szCs w:val="24"/>
                <w:lang w:val="en-US"/>
              </w:rPr>
            </w:pPr>
            <w:r w:rsidRPr="00300951">
              <w:rPr>
                <w:rFonts w:ascii="Times New Roman" w:hAnsi="Times New Roman" w:cs="Times New Roman"/>
                <w:b/>
                <w:sz w:val="24"/>
                <w:szCs w:val="24"/>
                <w:lang w:val="en-US"/>
              </w:rPr>
              <w:t>Reason for exclusion</w:t>
            </w:r>
          </w:p>
        </w:tc>
      </w:tr>
      <w:tr w:rsidR="00564A50" w:rsidRPr="00300951" w14:paraId="51510032" w14:textId="77777777" w:rsidTr="00E26950">
        <w:tc>
          <w:tcPr>
            <w:tcW w:w="603" w:type="dxa"/>
          </w:tcPr>
          <w:p w14:paraId="2C9CF994"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D1F7BB5"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Abnave, 2019</w:t>
            </w:r>
          </w:p>
        </w:tc>
        <w:tc>
          <w:tcPr>
            <w:tcW w:w="4473" w:type="dxa"/>
          </w:tcPr>
          <w:p w14:paraId="5BD99988" w14:textId="5ABAD83E"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 xml:space="preserve">Comparison of </w:t>
            </w:r>
            <w:r w:rsidR="00797F0A" w:rsidRPr="00300951">
              <w:rPr>
                <w:rFonts w:ascii="Times New Roman" w:hAnsi="Times New Roman" w:cs="Times New Roman"/>
                <w:sz w:val="24"/>
                <w:szCs w:val="24"/>
                <w:lang w:val="en-US"/>
              </w:rPr>
              <w:t>short-term</w:t>
            </w:r>
            <w:r w:rsidRPr="00300951">
              <w:rPr>
                <w:rFonts w:ascii="Times New Roman" w:hAnsi="Times New Roman" w:cs="Times New Roman"/>
                <w:sz w:val="24"/>
                <w:szCs w:val="24"/>
                <w:lang w:val="en-US"/>
              </w:rPr>
              <w:t xml:space="preserve"> outcomes in stable extremely preterm infants managed with and without umbilical catheters</w:t>
            </w:r>
          </w:p>
        </w:tc>
        <w:tc>
          <w:tcPr>
            <w:tcW w:w="2138" w:type="dxa"/>
          </w:tcPr>
          <w:p w14:paraId="45E3DAE3"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 comparison group (PICC)</w:t>
            </w:r>
          </w:p>
        </w:tc>
      </w:tr>
      <w:tr w:rsidR="00564A50" w:rsidRPr="00300951" w14:paraId="42832455" w14:textId="77777777" w:rsidTr="00E26950">
        <w:tc>
          <w:tcPr>
            <w:tcW w:w="603" w:type="dxa"/>
          </w:tcPr>
          <w:p w14:paraId="2B814DD0"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A9301A0"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Abreu, 2011</w:t>
            </w:r>
          </w:p>
        </w:tc>
        <w:tc>
          <w:tcPr>
            <w:tcW w:w="4473" w:type="dxa"/>
          </w:tcPr>
          <w:p w14:paraId="14B22188"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Continuous quality improvement program on healthcare-associated infections in a neonatal intensive care unit: A 16-year experience</w:t>
            </w:r>
          </w:p>
        </w:tc>
        <w:tc>
          <w:tcPr>
            <w:tcW w:w="2138" w:type="dxa"/>
          </w:tcPr>
          <w:p w14:paraId="10BD200C"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study design (Quality improvement)</w:t>
            </w:r>
          </w:p>
        </w:tc>
      </w:tr>
      <w:tr w:rsidR="00564A50" w:rsidRPr="00300951" w14:paraId="2D8D4482" w14:textId="77777777" w:rsidTr="00E26950">
        <w:tc>
          <w:tcPr>
            <w:tcW w:w="603" w:type="dxa"/>
          </w:tcPr>
          <w:p w14:paraId="3C159EA8"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4745B57"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Anikin, 2016</w:t>
            </w:r>
          </w:p>
        </w:tc>
        <w:tc>
          <w:tcPr>
            <w:tcW w:w="4473" w:type="dxa"/>
          </w:tcPr>
          <w:p w14:paraId="1EE0D6F3"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Safety and effectiveness of central venous catheters usage in newborns intensive care unit</w:t>
            </w:r>
          </w:p>
        </w:tc>
        <w:tc>
          <w:tcPr>
            <w:tcW w:w="2138" w:type="dxa"/>
          </w:tcPr>
          <w:p w14:paraId="32A2E08D"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 comparison group (PICC)</w:t>
            </w:r>
          </w:p>
        </w:tc>
      </w:tr>
      <w:tr w:rsidR="00564A50" w:rsidRPr="00300951" w14:paraId="2CBC57FB" w14:textId="77777777" w:rsidTr="00E26950">
        <w:tc>
          <w:tcPr>
            <w:tcW w:w="603" w:type="dxa"/>
          </w:tcPr>
          <w:p w14:paraId="1F8A0D6A"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0E315B5A"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Arnts, 2014</w:t>
            </w:r>
          </w:p>
        </w:tc>
        <w:tc>
          <w:tcPr>
            <w:tcW w:w="4473" w:type="dxa"/>
          </w:tcPr>
          <w:p w14:paraId="168A35E2"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Comparison of Complication Rates Between Umbilical and Peripherally Inserted Central Venous Catheters in Newborns</w:t>
            </w:r>
          </w:p>
        </w:tc>
        <w:tc>
          <w:tcPr>
            <w:tcW w:w="2138" w:type="dxa"/>
          </w:tcPr>
          <w:p w14:paraId="4F41DCB1"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E9177F" w:rsidRPr="00300951" w14:paraId="29A6BDE7" w14:textId="77777777" w:rsidTr="00E26950">
        <w:tc>
          <w:tcPr>
            <w:tcW w:w="603" w:type="dxa"/>
          </w:tcPr>
          <w:p w14:paraId="69798DA4" w14:textId="77777777" w:rsidR="00E9177F" w:rsidRPr="00300951" w:rsidRDefault="00E9177F"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773BC1D6" w14:textId="3286721E" w:rsidR="00E9177F" w:rsidRPr="00300951" w:rsidRDefault="00E9177F" w:rsidP="00E2695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Ayala, 2025</w:t>
            </w:r>
          </w:p>
        </w:tc>
        <w:tc>
          <w:tcPr>
            <w:tcW w:w="4473" w:type="dxa"/>
          </w:tcPr>
          <w:p w14:paraId="4A883936" w14:textId="02128B8D" w:rsidR="00E9177F" w:rsidRPr="00300951" w:rsidRDefault="00E9177F" w:rsidP="00E26950">
            <w:pPr>
              <w:spacing w:line="360" w:lineRule="auto"/>
              <w:rPr>
                <w:rFonts w:ascii="Times New Roman" w:hAnsi="Times New Roman" w:cs="Times New Roman"/>
                <w:sz w:val="24"/>
                <w:szCs w:val="24"/>
                <w:lang w:val="en-US"/>
              </w:rPr>
            </w:pPr>
            <w:r w:rsidRPr="00E9177F">
              <w:rPr>
                <w:rFonts w:ascii="Times New Roman" w:hAnsi="Times New Roman" w:cs="Times New Roman"/>
                <w:sz w:val="24"/>
                <w:szCs w:val="24"/>
                <w:lang w:val="en-US"/>
              </w:rPr>
              <w:t>Central line-associated bloodstream infections (CLABSI) in pediatric and neonatal intensive care units-The VINCat program 2013-2022.</w:t>
            </w:r>
          </w:p>
        </w:tc>
        <w:tc>
          <w:tcPr>
            <w:tcW w:w="2138" w:type="dxa"/>
          </w:tcPr>
          <w:p w14:paraId="670799DE" w14:textId="17DC20FD" w:rsidR="00E9177F" w:rsidRPr="00300951" w:rsidRDefault="00EF5275"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 comparison group (UVC)</w:t>
            </w:r>
          </w:p>
        </w:tc>
      </w:tr>
      <w:tr w:rsidR="00564A50" w:rsidRPr="00300951" w14:paraId="232E2D8D" w14:textId="77777777" w:rsidTr="00E26950">
        <w:tc>
          <w:tcPr>
            <w:tcW w:w="603" w:type="dxa"/>
          </w:tcPr>
          <w:p w14:paraId="5087FE51"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0C3443DE"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Bizzaro, 2010</w:t>
            </w:r>
          </w:p>
        </w:tc>
        <w:tc>
          <w:tcPr>
            <w:tcW w:w="4473" w:type="dxa"/>
          </w:tcPr>
          <w:p w14:paraId="4C1C5857"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 Quality Improvement Initiative to Reduce Central Line-Associated Bloodstream Infections in a Neonatal Intensive Care Unit</w:t>
            </w:r>
          </w:p>
        </w:tc>
        <w:tc>
          <w:tcPr>
            <w:tcW w:w="2138" w:type="dxa"/>
          </w:tcPr>
          <w:p w14:paraId="7675E063"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Comparative data not available</w:t>
            </w:r>
          </w:p>
        </w:tc>
      </w:tr>
      <w:tr w:rsidR="00564A50" w:rsidRPr="00300951" w14:paraId="1535A093" w14:textId="77777777" w:rsidTr="00E26950">
        <w:tc>
          <w:tcPr>
            <w:tcW w:w="603" w:type="dxa"/>
          </w:tcPr>
          <w:p w14:paraId="3D96502A" w14:textId="77777777" w:rsidR="00564A50" w:rsidRPr="00300951" w:rsidRDefault="00564A50" w:rsidP="00E2695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4A8E4235"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Butler-O'Hara, 2012</w:t>
            </w:r>
          </w:p>
        </w:tc>
        <w:tc>
          <w:tcPr>
            <w:tcW w:w="4473" w:type="dxa"/>
          </w:tcPr>
          <w:p w14:paraId="4E8EDB1F"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An evidence-based catheter bundle alters central venous catheter strategy in newborn infants</w:t>
            </w:r>
          </w:p>
        </w:tc>
        <w:tc>
          <w:tcPr>
            <w:tcW w:w="2138" w:type="dxa"/>
          </w:tcPr>
          <w:p w14:paraId="5979155E" w14:textId="77777777" w:rsidR="00564A50" w:rsidRPr="00300951" w:rsidRDefault="00564A50" w:rsidP="00E2695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 xml:space="preserve">Wrong intervention (early UVC removal and </w:t>
            </w:r>
            <w:r w:rsidRPr="00300951">
              <w:rPr>
                <w:rFonts w:ascii="Times New Roman" w:hAnsi="Times New Roman" w:cs="Times New Roman"/>
                <w:sz w:val="24"/>
                <w:szCs w:val="24"/>
                <w:lang w:val="en-US"/>
              </w:rPr>
              <w:lastRenderedPageBreak/>
              <w:t>replacement with PICC)</w:t>
            </w:r>
          </w:p>
        </w:tc>
      </w:tr>
      <w:tr w:rsidR="00251290" w:rsidRPr="00300951" w14:paraId="627C414D" w14:textId="77777777" w:rsidTr="00E26950">
        <w:tc>
          <w:tcPr>
            <w:tcW w:w="603" w:type="dxa"/>
          </w:tcPr>
          <w:p w14:paraId="53375069"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0C14C083" w14:textId="2F7FF974" w:rsidR="00251290" w:rsidRPr="00300951" w:rsidRDefault="00251290" w:rsidP="00251290">
            <w:pPr>
              <w:spacing w:line="360" w:lineRule="auto"/>
              <w:rPr>
                <w:rFonts w:ascii="Times New Roman" w:hAnsi="Times New Roman" w:cs="Times New Roman"/>
                <w:sz w:val="24"/>
                <w:szCs w:val="24"/>
                <w:lang w:val="en-US"/>
              </w:rPr>
            </w:pPr>
            <w:r w:rsidRPr="00634E08">
              <w:rPr>
                <w:rFonts w:ascii="Times New Roman" w:hAnsi="Times New Roman" w:cs="Times New Roman"/>
                <w:sz w:val="24"/>
                <w:szCs w:val="24"/>
                <w:lang w:val="en-US"/>
              </w:rPr>
              <w:t>Buttera</w:t>
            </w:r>
            <w:r>
              <w:rPr>
                <w:rFonts w:ascii="Times New Roman" w:hAnsi="Times New Roman" w:cs="Times New Roman"/>
                <w:sz w:val="24"/>
                <w:szCs w:val="24"/>
                <w:lang w:val="en-US"/>
              </w:rPr>
              <w:t>, 2025</w:t>
            </w:r>
          </w:p>
        </w:tc>
        <w:tc>
          <w:tcPr>
            <w:tcW w:w="4473" w:type="dxa"/>
          </w:tcPr>
          <w:p w14:paraId="132A1871" w14:textId="684DFBB7" w:rsidR="00251290" w:rsidRPr="00300951" w:rsidRDefault="00251290" w:rsidP="00251290">
            <w:pPr>
              <w:spacing w:line="360" w:lineRule="auto"/>
              <w:rPr>
                <w:rFonts w:ascii="Times New Roman" w:hAnsi="Times New Roman" w:cs="Times New Roman"/>
                <w:sz w:val="24"/>
                <w:szCs w:val="24"/>
                <w:lang w:val="en-US"/>
              </w:rPr>
            </w:pPr>
            <w:r w:rsidRPr="00634E08">
              <w:rPr>
                <w:rFonts w:ascii="Times New Roman" w:hAnsi="Times New Roman" w:cs="Times New Roman"/>
                <w:sz w:val="24"/>
                <w:szCs w:val="24"/>
                <w:lang w:val="en-US"/>
              </w:rPr>
              <w:t>The impact of central line-specific dwell-times for neonatal central line associated bloodstream infections.</w:t>
            </w:r>
          </w:p>
        </w:tc>
        <w:tc>
          <w:tcPr>
            <w:tcW w:w="2138" w:type="dxa"/>
          </w:tcPr>
          <w:p w14:paraId="50F85907" w14:textId="35977923"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727957C4" w14:textId="77777777" w:rsidTr="00E26950">
        <w:tc>
          <w:tcPr>
            <w:tcW w:w="603" w:type="dxa"/>
          </w:tcPr>
          <w:p w14:paraId="455DF0AF"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FE735C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Catho, 2021</w:t>
            </w:r>
          </w:p>
        </w:tc>
        <w:tc>
          <w:tcPr>
            <w:tcW w:w="4473" w:type="dxa"/>
          </w:tcPr>
          <w:p w14:paraId="2406E2B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Risk of catheter associated bloodstream infection by catheter type in neonatal intensive care unit</w:t>
            </w:r>
          </w:p>
        </w:tc>
        <w:tc>
          <w:tcPr>
            <w:tcW w:w="2138" w:type="dxa"/>
          </w:tcPr>
          <w:p w14:paraId="37347500"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36788B16" w14:textId="77777777" w:rsidTr="00E26950">
        <w:tc>
          <w:tcPr>
            <w:tcW w:w="603" w:type="dxa"/>
          </w:tcPr>
          <w:p w14:paraId="3428E115"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F4FA53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Chaudhari, 2017</w:t>
            </w:r>
          </w:p>
        </w:tc>
        <w:tc>
          <w:tcPr>
            <w:tcW w:w="4473" w:type="dxa"/>
          </w:tcPr>
          <w:p w14:paraId="4D83015B" w14:textId="0340042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Central line associated blood stream infections (CLABSI) in Nicu following introduction of a central line bundle</w:t>
            </w:r>
          </w:p>
        </w:tc>
        <w:tc>
          <w:tcPr>
            <w:tcW w:w="2138" w:type="dxa"/>
          </w:tcPr>
          <w:p w14:paraId="35D7E4FD"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Comparative data not available</w:t>
            </w:r>
          </w:p>
        </w:tc>
      </w:tr>
      <w:tr w:rsidR="00251290" w:rsidRPr="00300951" w14:paraId="736F4691" w14:textId="77777777" w:rsidTr="00E26950">
        <w:tc>
          <w:tcPr>
            <w:tcW w:w="603" w:type="dxa"/>
          </w:tcPr>
          <w:p w14:paraId="497CA847"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4E508B1A"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Chenoweth, 2018</w:t>
            </w:r>
          </w:p>
        </w:tc>
        <w:tc>
          <w:tcPr>
            <w:tcW w:w="4473" w:type="dxa"/>
          </w:tcPr>
          <w:p w14:paraId="02F5401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The Extended Dwell Peripheral Intravenous Catheter Is an Alternative Method of NICU Intravenous Access</w:t>
            </w:r>
          </w:p>
        </w:tc>
        <w:tc>
          <w:tcPr>
            <w:tcW w:w="2138" w:type="dxa"/>
          </w:tcPr>
          <w:p w14:paraId="15A8451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 comparison group (UVC)</w:t>
            </w:r>
          </w:p>
        </w:tc>
      </w:tr>
      <w:tr w:rsidR="00251290" w:rsidRPr="00300951" w14:paraId="1B6D9D09" w14:textId="77777777" w:rsidTr="00E26950">
        <w:tc>
          <w:tcPr>
            <w:tcW w:w="603" w:type="dxa"/>
          </w:tcPr>
          <w:p w14:paraId="0EF316E6"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EC2308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Chien, 2002</w:t>
            </w:r>
          </w:p>
        </w:tc>
        <w:tc>
          <w:tcPr>
            <w:tcW w:w="4473" w:type="dxa"/>
          </w:tcPr>
          <w:p w14:paraId="1ACC5CA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Variations in central venous catheter-related infection risks among Canadian neonatal intensive care units</w:t>
            </w:r>
          </w:p>
        </w:tc>
        <w:tc>
          <w:tcPr>
            <w:tcW w:w="2138" w:type="dxa"/>
          </w:tcPr>
          <w:p w14:paraId="2D0B093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58D7163D" w14:textId="77777777" w:rsidTr="00E26950">
        <w:tc>
          <w:tcPr>
            <w:tcW w:w="603" w:type="dxa"/>
          </w:tcPr>
          <w:p w14:paraId="572E2721"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09FF40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CTRI</w:t>
            </w:r>
          </w:p>
        </w:tc>
        <w:tc>
          <w:tcPr>
            <w:tcW w:w="4473" w:type="dxa"/>
          </w:tcPr>
          <w:p w14:paraId="3362997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Comparison of umbilical venous catheter and peripherally inserted central catheter in newborn babies</w:t>
            </w:r>
          </w:p>
        </w:tc>
        <w:tc>
          <w:tcPr>
            <w:tcW w:w="2138" w:type="dxa"/>
          </w:tcPr>
          <w:p w14:paraId="68A68F5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Trial protocol (study published)</w:t>
            </w:r>
          </w:p>
        </w:tc>
      </w:tr>
      <w:tr w:rsidR="00251290" w:rsidRPr="00300951" w14:paraId="612EA93B" w14:textId="77777777" w:rsidTr="00E26950">
        <w:tc>
          <w:tcPr>
            <w:tcW w:w="603" w:type="dxa"/>
          </w:tcPr>
          <w:p w14:paraId="4E7CFD1F"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C077BBC" w14:textId="77777777" w:rsidR="00251290" w:rsidRPr="00300951" w:rsidRDefault="00251290" w:rsidP="00251290">
            <w:pPr>
              <w:spacing w:line="360" w:lineRule="auto"/>
              <w:rPr>
                <w:rFonts w:ascii="Times New Roman" w:hAnsi="Times New Roman" w:cs="Times New Roman"/>
                <w:sz w:val="24"/>
                <w:szCs w:val="24"/>
              </w:rPr>
            </w:pPr>
            <w:r w:rsidRPr="00300951">
              <w:rPr>
                <w:rFonts w:ascii="Times New Roman" w:hAnsi="Times New Roman" w:cs="Times New Roman"/>
                <w:sz w:val="24"/>
                <w:szCs w:val="24"/>
                <w:lang w:val="en-US"/>
              </w:rPr>
              <w:t>CTRI</w:t>
            </w:r>
          </w:p>
        </w:tc>
        <w:tc>
          <w:tcPr>
            <w:tcW w:w="4473" w:type="dxa"/>
          </w:tcPr>
          <w:p w14:paraId="36229D3C"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Comparison of central lines in preventing infections in preterm infants</w:t>
            </w:r>
          </w:p>
        </w:tc>
        <w:tc>
          <w:tcPr>
            <w:tcW w:w="2138" w:type="dxa"/>
          </w:tcPr>
          <w:p w14:paraId="68F6DAA4" w14:textId="77777777" w:rsidR="00251290" w:rsidRPr="00300951" w:rsidRDefault="00251290" w:rsidP="00251290">
            <w:pPr>
              <w:spacing w:line="360" w:lineRule="auto"/>
              <w:rPr>
                <w:rFonts w:ascii="Times New Roman" w:hAnsi="Times New Roman" w:cs="Times New Roman"/>
                <w:sz w:val="24"/>
                <w:szCs w:val="24"/>
              </w:rPr>
            </w:pPr>
            <w:r w:rsidRPr="00300951">
              <w:rPr>
                <w:rFonts w:ascii="Times New Roman" w:hAnsi="Times New Roman" w:cs="Times New Roman"/>
                <w:sz w:val="24"/>
                <w:szCs w:val="24"/>
                <w:lang w:val="en-US"/>
              </w:rPr>
              <w:t xml:space="preserve">Trial protocol (study published) </w:t>
            </w:r>
          </w:p>
        </w:tc>
      </w:tr>
      <w:tr w:rsidR="00251290" w:rsidRPr="00300951" w14:paraId="24A65BCF" w14:textId="77777777" w:rsidTr="00E26950">
        <w:tc>
          <w:tcPr>
            <w:tcW w:w="603" w:type="dxa"/>
          </w:tcPr>
          <w:p w14:paraId="561F2C9A"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04FEE691" w14:textId="77777777" w:rsidR="00251290" w:rsidRPr="00300951" w:rsidRDefault="00251290" w:rsidP="00251290">
            <w:pPr>
              <w:spacing w:line="360" w:lineRule="auto"/>
              <w:rPr>
                <w:rFonts w:ascii="Times New Roman" w:hAnsi="Times New Roman" w:cs="Times New Roman"/>
                <w:sz w:val="24"/>
                <w:szCs w:val="24"/>
              </w:rPr>
            </w:pPr>
            <w:r w:rsidRPr="00300951">
              <w:rPr>
                <w:rFonts w:ascii="Times New Roman" w:hAnsi="Times New Roman" w:cs="Times New Roman"/>
                <w:sz w:val="24"/>
                <w:szCs w:val="24"/>
                <w:lang w:val="en-US"/>
              </w:rPr>
              <w:t>CTRI</w:t>
            </w:r>
          </w:p>
        </w:tc>
        <w:tc>
          <w:tcPr>
            <w:tcW w:w="4473" w:type="dxa"/>
          </w:tcPr>
          <w:p w14:paraId="41DFFB41"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To see whether umbilical venous catheter (uvc) or peripherally inserted central catheter (picc)is better to reduce neonatal sepsis in low birth weight babies in NICU</w:t>
            </w:r>
          </w:p>
        </w:tc>
        <w:tc>
          <w:tcPr>
            <w:tcW w:w="2138" w:type="dxa"/>
          </w:tcPr>
          <w:p w14:paraId="48B6B764" w14:textId="77777777" w:rsidR="00251290" w:rsidRPr="00300951" w:rsidRDefault="00251290" w:rsidP="00251290">
            <w:pPr>
              <w:spacing w:line="360" w:lineRule="auto"/>
              <w:rPr>
                <w:rFonts w:ascii="Times New Roman" w:hAnsi="Times New Roman" w:cs="Times New Roman"/>
                <w:sz w:val="24"/>
                <w:szCs w:val="24"/>
              </w:rPr>
            </w:pPr>
            <w:r w:rsidRPr="00300951">
              <w:rPr>
                <w:rFonts w:ascii="Times New Roman" w:hAnsi="Times New Roman" w:cs="Times New Roman"/>
                <w:sz w:val="24"/>
                <w:szCs w:val="24"/>
                <w:lang w:val="en-US"/>
              </w:rPr>
              <w:t>Trial protocol (study published)</w:t>
            </w:r>
          </w:p>
        </w:tc>
      </w:tr>
      <w:tr w:rsidR="00251290" w:rsidRPr="00300951" w14:paraId="2DE98A45" w14:textId="77777777" w:rsidTr="00E26950">
        <w:tc>
          <w:tcPr>
            <w:tcW w:w="603" w:type="dxa"/>
          </w:tcPr>
          <w:p w14:paraId="1D1CDDEE"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777AC31B"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Dahan, 2016</w:t>
            </w:r>
          </w:p>
        </w:tc>
        <w:tc>
          <w:tcPr>
            <w:tcW w:w="4473" w:type="dxa"/>
          </w:tcPr>
          <w:p w14:paraId="3B9BE63C"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CLABSI Risk Factors in the NICU: Potential for Prevention: A PICNIC Study</w:t>
            </w:r>
          </w:p>
        </w:tc>
        <w:tc>
          <w:tcPr>
            <w:tcW w:w="2138" w:type="dxa"/>
          </w:tcPr>
          <w:p w14:paraId="66DC565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 comparison group (UVC)</w:t>
            </w:r>
          </w:p>
        </w:tc>
      </w:tr>
      <w:tr w:rsidR="00251290" w:rsidRPr="00300951" w14:paraId="671345A7" w14:textId="77777777" w:rsidTr="00E26950">
        <w:tc>
          <w:tcPr>
            <w:tcW w:w="603" w:type="dxa"/>
          </w:tcPr>
          <w:p w14:paraId="736A4F28"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506BA66B"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de Brito, 2010</w:t>
            </w:r>
          </w:p>
        </w:tc>
        <w:tc>
          <w:tcPr>
            <w:tcW w:w="4473" w:type="dxa"/>
          </w:tcPr>
          <w:p w14:paraId="4CDC3E7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Occurrence of bloodstream infection with different types of central vascular catheter in critically neonates</w:t>
            </w:r>
          </w:p>
        </w:tc>
        <w:tc>
          <w:tcPr>
            <w:tcW w:w="2138" w:type="dxa"/>
          </w:tcPr>
          <w:p w14:paraId="38566FF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0F4CA031" w14:textId="77777777" w:rsidTr="00E26950">
        <w:tc>
          <w:tcPr>
            <w:tcW w:w="603" w:type="dxa"/>
          </w:tcPr>
          <w:p w14:paraId="69640476"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D0C192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Elabbasy, 2024</w:t>
            </w:r>
          </w:p>
        </w:tc>
        <w:tc>
          <w:tcPr>
            <w:tcW w:w="4473" w:type="dxa"/>
          </w:tcPr>
          <w:p w14:paraId="142ECC4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Central venous catheter insertion profile and complications among neonates in Saudi Arabia: a cross-sectional study</w:t>
            </w:r>
          </w:p>
        </w:tc>
        <w:tc>
          <w:tcPr>
            <w:tcW w:w="2138" w:type="dxa"/>
          </w:tcPr>
          <w:p w14:paraId="625FC670"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5F9F856E" w14:textId="77777777" w:rsidTr="00E26950">
        <w:tc>
          <w:tcPr>
            <w:tcW w:w="603" w:type="dxa"/>
          </w:tcPr>
          <w:p w14:paraId="09AA21B0"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5EDB2504"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Esmaeilizand, 2015</w:t>
            </w:r>
          </w:p>
        </w:tc>
        <w:tc>
          <w:tcPr>
            <w:tcW w:w="4473" w:type="dxa"/>
          </w:tcPr>
          <w:p w14:paraId="1828009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Utilization of central lines in Canadian neonatal intensive care units</w:t>
            </w:r>
          </w:p>
        </w:tc>
        <w:tc>
          <w:tcPr>
            <w:tcW w:w="2138" w:type="dxa"/>
          </w:tcPr>
          <w:p w14:paraId="51AC720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Conference abstract with no formal publication</w:t>
            </w:r>
          </w:p>
        </w:tc>
      </w:tr>
      <w:tr w:rsidR="00251290" w:rsidRPr="00300951" w14:paraId="224E617E" w14:textId="77777777" w:rsidTr="00E26950">
        <w:tc>
          <w:tcPr>
            <w:tcW w:w="603" w:type="dxa"/>
          </w:tcPr>
          <w:p w14:paraId="05CEB5B7"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661DDE6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Gupta, 2021</w:t>
            </w:r>
          </w:p>
        </w:tc>
        <w:tc>
          <w:tcPr>
            <w:tcW w:w="4473" w:type="dxa"/>
          </w:tcPr>
          <w:p w14:paraId="22EA2D13"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Which long line do we use in very low birth weight neonates; Umbilical venous catheter or peripherally inserted central catheter?</w:t>
            </w:r>
          </w:p>
        </w:tc>
        <w:tc>
          <w:tcPr>
            <w:tcW w:w="2138" w:type="dxa"/>
          </w:tcPr>
          <w:p w14:paraId="0CCFFDF5"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(compared &lt;7 days CVC with &gt;7 days CVC duration)</w:t>
            </w:r>
          </w:p>
        </w:tc>
      </w:tr>
      <w:tr w:rsidR="00251290" w:rsidRPr="00300951" w14:paraId="007A7162" w14:textId="77777777" w:rsidTr="00E26950">
        <w:tc>
          <w:tcPr>
            <w:tcW w:w="603" w:type="dxa"/>
          </w:tcPr>
          <w:p w14:paraId="33FEEF2C"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562A4100"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Hussain, 2017</w:t>
            </w:r>
          </w:p>
        </w:tc>
        <w:tc>
          <w:tcPr>
            <w:tcW w:w="4473" w:type="dxa"/>
          </w:tcPr>
          <w:p w14:paraId="2E0C8AEC"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5 Year surveillance of CLABSI in a tertiary care private sector nicu in Pakistan</w:t>
            </w:r>
          </w:p>
        </w:tc>
        <w:tc>
          <w:tcPr>
            <w:tcW w:w="2138" w:type="dxa"/>
          </w:tcPr>
          <w:p w14:paraId="323A451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Conference abstract with no formal publication</w:t>
            </w:r>
          </w:p>
        </w:tc>
      </w:tr>
      <w:tr w:rsidR="00251290" w:rsidRPr="00300951" w14:paraId="2D2D6A7D" w14:textId="77777777" w:rsidTr="00E26950">
        <w:tc>
          <w:tcPr>
            <w:tcW w:w="603" w:type="dxa"/>
          </w:tcPr>
          <w:p w14:paraId="745C7C23"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B134C1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Konstantinidi, 2019</w:t>
            </w:r>
          </w:p>
        </w:tc>
        <w:tc>
          <w:tcPr>
            <w:tcW w:w="4473" w:type="dxa"/>
          </w:tcPr>
          <w:p w14:paraId="4E5BF49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Umbilical Venous Catheters and Peripherally Inserted Central Catheters: Are They Equally Safe in VLBW Infants? A Non-Randomized Single Center Study</w:t>
            </w:r>
          </w:p>
        </w:tc>
        <w:tc>
          <w:tcPr>
            <w:tcW w:w="2138" w:type="dxa"/>
          </w:tcPr>
          <w:p w14:paraId="38C3089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 placed only when UVC placement unsuccessful or UVC removed early due to complication)</w:t>
            </w:r>
          </w:p>
        </w:tc>
      </w:tr>
      <w:tr w:rsidR="003E49F6" w:rsidRPr="00300951" w14:paraId="7654D439" w14:textId="77777777" w:rsidTr="00E26950">
        <w:tc>
          <w:tcPr>
            <w:tcW w:w="603" w:type="dxa"/>
          </w:tcPr>
          <w:p w14:paraId="13F78751" w14:textId="77777777" w:rsidR="003E49F6" w:rsidRPr="00300951" w:rsidRDefault="003E49F6"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1A0EEA72" w14:textId="1122D191" w:rsidR="003E49F6" w:rsidRPr="00300951" w:rsidRDefault="003E49F6" w:rsidP="0025129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Krishna, 2025</w:t>
            </w:r>
          </w:p>
        </w:tc>
        <w:tc>
          <w:tcPr>
            <w:tcW w:w="4473" w:type="dxa"/>
          </w:tcPr>
          <w:p w14:paraId="5B37603A" w14:textId="77777777" w:rsidR="00FC57DC" w:rsidRPr="00FC57DC" w:rsidRDefault="00FC57DC" w:rsidP="00FC57DC">
            <w:pPr>
              <w:spacing w:line="360" w:lineRule="auto"/>
              <w:rPr>
                <w:rFonts w:ascii="Times New Roman" w:hAnsi="Times New Roman" w:cs="Times New Roman"/>
                <w:sz w:val="24"/>
                <w:szCs w:val="24"/>
                <w:lang w:val="en-US"/>
              </w:rPr>
            </w:pPr>
            <w:r w:rsidRPr="00FC57DC">
              <w:rPr>
                <w:rFonts w:ascii="Times New Roman" w:hAnsi="Times New Roman" w:cs="Times New Roman"/>
                <w:sz w:val="24"/>
                <w:szCs w:val="24"/>
                <w:lang w:val="en-US"/>
              </w:rPr>
              <w:t>Comparison of umbilical venous catheter</w:t>
            </w:r>
          </w:p>
          <w:p w14:paraId="76736E5A" w14:textId="77777777" w:rsidR="00FC57DC" w:rsidRPr="00FC57DC" w:rsidRDefault="00FC57DC" w:rsidP="00FC57DC">
            <w:pPr>
              <w:spacing w:line="360" w:lineRule="auto"/>
              <w:rPr>
                <w:rFonts w:ascii="Times New Roman" w:hAnsi="Times New Roman" w:cs="Times New Roman"/>
                <w:sz w:val="24"/>
                <w:szCs w:val="24"/>
                <w:lang w:val="en-US"/>
              </w:rPr>
            </w:pPr>
            <w:r w:rsidRPr="00FC57DC">
              <w:rPr>
                <w:rFonts w:ascii="Times New Roman" w:hAnsi="Times New Roman" w:cs="Times New Roman"/>
                <w:sz w:val="24"/>
                <w:szCs w:val="24"/>
                <w:lang w:val="en-US"/>
              </w:rPr>
              <w:t>with peripherally inserted central catheter</w:t>
            </w:r>
          </w:p>
          <w:p w14:paraId="455D785E" w14:textId="77777777" w:rsidR="00FC57DC" w:rsidRPr="00FC57DC" w:rsidRDefault="00FC57DC" w:rsidP="00FC57DC">
            <w:pPr>
              <w:spacing w:line="360" w:lineRule="auto"/>
              <w:rPr>
                <w:rFonts w:ascii="Times New Roman" w:hAnsi="Times New Roman" w:cs="Times New Roman"/>
                <w:sz w:val="24"/>
                <w:szCs w:val="24"/>
                <w:lang w:val="en-US"/>
              </w:rPr>
            </w:pPr>
            <w:r w:rsidRPr="00FC57DC">
              <w:rPr>
                <w:rFonts w:ascii="Times New Roman" w:hAnsi="Times New Roman" w:cs="Times New Roman"/>
                <w:sz w:val="24"/>
                <w:szCs w:val="24"/>
                <w:lang w:val="en-US"/>
              </w:rPr>
              <w:t>line for reducing neonatal sepsis in low</w:t>
            </w:r>
          </w:p>
          <w:p w14:paraId="2DDF89CA" w14:textId="77777777" w:rsidR="00FC57DC" w:rsidRPr="00FC57DC" w:rsidRDefault="00FC57DC" w:rsidP="00FC57DC">
            <w:pPr>
              <w:spacing w:line="360" w:lineRule="auto"/>
              <w:rPr>
                <w:rFonts w:ascii="Times New Roman" w:hAnsi="Times New Roman" w:cs="Times New Roman"/>
                <w:sz w:val="24"/>
                <w:szCs w:val="24"/>
                <w:lang w:val="en-US"/>
              </w:rPr>
            </w:pPr>
            <w:r w:rsidRPr="00FC57DC">
              <w:rPr>
                <w:rFonts w:ascii="Times New Roman" w:hAnsi="Times New Roman" w:cs="Times New Roman"/>
                <w:sz w:val="24"/>
                <w:szCs w:val="24"/>
                <w:lang w:val="en-US"/>
              </w:rPr>
              <w:t>birth weight babies: A randomized control</w:t>
            </w:r>
          </w:p>
          <w:p w14:paraId="4944DDD9" w14:textId="73B5C37A" w:rsidR="003E49F6" w:rsidRPr="00300951" w:rsidRDefault="00FC57DC" w:rsidP="00FC57DC">
            <w:pPr>
              <w:spacing w:line="360" w:lineRule="auto"/>
              <w:rPr>
                <w:rFonts w:ascii="Times New Roman" w:hAnsi="Times New Roman" w:cs="Times New Roman"/>
                <w:sz w:val="24"/>
                <w:szCs w:val="24"/>
                <w:lang w:val="en-US"/>
              </w:rPr>
            </w:pPr>
            <w:r w:rsidRPr="00FC57DC">
              <w:rPr>
                <w:rFonts w:ascii="Times New Roman" w:hAnsi="Times New Roman" w:cs="Times New Roman"/>
                <w:sz w:val="24"/>
                <w:szCs w:val="24"/>
                <w:lang w:val="en-US"/>
              </w:rPr>
              <w:t>trial</w:t>
            </w:r>
          </w:p>
        </w:tc>
        <w:tc>
          <w:tcPr>
            <w:tcW w:w="2138" w:type="dxa"/>
          </w:tcPr>
          <w:p w14:paraId="71FF9DC7" w14:textId="0FF0A698" w:rsidR="003E49F6" w:rsidRPr="00300951" w:rsidRDefault="00FC57DC" w:rsidP="0025129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Wrong intervention (</w:t>
            </w:r>
            <w:r w:rsidR="00050965">
              <w:rPr>
                <w:rFonts w:ascii="Times New Roman" w:hAnsi="Times New Roman" w:cs="Times New Roman"/>
                <w:sz w:val="24"/>
                <w:szCs w:val="24"/>
                <w:lang w:val="en-US"/>
              </w:rPr>
              <w:t xml:space="preserve">UVC and PICC not primary lines- </w:t>
            </w:r>
            <w:r w:rsidR="003A3CF6">
              <w:rPr>
                <w:rFonts w:ascii="Times New Roman" w:hAnsi="Times New Roman" w:cs="Times New Roman"/>
                <w:sz w:val="24"/>
                <w:szCs w:val="24"/>
                <w:lang w:val="en-US"/>
              </w:rPr>
              <w:t>UVC were i</w:t>
            </w:r>
            <w:r w:rsidR="00050965">
              <w:rPr>
                <w:rFonts w:ascii="Times New Roman" w:hAnsi="Times New Roman" w:cs="Times New Roman"/>
                <w:sz w:val="24"/>
                <w:szCs w:val="24"/>
                <w:lang w:val="en-US"/>
              </w:rPr>
              <w:t>nserted at 19 (21) days</w:t>
            </w:r>
            <w:r w:rsidR="003A3CF6">
              <w:rPr>
                <w:rFonts w:ascii="Times New Roman" w:hAnsi="Times New Roman" w:cs="Times New Roman"/>
                <w:sz w:val="24"/>
                <w:szCs w:val="24"/>
                <w:lang w:val="en-US"/>
              </w:rPr>
              <w:t>, and PICC at 32 (51) days)</w:t>
            </w:r>
            <w:r w:rsidR="00050965">
              <w:rPr>
                <w:rFonts w:ascii="Times New Roman" w:hAnsi="Times New Roman" w:cs="Times New Roman"/>
                <w:sz w:val="24"/>
                <w:szCs w:val="24"/>
                <w:lang w:val="en-US"/>
              </w:rPr>
              <w:t xml:space="preserve"> </w:t>
            </w:r>
          </w:p>
        </w:tc>
      </w:tr>
      <w:tr w:rsidR="00251290" w:rsidRPr="00300951" w14:paraId="35623A11" w14:textId="77777777" w:rsidTr="00E26950">
        <w:tc>
          <w:tcPr>
            <w:tcW w:w="603" w:type="dxa"/>
          </w:tcPr>
          <w:p w14:paraId="425B0AE3"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9BD7943"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McIntyre, 2023</w:t>
            </w:r>
          </w:p>
        </w:tc>
        <w:tc>
          <w:tcPr>
            <w:tcW w:w="4473" w:type="dxa"/>
          </w:tcPr>
          <w:p w14:paraId="34E1CE2A"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Neonatal Vascular Access Practice and Complications: An Observational Study of 1,375 Catheter Days</w:t>
            </w:r>
          </w:p>
        </w:tc>
        <w:tc>
          <w:tcPr>
            <w:tcW w:w="2138" w:type="dxa"/>
          </w:tcPr>
          <w:p w14:paraId="55AEFE65"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3D7BE47C" w14:textId="77777777" w:rsidTr="00E26950">
        <w:tc>
          <w:tcPr>
            <w:tcW w:w="603" w:type="dxa"/>
          </w:tcPr>
          <w:p w14:paraId="145A5BB2"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697C7402"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Neiva, 2010</w:t>
            </w:r>
          </w:p>
        </w:tc>
        <w:tc>
          <w:tcPr>
            <w:tcW w:w="4473" w:type="dxa"/>
          </w:tcPr>
          <w:p w14:paraId="667B615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Central venous catheter in NICU - Prospective surveillance study</w:t>
            </w:r>
          </w:p>
        </w:tc>
        <w:tc>
          <w:tcPr>
            <w:tcW w:w="2138" w:type="dxa"/>
          </w:tcPr>
          <w:p w14:paraId="2652470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Conference abstract with no formal publication</w:t>
            </w:r>
          </w:p>
        </w:tc>
      </w:tr>
      <w:tr w:rsidR="00251290" w:rsidRPr="00300951" w14:paraId="723322AA" w14:textId="77777777" w:rsidTr="00E26950">
        <w:tc>
          <w:tcPr>
            <w:tcW w:w="603" w:type="dxa"/>
          </w:tcPr>
          <w:p w14:paraId="54F93612"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779C4640"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Nielsen, 2022</w:t>
            </w:r>
          </w:p>
        </w:tc>
        <w:tc>
          <w:tcPr>
            <w:tcW w:w="4473" w:type="dxa"/>
          </w:tcPr>
          <w:p w14:paraId="413FECCD"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Central line-associated bloodstream infection in infants admitted to a level lll neonatal intensive care unit</w:t>
            </w:r>
          </w:p>
        </w:tc>
        <w:tc>
          <w:tcPr>
            <w:tcW w:w="2138" w:type="dxa"/>
          </w:tcPr>
          <w:p w14:paraId="4C6C4F83"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463000CF" w14:textId="77777777" w:rsidTr="00E26950">
        <w:tc>
          <w:tcPr>
            <w:tcW w:w="603" w:type="dxa"/>
          </w:tcPr>
          <w:p w14:paraId="2EC5B7F0"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722E467B"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Önal, 2003</w:t>
            </w:r>
          </w:p>
        </w:tc>
        <w:tc>
          <w:tcPr>
            <w:tcW w:w="4473" w:type="dxa"/>
          </w:tcPr>
          <w:p w14:paraId="7452C3C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Clinical experience of central venous catheterization in newborns</w:t>
            </w:r>
          </w:p>
        </w:tc>
        <w:tc>
          <w:tcPr>
            <w:tcW w:w="2138" w:type="dxa"/>
          </w:tcPr>
          <w:p w14:paraId="262DCD7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524952C5" w14:textId="77777777" w:rsidTr="00E26950">
        <w:tc>
          <w:tcPr>
            <w:tcW w:w="603" w:type="dxa"/>
          </w:tcPr>
          <w:p w14:paraId="3A9BCFFA"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06868E4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Phumyeesoon, 2023</w:t>
            </w:r>
          </w:p>
        </w:tc>
        <w:tc>
          <w:tcPr>
            <w:tcW w:w="4473" w:type="dxa"/>
          </w:tcPr>
          <w:p w14:paraId="730DE9B3"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Early Elective Replacement of Umbilical Venous Catheter with Peripherally Inserted Central Catheter to Reduce Central Line-Associated Blood Stream Infections in Premature Infants: A Randomized Trial</w:t>
            </w:r>
          </w:p>
        </w:tc>
        <w:tc>
          <w:tcPr>
            <w:tcW w:w="2138" w:type="dxa"/>
          </w:tcPr>
          <w:p w14:paraId="77CB6E0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(early UVC removal and replacement with PICC)</w:t>
            </w:r>
          </w:p>
        </w:tc>
      </w:tr>
      <w:tr w:rsidR="00251290" w:rsidRPr="00300951" w14:paraId="1709BB48" w14:textId="77777777" w:rsidTr="00E26950">
        <w:tc>
          <w:tcPr>
            <w:tcW w:w="603" w:type="dxa"/>
          </w:tcPr>
          <w:p w14:paraId="61F92103"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D745AF0"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Price, 2014</w:t>
            </w:r>
          </w:p>
        </w:tc>
        <w:tc>
          <w:tcPr>
            <w:tcW w:w="4473" w:type="dxa"/>
          </w:tcPr>
          <w:p w14:paraId="63D183C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Successful reduction of central line-associated bloodstream infections in neonatal intensive care units via 'aim for zero' task force</w:t>
            </w:r>
          </w:p>
        </w:tc>
        <w:tc>
          <w:tcPr>
            <w:tcW w:w="2138" w:type="dxa"/>
          </w:tcPr>
          <w:p w14:paraId="77B933EB"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(Bundle approach to reduce CLABSI)</w:t>
            </w:r>
          </w:p>
        </w:tc>
      </w:tr>
      <w:tr w:rsidR="00251290" w:rsidRPr="00300951" w14:paraId="25D9825D" w14:textId="77777777" w:rsidTr="00E26950">
        <w:tc>
          <w:tcPr>
            <w:tcW w:w="603" w:type="dxa"/>
          </w:tcPr>
          <w:p w14:paraId="6B6264D6"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8C361F9"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Riskin, 2022</w:t>
            </w:r>
          </w:p>
        </w:tc>
        <w:tc>
          <w:tcPr>
            <w:tcW w:w="4473" w:type="dxa"/>
          </w:tcPr>
          <w:p w14:paraId="3A926D9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An Observational Study on the Use of Peripheral Intravenous Lines vs. Central Lines in a Neonatal Intensive Care Unit</w:t>
            </w:r>
          </w:p>
        </w:tc>
        <w:tc>
          <w:tcPr>
            <w:tcW w:w="2138" w:type="dxa"/>
          </w:tcPr>
          <w:p w14:paraId="1E83156C"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(Peripheral intravenous lines versus central lines)</w:t>
            </w:r>
          </w:p>
        </w:tc>
      </w:tr>
      <w:tr w:rsidR="00251290" w:rsidRPr="00300951" w14:paraId="48F7D82E" w14:textId="77777777" w:rsidTr="00E26950">
        <w:tc>
          <w:tcPr>
            <w:tcW w:w="603" w:type="dxa"/>
          </w:tcPr>
          <w:p w14:paraId="246AF11E"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5B0E2B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Salonen, 2023</w:t>
            </w:r>
          </w:p>
        </w:tc>
        <w:tc>
          <w:tcPr>
            <w:tcW w:w="4473" w:type="dxa"/>
          </w:tcPr>
          <w:p w14:paraId="5DF75A81"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Umbilically and Peripherally Inserted Thin Central Venous Catheters Have Similar Risks of Complications in Very Low-Birth-Weight Infants</w:t>
            </w:r>
          </w:p>
        </w:tc>
        <w:tc>
          <w:tcPr>
            <w:tcW w:w="2138" w:type="dxa"/>
          </w:tcPr>
          <w:p w14:paraId="7557EBA4"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(thin UVC versus PICC)</w:t>
            </w:r>
          </w:p>
        </w:tc>
      </w:tr>
      <w:tr w:rsidR="00251290" w:rsidRPr="00300951" w14:paraId="6753D05F" w14:textId="77777777" w:rsidTr="00E26950">
        <w:tc>
          <w:tcPr>
            <w:tcW w:w="603" w:type="dxa"/>
          </w:tcPr>
          <w:p w14:paraId="672D423D"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4E52FCB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Sanderson, 2012</w:t>
            </w:r>
          </w:p>
        </w:tc>
        <w:tc>
          <w:tcPr>
            <w:tcW w:w="4473" w:type="dxa"/>
          </w:tcPr>
          <w:p w14:paraId="60B6018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Nosocomial sepsis in NICU - Risks associated with duration and type of central venous catheters in NSW and the ACT</w:t>
            </w:r>
          </w:p>
        </w:tc>
        <w:tc>
          <w:tcPr>
            <w:tcW w:w="2138" w:type="dxa"/>
          </w:tcPr>
          <w:p w14:paraId="416553FC"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Conference abstract with no formal publication</w:t>
            </w:r>
          </w:p>
        </w:tc>
      </w:tr>
      <w:tr w:rsidR="00251290" w:rsidRPr="00300951" w14:paraId="685549AF" w14:textId="77777777" w:rsidTr="00E26950">
        <w:tc>
          <w:tcPr>
            <w:tcW w:w="603" w:type="dxa"/>
          </w:tcPr>
          <w:p w14:paraId="156DC6F3"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F76041D"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Sanderson, 2017</w:t>
            </w:r>
          </w:p>
        </w:tc>
        <w:tc>
          <w:tcPr>
            <w:tcW w:w="4473" w:type="dxa"/>
          </w:tcPr>
          <w:p w14:paraId="5D8889FA"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Dwell time and risk of central-line-associated bloodstream infection in neonates</w:t>
            </w:r>
          </w:p>
        </w:tc>
        <w:tc>
          <w:tcPr>
            <w:tcW w:w="2138" w:type="dxa"/>
          </w:tcPr>
          <w:p w14:paraId="5A22138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(PICC not primary line)</w:t>
            </w:r>
          </w:p>
        </w:tc>
      </w:tr>
      <w:tr w:rsidR="00251290" w:rsidRPr="00300951" w14:paraId="2148716D" w14:textId="77777777" w:rsidTr="00E26950">
        <w:tc>
          <w:tcPr>
            <w:tcW w:w="603" w:type="dxa"/>
          </w:tcPr>
          <w:p w14:paraId="2AF8BEA1"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23B5EA3A"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Sierra Colomina, 2015</w:t>
            </w:r>
          </w:p>
        </w:tc>
        <w:tc>
          <w:tcPr>
            <w:tcW w:w="4473" w:type="dxa"/>
          </w:tcPr>
          <w:p w14:paraId="14E76E57"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Incidence and risk factors for catheter-related bloodstream infection in very low weight neonates</w:t>
            </w:r>
          </w:p>
        </w:tc>
        <w:tc>
          <w:tcPr>
            <w:tcW w:w="2138" w:type="dxa"/>
          </w:tcPr>
          <w:p w14:paraId="0D80CD16"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Conference abstract with no formal publication</w:t>
            </w:r>
          </w:p>
        </w:tc>
      </w:tr>
      <w:tr w:rsidR="00251290" w:rsidRPr="00300951" w14:paraId="183574C9" w14:textId="77777777" w:rsidTr="00E26950">
        <w:tc>
          <w:tcPr>
            <w:tcW w:w="603" w:type="dxa"/>
          </w:tcPr>
          <w:p w14:paraId="7334316B"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458D95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Vachharajani, 2017</w:t>
            </w:r>
          </w:p>
        </w:tc>
        <w:tc>
          <w:tcPr>
            <w:tcW w:w="4473" w:type="dxa"/>
          </w:tcPr>
          <w:p w14:paraId="4F97E2F5"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Reducing peripherally inserted central catheters in the neonatal intensive care unit</w:t>
            </w:r>
          </w:p>
        </w:tc>
        <w:tc>
          <w:tcPr>
            <w:tcW w:w="2138" w:type="dxa"/>
          </w:tcPr>
          <w:p w14:paraId="10EABBDB"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study design (Quality improvement)</w:t>
            </w:r>
          </w:p>
        </w:tc>
      </w:tr>
      <w:tr w:rsidR="00251290" w:rsidRPr="00300951" w14:paraId="032B9A68" w14:textId="77777777" w:rsidTr="00E26950">
        <w:tc>
          <w:tcPr>
            <w:tcW w:w="603" w:type="dxa"/>
          </w:tcPr>
          <w:p w14:paraId="55CE0DA6"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5CEE6FD8"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Yalaz, 2012</w:t>
            </w:r>
          </w:p>
        </w:tc>
        <w:tc>
          <w:tcPr>
            <w:tcW w:w="4473" w:type="dxa"/>
          </w:tcPr>
          <w:p w14:paraId="4245A9CE"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Evaluation of device-associated infections in a neonatal intensive care unit</w:t>
            </w:r>
          </w:p>
        </w:tc>
        <w:tc>
          <w:tcPr>
            <w:tcW w:w="2138" w:type="dxa"/>
          </w:tcPr>
          <w:p w14:paraId="059012BD"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Comparative data not available</w:t>
            </w:r>
          </w:p>
        </w:tc>
      </w:tr>
      <w:tr w:rsidR="00251290" w:rsidRPr="00300951" w14:paraId="227EE406" w14:textId="77777777" w:rsidTr="00E26950">
        <w:tc>
          <w:tcPr>
            <w:tcW w:w="603" w:type="dxa"/>
          </w:tcPr>
          <w:p w14:paraId="3ACF2EAB" w14:textId="77777777" w:rsidR="00251290" w:rsidRPr="00300951" w:rsidRDefault="00251290" w:rsidP="00251290">
            <w:pPr>
              <w:pStyle w:val="ListParagraph"/>
              <w:numPr>
                <w:ilvl w:val="0"/>
                <w:numId w:val="1"/>
              </w:numPr>
              <w:spacing w:line="360" w:lineRule="auto"/>
              <w:rPr>
                <w:rFonts w:ascii="Times New Roman" w:hAnsi="Times New Roman" w:cs="Times New Roman"/>
                <w:sz w:val="24"/>
                <w:szCs w:val="24"/>
                <w:lang w:val="en-US"/>
              </w:rPr>
            </w:pPr>
          </w:p>
        </w:tc>
        <w:tc>
          <w:tcPr>
            <w:tcW w:w="1802" w:type="dxa"/>
          </w:tcPr>
          <w:p w14:paraId="393E3A61"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Yang, 2013</w:t>
            </w:r>
          </w:p>
        </w:tc>
        <w:tc>
          <w:tcPr>
            <w:tcW w:w="4473" w:type="dxa"/>
          </w:tcPr>
          <w:p w14:paraId="23526711"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Application of umbilical venous catheter combined with peripherally inserted central catheter in very low birth weight infants</w:t>
            </w:r>
          </w:p>
        </w:tc>
        <w:tc>
          <w:tcPr>
            <w:tcW w:w="2138" w:type="dxa"/>
          </w:tcPr>
          <w:p w14:paraId="2B48CA1F" w14:textId="77777777" w:rsidR="00251290" w:rsidRPr="00300951" w:rsidRDefault="00251290" w:rsidP="00251290">
            <w:pPr>
              <w:spacing w:line="360" w:lineRule="auto"/>
              <w:rPr>
                <w:rFonts w:ascii="Times New Roman" w:hAnsi="Times New Roman" w:cs="Times New Roman"/>
                <w:sz w:val="24"/>
                <w:szCs w:val="24"/>
                <w:lang w:val="en-US"/>
              </w:rPr>
            </w:pPr>
            <w:r w:rsidRPr="00300951">
              <w:rPr>
                <w:rFonts w:ascii="Times New Roman" w:hAnsi="Times New Roman" w:cs="Times New Roman"/>
                <w:sz w:val="24"/>
                <w:szCs w:val="24"/>
                <w:lang w:val="en-US"/>
              </w:rPr>
              <w:t>Wrong intervention (Peripheral intravenous lines versus central lines)</w:t>
            </w:r>
          </w:p>
        </w:tc>
      </w:tr>
    </w:tbl>
    <w:p w14:paraId="78FE8F12" w14:textId="77777777" w:rsidR="00564A50" w:rsidRPr="00300951" w:rsidRDefault="00564A50" w:rsidP="00564A50">
      <w:pPr>
        <w:spacing w:line="360" w:lineRule="auto"/>
        <w:rPr>
          <w:rFonts w:ascii="Times New Roman" w:hAnsi="Times New Roman" w:cs="Times New Roman"/>
          <w:sz w:val="24"/>
          <w:szCs w:val="24"/>
        </w:rPr>
      </w:pPr>
    </w:p>
    <w:p w14:paraId="795094EC" w14:textId="0AF136A2" w:rsidR="00564A50" w:rsidRDefault="00797F0A">
      <w:pPr>
        <w:rPr>
          <w:rFonts w:ascii="Times New Roman" w:hAnsi="Times New Roman" w:cs="Times New Roman"/>
          <w:sz w:val="24"/>
          <w:szCs w:val="24"/>
        </w:rPr>
      </w:pPr>
      <w:r>
        <w:rPr>
          <w:rFonts w:ascii="Times New Roman" w:hAnsi="Times New Roman" w:cs="Times New Roman"/>
          <w:sz w:val="24"/>
          <w:szCs w:val="24"/>
        </w:rPr>
        <w:t>PICC</w:t>
      </w:r>
      <w:r w:rsidR="000F15A3">
        <w:rPr>
          <w:rFonts w:ascii="Times New Roman" w:hAnsi="Times New Roman" w:cs="Times New Roman"/>
          <w:sz w:val="24"/>
          <w:szCs w:val="24"/>
        </w:rPr>
        <w:t>-</w:t>
      </w:r>
      <w:r>
        <w:rPr>
          <w:rFonts w:ascii="Times New Roman" w:hAnsi="Times New Roman" w:cs="Times New Roman"/>
          <w:sz w:val="24"/>
          <w:szCs w:val="24"/>
        </w:rPr>
        <w:t xml:space="preserve"> peripherally inserted central catheter, UVC- umbilical venous catheter, CVC- central venous catheter, CLABSI- central line-associated bloodstream infection</w:t>
      </w:r>
      <w:r w:rsidR="00564A50">
        <w:rPr>
          <w:rFonts w:ascii="Times New Roman" w:hAnsi="Times New Roman" w:cs="Times New Roman"/>
          <w:sz w:val="24"/>
          <w:szCs w:val="24"/>
        </w:rPr>
        <w:br w:type="page"/>
      </w:r>
    </w:p>
    <w:p w14:paraId="6C510690" w14:textId="64745975" w:rsidR="00FE57E6" w:rsidRPr="00F76A6E" w:rsidRDefault="00FE57E6" w:rsidP="00FE57E6">
      <w:pPr>
        <w:spacing w:line="480" w:lineRule="auto"/>
        <w:jc w:val="both"/>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lastRenderedPageBreak/>
        <w:t xml:space="preserve">Table </w:t>
      </w:r>
      <w:r w:rsidR="00545296">
        <w:rPr>
          <w:rFonts w:ascii="Times New Roman" w:hAnsi="Times New Roman" w:cs="Times New Roman"/>
          <w:b/>
          <w:bCs/>
          <w:sz w:val="20"/>
          <w:szCs w:val="20"/>
          <w:lang w:val="en-US"/>
        </w:rPr>
        <w:t>S3</w:t>
      </w:r>
      <w:r w:rsidRPr="00796DCA">
        <w:rPr>
          <w:rFonts w:ascii="Times New Roman" w:hAnsi="Times New Roman" w:cs="Times New Roman"/>
          <w:b/>
          <w:bCs/>
          <w:sz w:val="20"/>
          <w:szCs w:val="20"/>
          <w:lang w:val="en-US"/>
        </w:rPr>
        <w:t>- Participant characteristics</w:t>
      </w:r>
    </w:p>
    <w:tbl>
      <w:tblPr>
        <w:tblStyle w:val="TableGrid"/>
        <w:tblW w:w="9209" w:type="dxa"/>
        <w:tblLook w:val="04A0" w:firstRow="1" w:lastRow="0" w:firstColumn="1" w:lastColumn="0" w:noHBand="0" w:noVBand="1"/>
      </w:tblPr>
      <w:tblGrid>
        <w:gridCol w:w="905"/>
        <w:gridCol w:w="983"/>
        <w:gridCol w:w="983"/>
        <w:gridCol w:w="1038"/>
        <w:gridCol w:w="1026"/>
        <w:gridCol w:w="1163"/>
        <w:gridCol w:w="1053"/>
        <w:gridCol w:w="1035"/>
        <w:gridCol w:w="1023"/>
      </w:tblGrid>
      <w:tr w:rsidR="00FE57E6" w:rsidRPr="00796DCA" w14:paraId="12E85A1D" w14:textId="77777777" w:rsidTr="00E26950">
        <w:trPr>
          <w:trHeight w:val="445"/>
        </w:trPr>
        <w:tc>
          <w:tcPr>
            <w:tcW w:w="905" w:type="dxa"/>
            <w:vMerge w:val="restart"/>
            <w:vAlign w:val="center"/>
          </w:tcPr>
          <w:p w14:paraId="7B75B027" w14:textId="77777777" w:rsidR="00FE57E6" w:rsidRPr="00796DCA" w:rsidRDefault="00FE57E6" w:rsidP="002B3D6B">
            <w:pPr>
              <w:jc w:val="center"/>
              <w:rPr>
                <w:rFonts w:ascii="Times New Roman" w:hAnsi="Times New Roman" w:cs="Times New Roman"/>
                <w:b/>
                <w:bCs/>
                <w:color w:val="000000"/>
                <w:sz w:val="20"/>
                <w:szCs w:val="20"/>
              </w:rPr>
            </w:pPr>
            <w:r w:rsidRPr="00796DCA">
              <w:rPr>
                <w:rFonts w:ascii="Times New Roman" w:hAnsi="Times New Roman" w:cs="Times New Roman"/>
                <w:b/>
                <w:bCs/>
                <w:color w:val="000000"/>
                <w:sz w:val="20"/>
                <w:szCs w:val="20"/>
              </w:rPr>
              <w:t>Author, year</w:t>
            </w:r>
          </w:p>
        </w:tc>
        <w:tc>
          <w:tcPr>
            <w:tcW w:w="1401" w:type="dxa"/>
            <w:gridSpan w:val="2"/>
            <w:vAlign w:val="center"/>
          </w:tcPr>
          <w:p w14:paraId="6CF3D375"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Sample size</w:t>
            </w:r>
          </w:p>
        </w:tc>
        <w:tc>
          <w:tcPr>
            <w:tcW w:w="2258" w:type="dxa"/>
            <w:gridSpan w:val="2"/>
            <w:vAlign w:val="center"/>
          </w:tcPr>
          <w:p w14:paraId="6104231E" w14:textId="6E36061D"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Male gender</w:t>
            </w:r>
            <w:r w:rsidR="00EC0866">
              <w:rPr>
                <w:rFonts w:ascii="Times New Roman" w:hAnsi="Times New Roman" w:cs="Times New Roman"/>
                <w:b/>
                <w:bCs/>
                <w:sz w:val="20"/>
                <w:szCs w:val="20"/>
                <w:lang w:val="en-US"/>
              </w:rPr>
              <w:t>, n (%)</w:t>
            </w:r>
          </w:p>
        </w:tc>
        <w:tc>
          <w:tcPr>
            <w:tcW w:w="2394" w:type="dxa"/>
            <w:gridSpan w:val="2"/>
            <w:vAlign w:val="center"/>
          </w:tcPr>
          <w:p w14:paraId="76C41A39" w14:textId="102A44B3"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Gestational age (weeks)</w:t>
            </w:r>
            <w:r w:rsidR="00634F2D">
              <w:rPr>
                <w:rFonts w:ascii="Times New Roman" w:hAnsi="Times New Roman" w:cs="Times New Roman"/>
                <w:b/>
                <w:bCs/>
                <w:sz w:val="20"/>
                <w:szCs w:val="20"/>
                <w:lang w:val="en-US"/>
              </w:rPr>
              <w:t>, mean (SD)</w:t>
            </w:r>
          </w:p>
        </w:tc>
        <w:tc>
          <w:tcPr>
            <w:tcW w:w="2251" w:type="dxa"/>
            <w:gridSpan w:val="2"/>
            <w:vAlign w:val="center"/>
          </w:tcPr>
          <w:p w14:paraId="5C2F053A" w14:textId="6E5BD38F"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Birth weight (grams)</w:t>
            </w:r>
            <w:r w:rsidR="00634F2D">
              <w:rPr>
                <w:rFonts w:ascii="Times New Roman" w:hAnsi="Times New Roman" w:cs="Times New Roman"/>
                <w:b/>
                <w:bCs/>
                <w:sz w:val="20"/>
                <w:szCs w:val="20"/>
                <w:lang w:val="en-US"/>
              </w:rPr>
              <w:t>, mean (SD)</w:t>
            </w:r>
          </w:p>
        </w:tc>
      </w:tr>
      <w:tr w:rsidR="00FE57E6" w:rsidRPr="00796DCA" w14:paraId="6CC67D2D" w14:textId="77777777" w:rsidTr="00E26950">
        <w:trPr>
          <w:trHeight w:val="445"/>
        </w:trPr>
        <w:tc>
          <w:tcPr>
            <w:tcW w:w="905" w:type="dxa"/>
            <w:vMerge/>
            <w:vAlign w:val="center"/>
          </w:tcPr>
          <w:p w14:paraId="76D5CE6B" w14:textId="77777777" w:rsidR="00FE57E6" w:rsidRPr="00796DCA" w:rsidRDefault="00FE57E6" w:rsidP="002B3D6B">
            <w:pPr>
              <w:jc w:val="center"/>
              <w:rPr>
                <w:rFonts w:ascii="Times New Roman" w:hAnsi="Times New Roman" w:cs="Times New Roman"/>
                <w:b/>
                <w:bCs/>
                <w:color w:val="000000"/>
                <w:sz w:val="20"/>
                <w:szCs w:val="20"/>
              </w:rPr>
            </w:pPr>
          </w:p>
        </w:tc>
        <w:tc>
          <w:tcPr>
            <w:tcW w:w="705" w:type="dxa"/>
            <w:vAlign w:val="center"/>
          </w:tcPr>
          <w:p w14:paraId="035CCE71"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PICC</w:t>
            </w:r>
          </w:p>
        </w:tc>
        <w:tc>
          <w:tcPr>
            <w:tcW w:w="696" w:type="dxa"/>
            <w:vAlign w:val="center"/>
          </w:tcPr>
          <w:p w14:paraId="1A688A5D"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UVC</w:t>
            </w:r>
          </w:p>
        </w:tc>
        <w:tc>
          <w:tcPr>
            <w:tcW w:w="1129" w:type="dxa"/>
            <w:vAlign w:val="center"/>
          </w:tcPr>
          <w:p w14:paraId="3790C5F0"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PICC</w:t>
            </w:r>
          </w:p>
        </w:tc>
        <w:tc>
          <w:tcPr>
            <w:tcW w:w="1129" w:type="dxa"/>
            <w:vAlign w:val="center"/>
          </w:tcPr>
          <w:p w14:paraId="48064BD9"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UVC</w:t>
            </w:r>
          </w:p>
        </w:tc>
        <w:tc>
          <w:tcPr>
            <w:tcW w:w="1267" w:type="dxa"/>
            <w:vAlign w:val="center"/>
          </w:tcPr>
          <w:p w14:paraId="34989E7F"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PICC</w:t>
            </w:r>
          </w:p>
        </w:tc>
        <w:tc>
          <w:tcPr>
            <w:tcW w:w="1127" w:type="dxa"/>
            <w:vAlign w:val="center"/>
          </w:tcPr>
          <w:p w14:paraId="5E053FBB"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UVC</w:t>
            </w:r>
          </w:p>
        </w:tc>
        <w:tc>
          <w:tcPr>
            <w:tcW w:w="1126" w:type="dxa"/>
            <w:vAlign w:val="center"/>
          </w:tcPr>
          <w:p w14:paraId="0A6AE1B9"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PICC</w:t>
            </w:r>
          </w:p>
        </w:tc>
        <w:tc>
          <w:tcPr>
            <w:tcW w:w="1125" w:type="dxa"/>
            <w:vAlign w:val="center"/>
          </w:tcPr>
          <w:p w14:paraId="41622231"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b/>
                <w:bCs/>
                <w:sz w:val="20"/>
                <w:szCs w:val="20"/>
                <w:lang w:val="en-US"/>
              </w:rPr>
              <w:t>UVC</w:t>
            </w:r>
          </w:p>
        </w:tc>
      </w:tr>
      <w:tr w:rsidR="00DA6D03" w:rsidRPr="005B01CC" w14:paraId="1D1C668E" w14:textId="77777777" w:rsidTr="00E26950">
        <w:trPr>
          <w:trHeight w:val="445"/>
        </w:trPr>
        <w:tc>
          <w:tcPr>
            <w:tcW w:w="905" w:type="dxa"/>
            <w:vAlign w:val="center"/>
          </w:tcPr>
          <w:p w14:paraId="77846104" w14:textId="44F9A455" w:rsidR="00DA6D03" w:rsidRPr="005B01CC" w:rsidRDefault="00DA6D03" w:rsidP="002B3D6B">
            <w:pPr>
              <w:jc w:val="center"/>
              <w:rPr>
                <w:rFonts w:ascii="Times New Roman" w:hAnsi="Times New Roman" w:cs="Times New Roman"/>
                <w:color w:val="000000"/>
                <w:sz w:val="20"/>
                <w:szCs w:val="20"/>
              </w:rPr>
            </w:pPr>
            <w:r w:rsidRPr="005B01CC">
              <w:rPr>
                <w:rFonts w:ascii="Times New Roman" w:hAnsi="Times New Roman" w:cs="Times New Roman"/>
                <w:color w:val="000000"/>
                <w:sz w:val="20"/>
                <w:szCs w:val="20"/>
              </w:rPr>
              <w:t>Okur, 2025</w:t>
            </w:r>
          </w:p>
        </w:tc>
        <w:tc>
          <w:tcPr>
            <w:tcW w:w="705" w:type="dxa"/>
            <w:vAlign w:val="center"/>
          </w:tcPr>
          <w:p w14:paraId="2C8ABCE2" w14:textId="1F1F6818" w:rsidR="00DA6D03" w:rsidRPr="005B01CC" w:rsidRDefault="005B01CC"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68 (44 analysed)</w:t>
            </w:r>
          </w:p>
        </w:tc>
        <w:tc>
          <w:tcPr>
            <w:tcW w:w="696" w:type="dxa"/>
            <w:vAlign w:val="center"/>
          </w:tcPr>
          <w:p w14:paraId="617CE944" w14:textId="7287B3C3" w:rsidR="00DA6D03" w:rsidRPr="005B01CC" w:rsidRDefault="005B01CC"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68 (63 analysed)</w:t>
            </w:r>
          </w:p>
        </w:tc>
        <w:tc>
          <w:tcPr>
            <w:tcW w:w="1129" w:type="dxa"/>
            <w:vAlign w:val="center"/>
          </w:tcPr>
          <w:p w14:paraId="100DB444" w14:textId="17ACEB88" w:rsidR="00DA6D03" w:rsidRPr="005B01CC" w:rsidRDefault="00592297"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22 (50)</w:t>
            </w:r>
          </w:p>
        </w:tc>
        <w:tc>
          <w:tcPr>
            <w:tcW w:w="1129" w:type="dxa"/>
            <w:vAlign w:val="center"/>
          </w:tcPr>
          <w:p w14:paraId="78C95104" w14:textId="00932CCF" w:rsidR="00DA6D03" w:rsidRPr="005B01CC" w:rsidRDefault="00592297"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52 (51)</w:t>
            </w:r>
          </w:p>
        </w:tc>
        <w:tc>
          <w:tcPr>
            <w:tcW w:w="1267" w:type="dxa"/>
            <w:vAlign w:val="center"/>
          </w:tcPr>
          <w:p w14:paraId="5E360F1F" w14:textId="28BEC0F5" w:rsidR="00DA6D03" w:rsidRPr="005B01CC" w:rsidRDefault="00AB3691"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29.4 (1.8)</w:t>
            </w:r>
          </w:p>
        </w:tc>
        <w:tc>
          <w:tcPr>
            <w:tcW w:w="1127" w:type="dxa"/>
            <w:vAlign w:val="center"/>
          </w:tcPr>
          <w:p w14:paraId="5AEEFE17" w14:textId="395669C9" w:rsidR="00DA6D03" w:rsidRPr="005B01CC" w:rsidRDefault="00AB3691"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28.7 (2.1)</w:t>
            </w:r>
          </w:p>
        </w:tc>
        <w:tc>
          <w:tcPr>
            <w:tcW w:w="1126" w:type="dxa"/>
            <w:vAlign w:val="center"/>
          </w:tcPr>
          <w:p w14:paraId="1D968C6D" w14:textId="422A8776" w:rsidR="00DA6D03" w:rsidRPr="005B01CC" w:rsidRDefault="00AB3691"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1193 (146)</w:t>
            </w:r>
          </w:p>
        </w:tc>
        <w:tc>
          <w:tcPr>
            <w:tcW w:w="1125" w:type="dxa"/>
            <w:vAlign w:val="center"/>
          </w:tcPr>
          <w:p w14:paraId="339603CC" w14:textId="077002BB" w:rsidR="00DA6D03" w:rsidRPr="005B01CC" w:rsidRDefault="00D66405" w:rsidP="002B3D6B">
            <w:pPr>
              <w:jc w:val="center"/>
              <w:rPr>
                <w:rFonts w:ascii="Times New Roman" w:hAnsi="Times New Roman" w:cs="Times New Roman"/>
                <w:sz w:val="20"/>
                <w:szCs w:val="20"/>
                <w:lang w:val="en-US"/>
              </w:rPr>
            </w:pPr>
            <w:r>
              <w:rPr>
                <w:rFonts w:ascii="Times New Roman" w:hAnsi="Times New Roman" w:cs="Times New Roman"/>
                <w:sz w:val="20"/>
                <w:szCs w:val="20"/>
                <w:lang w:val="en-US"/>
              </w:rPr>
              <w:t>1143 (198)</w:t>
            </w:r>
          </w:p>
        </w:tc>
      </w:tr>
      <w:tr w:rsidR="00FE57E6" w:rsidRPr="00796DCA" w14:paraId="20A608B8" w14:textId="77777777" w:rsidTr="00E26950">
        <w:trPr>
          <w:trHeight w:val="445"/>
        </w:trPr>
        <w:tc>
          <w:tcPr>
            <w:tcW w:w="905" w:type="dxa"/>
            <w:vAlign w:val="center"/>
          </w:tcPr>
          <w:p w14:paraId="15BD1D36"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Krishna 2025</w:t>
            </w:r>
          </w:p>
        </w:tc>
        <w:tc>
          <w:tcPr>
            <w:tcW w:w="705" w:type="dxa"/>
            <w:vAlign w:val="center"/>
          </w:tcPr>
          <w:p w14:paraId="13166FD2"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81</w:t>
            </w:r>
          </w:p>
        </w:tc>
        <w:tc>
          <w:tcPr>
            <w:tcW w:w="696" w:type="dxa"/>
            <w:vAlign w:val="center"/>
          </w:tcPr>
          <w:p w14:paraId="5ECC7E8A"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81</w:t>
            </w:r>
          </w:p>
        </w:tc>
        <w:tc>
          <w:tcPr>
            <w:tcW w:w="1129" w:type="dxa"/>
            <w:vAlign w:val="center"/>
          </w:tcPr>
          <w:p w14:paraId="661F5743" w14:textId="7B537304"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44 (54)</w:t>
            </w:r>
          </w:p>
        </w:tc>
        <w:tc>
          <w:tcPr>
            <w:tcW w:w="1129" w:type="dxa"/>
            <w:vAlign w:val="center"/>
          </w:tcPr>
          <w:p w14:paraId="5B638B17" w14:textId="3A0ACE6E"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41 (5</w:t>
            </w:r>
            <w:r w:rsidR="00592297">
              <w:rPr>
                <w:rFonts w:ascii="Times New Roman" w:hAnsi="Times New Roman" w:cs="Times New Roman"/>
                <w:color w:val="000000"/>
                <w:sz w:val="20"/>
                <w:szCs w:val="20"/>
              </w:rPr>
              <w:t>1</w:t>
            </w:r>
            <w:r w:rsidRPr="00796DCA">
              <w:rPr>
                <w:rFonts w:ascii="Times New Roman" w:hAnsi="Times New Roman" w:cs="Times New Roman"/>
                <w:color w:val="000000"/>
                <w:sz w:val="20"/>
                <w:szCs w:val="20"/>
              </w:rPr>
              <w:t>)</w:t>
            </w:r>
          </w:p>
        </w:tc>
        <w:tc>
          <w:tcPr>
            <w:tcW w:w="1267" w:type="dxa"/>
            <w:vAlign w:val="center"/>
          </w:tcPr>
          <w:p w14:paraId="14DBE4D3"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&lt;32 weeks- 19, 32-38 weeks- 54, &gt;38 weeks- 8</w:t>
            </w:r>
          </w:p>
        </w:tc>
        <w:tc>
          <w:tcPr>
            <w:tcW w:w="1127" w:type="dxa"/>
            <w:vAlign w:val="center"/>
          </w:tcPr>
          <w:p w14:paraId="52E6229B"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&lt;32 weeks- 26, 32-38 weeks- 49, &gt;38 weeks- 6</w:t>
            </w:r>
          </w:p>
        </w:tc>
        <w:tc>
          <w:tcPr>
            <w:tcW w:w="1126" w:type="dxa"/>
            <w:vAlign w:val="center"/>
          </w:tcPr>
          <w:p w14:paraId="61CA77BD"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&lt;2 kg- 53, 2 to 2.5 kg- 28</w:t>
            </w:r>
          </w:p>
        </w:tc>
        <w:tc>
          <w:tcPr>
            <w:tcW w:w="1125" w:type="dxa"/>
            <w:vAlign w:val="center"/>
          </w:tcPr>
          <w:p w14:paraId="2F6068ED"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&lt;2 kg- 58, 2 to 2.5 kg- 23</w:t>
            </w:r>
          </w:p>
        </w:tc>
      </w:tr>
      <w:tr w:rsidR="00FE57E6" w:rsidRPr="00796DCA" w14:paraId="551211E1" w14:textId="77777777" w:rsidTr="00E26950">
        <w:trPr>
          <w:trHeight w:val="445"/>
        </w:trPr>
        <w:tc>
          <w:tcPr>
            <w:tcW w:w="905" w:type="dxa"/>
            <w:vAlign w:val="center"/>
          </w:tcPr>
          <w:p w14:paraId="1CA92C4D" w14:textId="77777777" w:rsidR="00FE57E6" w:rsidRPr="00796DCA" w:rsidRDefault="00FE57E6" w:rsidP="002B3D6B">
            <w:pPr>
              <w:jc w:val="center"/>
              <w:rPr>
                <w:rFonts w:ascii="Times New Roman" w:hAnsi="Times New Roman" w:cs="Times New Roman"/>
                <w:b/>
                <w:bCs/>
                <w:color w:val="000000"/>
                <w:sz w:val="20"/>
                <w:szCs w:val="20"/>
              </w:rPr>
            </w:pPr>
            <w:r w:rsidRPr="00796DCA">
              <w:rPr>
                <w:rFonts w:ascii="Times New Roman" w:hAnsi="Times New Roman" w:cs="Times New Roman"/>
                <w:color w:val="000000"/>
                <w:sz w:val="20"/>
                <w:szCs w:val="20"/>
              </w:rPr>
              <w:t>Abda 2025</w:t>
            </w:r>
          </w:p>
        </w:tc>
        <w:tc>
          <w:tcPr>
            <w:tcW w:w="705" w:type="dxa"/>
            <w:vAlign w:val="center"/>
          </w:tcPr>
          <w:p w14:paraId="211534F4"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166</w:t>
            </w:r>
          </w:p>
        </w:tc>
        <w:tc>
          <w:tcPr>
            <w:tcW w:w="696" w:type="dxa"/>
            <w:vAlign w:val="center"/>
          </w:tcPr>
          <w:p w14:paraId="459D4A35"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165</w:t>
            </w:r>
          </w:p>
        </w:tc>
        <w:tc>
          <w:tcPr>
            <w:tcW w:w="1129" w:type="dxa"/>
            <w:vAlign w:val="center"/>
          </w:tcPr>
          <w:p w14:paraId="3E34BDBA" w14:textId="4B9E317E"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99 (60)</w:t>
            </w:r>
          </w:p>
        </w:tc>
        <w:tc>
          <w:tcPr>
            <w:tcW w:w="1129" w:type="dxa"/>
            <w:vAlign w:val="center"/>
          </w:tcPr>
          <w:p w14:paraId="085F66AF" w14:textId="0EDD9F52"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99 (60)</w:t>
            </w:r>
          </w:p>
        </w:tc>
        <w:tc>
          <w:tcPr>
            <w:tcW w:w="1267" w:type="dxa"/>
            <w:vAlign w:val="center"/>
          </w:tcPr>
          <w:p w14:paraId="4EF30072"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27.4 (1.4)</w:t>
            </w:r>
          </w:p>
        </w:tc>
        <w:tc>
          <w:tcPr>
            <w:tcW w:w="1127" w:type="dxa"/>
            <w:vAlign w:val="center"/>
          </w:tcPr>
          <w:p w14:paraId="5B64EA15"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27.4 (1.4)</w:t>
            </w:r>
          </w:p>
        </w:tc>
        <w:tc>
          <w:tcPr>
            <w:tcW w:w="1126" w:type="dxa"/>
            <w:vAlign w:val="center"/>
          </w:tcPr>
          <w:p w14:paraId="49750B35"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1059 (254)</w:t>
            </w:r>
          </w:p>
        </w:tc>
        <w:tc>
          <w:tcPr>
            <w:tcW w:w="1125" w:type="dxa"/>
            <w:vAlign w:val="center"/>
          </w:tcPr>
          <w:p w14:paraId="2A3BD974" w14:textId="77777777" w:rsidR="00FE57E6" w:rsidRPr="00796DCA" w:rsidRDefault="00FE57E6" w:rsidP="002B3D6B">
            <w:pPr>
              <w:jc w:val="center"/>
              <w:rPr>
                <w:rFonts w:ascii="Times New Roman" w:hAnsi="Times New Roman" w:cs="Times New Roman"/>
                <w:b/>
                <w:bCs/>
                <w:sz w:val="20"/>
                <w:szCs w:val="20"/>
                <w:lang w:val="en-US"/>
              </w:rPr>
            </w:pPr>
            <w:r w:rsidRPr="00796DCA">
              <w:rPr>
                <w:rFonts w:ascii="Times New Roman" w:hAnsi="Times New Roman" w:cs="Times New Roman"/>
                <w:color w:val="000000"/>
                <w:sz w:val="20"/>
                <w:szCs w:val="20"/>
              </w:rPr>
              <w:t>1061 (247)</w:t>
            </w:r>
          </w:p>
        </w:tc>
      </w:tr>
      <w:tr w:rsidR="00FE57E6" w:rsidRPr="00796DCA" w14:paraId="3F9AAEDC" w14:textId="77777777" w:rsidTr="00E26950">
        <w:trPr>
          <w:trHeight w:val="445"/>
        </w:trPr>
        <w:tc>
          <w:tcPr>
            <w:tcW w:w="905" w:type="dxa"/>
            <w:vAlign w:val="center"/>
          </w:tcPr>
          <w:p w14:paraId="3144BD4E"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Arun 2024</w:t>
            </w:r>
          </w:p>
        </w:tc>
        <w:tc>
          <w:tcPr>
            <w:tcW w:w="705" w:type="dxa"/>
            <w:vAlign w:val="center"/>
          </w:tcPr>
          <w:p w14:paraId="351F27A3"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110</w:t>
            </w:r>
          </w:p>
        </w:tc>
        <w:tc>
          <w:tcPr>
            <w:tcW w:w="696" w:type="dxa"/>
            <w:vAlign w:val="center"/>
          </w:tcPr>
          <w:p w14:paraId="07406AF1"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128</w:t>
            </w:r>
          </w:p>
        </w:tc>
        <w:tc>
          <w:tcPr>
            <w:tcW w:w="1129" w:type="dxa"/>
            <w:vAlign w:val="center"/>
          </w:tcPr>
          <w:p w14:paraId="4D53410B" w14:textId="6735B985"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55 (50)</w:t>
            </w:r>
          </w:p>
        </w:tc>
        <w:tc>
          <w:tcPr>
            <w:tcW w:w="1129" w:type="dxa"/>
            <w:vAlign w:val="center"/>
          </w:tcPr>
          <w:p w14:paraId="0DF32442" w14:textId="131B0E04"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65 (51)</w:t>
            </w:r>
          </w:p>
        </w:tc>
        <w:tc>
          <w:tcPr>
            <w:tcW w:w="1267" w:type="dxa"/>
            <w:vAlign w:val="center"/>
          </w:tcPr>
          <w:p w14:paraId="43C2A29C" w14:textId="5D3F395D"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29 (2.2)</w:t>
            </w:r>
          </w:p>
        </w:tc>
        <w:tc>
          <w:tcPr>
            <w:tcW w:w="1127" w:type="dxa"/>
            <w:vAlign w:val="center"/>
          </w:tcPr>
          <w:p w14:paraId="1CE52213" w14:textId="5D8883A5"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29 (1.8)</w:t>
            </w:r>
          </w:p>
        </w:tc>
        <w:tc>
          <w:tcPr>
            <w:tcW w:w="1126" w:type="dxa"/>
            <w:vAlign w:val="center"/>
          </w:tcPr>
          <w:p w14:paraId="1D58FFDB"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1010 (166)</w:t>
            </w:r>
          </w:p>
        </w:tc>
        <w:tc>
          <w:tcPr>
            <w:tcW w:w="1125" w:type="dxa"/>
            <w:vAlign w:val="center"/>
          </w:tcPr>
          <w:p w14:paraId="7A5C3CF0"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1035 (152)</w:t>
            </w:r>
          </w:p>
        </w:tc>
      </w:tr>
      <w:tr w:rsidR="00FE57E6" w:rsidRPr="00796DCA" w14:paraId="08DBE3A6" w14:textId="77777777" w:rsidTr="00E26950">
        <w:trPr>
          <w:trHeight w:val="591"/>
        </w:trPr>
        <w:tc>
          <w:tcPr>
            <w:tcW w:w="905" w:type="dxa"/>
            <w:vAlign w:val="center"/>
          </w:tcPr>
          <w:p w14:paraId="2C330883"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Alshafei 2023</w:t>
            </w:r>
          </w:p>
        </w:tc>
        <w:tc>
          <w:tcPr>
            <w:tcW w:w="705" w:type="dxa"/>
            <w:vAlign w:val="center"/>
          </w:tcPr>
          <w:p w14:paraId="3CDA5438"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116</w:t>
            </w:r>
          </w:p>
        </w:tc>
        <w:tc>
          <w:tcPr>
            <w:tcW w:w="696" w:type="dxa"/>
            <w:vAlign w:val="center"/>
          </w:tcPr>
          <w:p w14:paraId="1EDDBEE3"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117</w:t>
            </w:r>
          </w:p>
        </w:tc>
        <w:tc>
          <w:tcPr>
            <w:tcW w:w="1129" w:type="dxa"/>
            <w:vAlign w:val="center"/>
          </w:tcPr>
          <w:p w14:paraId="3BF0DC70" w14:textId="0FF57C1C"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66 (5</w:t>
            </w:r>
            <w:r w:rsidR="004326DD">
              <w:rPr>
                <w:rFonts w:ascii="Times New Roman" w:hAnsi="Times New Roman" w:cs="Times New Roman"/>
                <w:color w:val="000000"/>
                <w:sz w:val="20"/>
                <w:szCs w:val="20"/>
              </w:rPr>
              <w:t>7</w:t>
            </w:r>
            <w:r w:rsidRPr="00796DCA">
              <w:rPr>
                <w:rFonts w:ascii="Times New Roman" w:hAnsi="Times New Roman" w:cs="Times New Roman"/>
                <w:color w:val="000000"/>
                <w:sz w:val="20"/>
                <w:szCs w:val="20"/>
              </w:rPr>
              <w:t>)</w:t>
            </w:r>
          </w:p>
        </w:tc>
        <w:tc>
          <w:tcPr>
            <w:tcW w:w="1129" w:type="dxa"/>
            <w:vAlign w:val="center"/>
          </w:tcPr>
          <w:p w14:paraId="22458397" w14:textId="57A6EAAE"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59 (50)</w:t>
            </w:r>
          </w:p>
        </w:tc>
        <w:tc>
          <w:tcPr>
            <w:tcW w:w="1267" w:type="dxa"/>
            <w:vAlign w:val="center"/>
          </w:tcPr>
          <w:p w14:paraId="5FD5F598" w14:textId="3650EC68"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27.</w:t>
            </w:r>
            <w:r w:rsidR="00756A46">
              <w:rPr>
                <w:rFonts w:ascii="Times New Roman" w:hAnsi="Times New Roman" w:cs="Times New Roman"/>
                <w:color w:val="000000"/>
                <w:sz w:val="20"/>
                <w:szCs w:val="20"/>
              </w:rPr>
              <w:t>3</w:t>
            </w:r>
            <w:r w:rsidRPr="00796DCA">
              <w:rPr>
                <w:rFonts w:ascii="Times New Roman" w:hAnsi="Times New Roman" w:cs="Times New Roman"/>
                <w:color w:val="000000"/>
                <w:sz w:val="20"/>
                <w:szCs w:val="20"/>
              </w:rPr>
              <w:t xml:space="preserve"> (2.</w:t>
            </w:r>
            <w:r w:rsidR="00756A46">
              <w:rPr>
                <w:rFonts w:ascii="Times New Roman" w:hAnsi="Times New Roman" w:cs="Times New Roman"/>
                <w:color w:val="000000"/>
                <w:sz w:val="20"/>
                <w:szCs w:val="20"/>
              </w:rPr>
              <w:t>2</w:t>
            </w:r>
            <w:r w:rsidRPr="00796DCA">
              <w:rPr>
                <w:rFonts w:ascii="Times New Roman" w:hAnsi="Times New Roman" w:cs="Times New Roman"/>
                <w:color w:val="000000"/>
                <w:sz w:val="20"/>
                <w:szCs w:val="20"/>
              </w:rPr>
              <w:t>)</w:t>
            </w:r>
          </w:p>
        </w:tc>
        <w:tc>
          <w:tcPr>
            <w:tcW w:w="1127" w:type="dxa"/>
            <w:vAlign w:val="center"/>
          </w:tcPr>
          <w:p w14:paraId="2E3BBBD6" w14:textId="0B70F7E6"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26.9 (2.</w:t>
            </w:r>
            <w:r w:rsidR="00756A46">
              <w:rPr>
                <w:rFonts w:ascii="Times New Roman" w:hAnsi="Times New Roman" w:cs="Times New Roman"/>
                <w:color w:val="000000"/>
                <w:sz w:val="20"/>
                <w:szCs w:val="20"/>
              </w:rPr>
              <w:t>2</w:t>
            </w:r>
            <w:r w:rsidRPr="00796DCA">
              <w:rPr>
                <w:rFonts w:ascii="Times New Roman" w:hAnsi="Times New Roman" w:cs="Times New Roman"/>
                <w:color w:val="000000"/>
                <w:sz w:val="20"/>
                <w:szCs w:val="20"/>
              </w:rPr>
              <w:t>)</w:t>
            </w:r>
          </w:p>
        </w:tc>
        <w:tc>
          <w:tcPr>
            <w:tcW w:w="1126" w:type="dxa"/>
            <w:vAlign w:val="center"/>
          </w:tcPr>
          <w:p w14:paraId="44A1BEA2"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1046 (309)</w:t>
            </w:r>
          </w:p>
        </w:tc>
        <w:tc>
          <w:tcPr>
            <w:tcW w:w="1125" w:type="dxa"/>
            <w:vAlign w:val="center"/>
          </w:tcPr>
          <w:p w14:paraId="0C1B280B"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964 (299)</w:t>
            </w:r>
          </w:p>
        </w:tc>
      </w:tr>
      <w:tr w:rsidR="00FE57E6" w:rsidRPr="00796DCA" w14:paraId="63F53778" w14:textId="77777777" w:rsidTr="00E26950">
        <w:trPr>
          <w:trHeight w:val="668"/>
        </w:trPr>
        <w:tc>
          <w:tcPr>
            <w:tcW w:w="905" w:type="dxa"/>
            <w:vAlign w:val="center"/>
          </w:tcPr>
          <w:p w14:paraId="76B90CE0"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Rabie 2022</w:t>
            </w:r>
          </w:p>
        </w:tc>
        <w:tc>
          <w:tcPr>
            <w:tcW w:w="705" w:type="dxa"/>
            <w:vAlign w:val="center"/>
          </w:tcPr>
          <w:p w14:paraId="342FE8B5"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40</w:t>
            </w:r>
          </w:p>
        </w:tc>
        <w:tc>
          <w:tcPr>
            <w:tcW w:w="696" w:type="dxa"/>
            <w:vAlign w:val="center"/>
          </w:tcPr>
          <w:p w14:paraId="2CFF40FF"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40</w:t>
            </w:r>
          </w:p>
        </w:tc>
        <w:tc>
          <w:tcPr>
            <w:tcW w:w="1129" w:type="dxa"/>
            <w:vAlign w:val="center"/>
          </w:tcPr>
          <w:p w14:paraId="576D36ED"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NA</w:t>
            </w:r>
          </w:p>
        </w:tc>
        <w:tc>
          <w:tcPr>
            <w:tcW w:w="1129" w:type="dxa"/>
            <w:vAlign w:val="center"/>
          </w:tcPr>
          <w:p w14:paraId="13E0F618"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NA</w:t>
            </w:r>
          </w:p>
        </w:tc>
        <w:tc>
          <w:tcPr>
            <w:tcW w:w="2394" w:type="dxa"/>
            <w:gridSpan w:val="2"/>
            <w:vAlign w:val="center"/>
          </w:tcPr>
          <w:p w14:paraId="384DC1F3"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Overall- 35 (3) weeks</w:t>
            </w:r>
          </w:p>
        </w:tc>
        <w:tc>
          <w:tcPr>
            <w:tcW w:w="2251" w:type="dxa"/>
            <w:gridSpan w:val="2"/>
            <w:vAlign w:val="center"/>
          </w:tcPr>
          <w:p w14:paraId="1A1648D8"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Overall- 2.50 (0.81) Kg</w:t>
            </w:r>
          </w:p>
        </w:tc>
      </w:tr>
      <w:tr w:rsidR="00FE57E6" w:rsidRPr="00796DCA" w14:paraId="0437738B" w14:textId="77777777" w:rsidTr="00E26950">
        <w:trPr>
          <w:trHeight w:val="668"/>
        </w:trPr>
        <w:tc>
          <w:tcPr>
            <w:tcW w:w="905" w:type="dxa"/>
            <w:vAlign w:val="center"/>
          </w:tcPr>
          <w:p w14:paraId="515DEEDA"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Dongara 2017</w:t>
            </w:r>
          </w:p>
        </w:tc>
        <w:tc>
          <w:tcPr>
            <w:tcW w:w="705" w:type="dxa"/>
            <w:vAlign w:val="center"/>
          </w:tcPr>
          <w:p w14:paraId="1BA10F7E"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72</w:t>
            </w:r>
          </w:p>
        </w:tc>
        <w:tc>
          <w:tcPr>
            <w:tcW w:w="696" w:type="dxa"/>
            <w:vAlign w:val="center"/>
          </w:tcPr>
          <w:p w14:paraId="0CDC16A4"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72</w:t>
            </w:r>
          </w:p>
        </w:tc>
        <w:tc>
          <w:tcPr>
            <w:tcW w:w="1129" w:type="dxa"/>
            <w:vAlign w:val="center"/>
          </w:tcPr>
          <w:p w14:paraId="725D3817" w14:textId="3985EB01"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56 (7</w:t>
            </w:r>
            <w:r w:rsidR="004326DD">
              <w:rPr>
                <w:rFonts w:ascii="Times New Roman" w:hAnsi="Times New Roman" w:cs="Times New Roman"/>
                <w:color w:val="000000"/>
                <w:sz w:val="20"/>
                <w:szCs w:val="20"/>
              </w:rPr>
              <w:t>8</w:t>
            </w:r>
            <w:r w:rsidRPr="00796DCA">
              <w:rPr>
                <w:rFonts w:ascii="Times New Roman" w:hAnsi="Times New Roman" w:cs="Times New Roman"/>
                <w:color w:val="000000"/>
                <w:sz w:val="20"/>
                <w:szCs w:val="20"/>
              </w:rPr>
              <w:t>)</w:t>
            </w:r>
          </w:p>
        </w:tc>
        <w:tc>
          <w:tcPr>
            <w:tcW w:w="1129" w:type="dxa"/>
            <w:vAlign w:val="center"/>
          </w:tcPr>
          <w:p w14:paraId="7D3DB221" w14:textId="61955E60"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53 (7</w:t>
            </w:r>
            <w:r w:rsidR="004326DD">
              <w:rPr>
                <w:rFonts w:ascii="Times New Roman" w:hAnsi="Times New Roman" w:cs="Times New Roman"/>
                <w:color w:val="000000"/>
                <w:sz w:val="20"/>
                <w:szCs w:val="20"/>
              </w:rPr>
              <w:t>4</w:t>
            </w:r>
            <w:r w:rsidRPr="00796DCA">
              <w:rPr>
                <w:rFonts w:ascii="Times New Roman" w:hAnsi="Times New Roman" w:cs="Times New Roman"/>
                <w:color w:val="000000"/>
                <w:sz w:val="20"/>
                <w:szCs w:val="20"/>
              </w:rPr>
              <w:t>)</w:t>
            </w:r>
          </w:p>
        </w:tc>
        <w:tc>
          <w:tcPr>
            <w:tcW w:w="1267" w:type="dxa"/>
            <w:vAlign w:val="center"/>
          </w:tcPr>
          <w:p w14:paraId="42E78BDB" w14:textId="28508158"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34.5 (4.</w:t>
            </w:r>
            <w:r w:rsidR="00756A46">
              <w:rPr>
                <w:rFonts w:ascii="Times New Roman" w:hAnsi="Times New Roman" w:cs="Times New Roman"/>
                <w:color w:val="000000"/>
                <w:sz w:val="20"/>
                <w:szCs w:val="20"/>
              </w:rPr>
              <w:t>1</w:t>
            </w:r>
            <w:r w:rsidRPr="00796DCA">
              <w:rPr>
                <w:rFonts w:ascii="Times New Roman" w:hAnsi="Times New Roman" w:cs="Times New Roman"/>
                <w:color w:val="000000"/>
                <w:sz w:val="20"/>
                <w:szCs w:val="20"/>
              </w:rPr>
              <w:t>)</w:t>
            </w:r>
          </w:p>
        </w:tc>
        <w:tc>
          <w:tcPr>
            <w:tcW w:w="1127" w:type="dxa"/>
            <w:vAlign w:val="center"/>
          </w:tcPr>
          <w:p w14:paraId="47ED31BE" w14:textId="64426D0C"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34.9 (4.</w:t>
            </w:r>
            <w:r w:rsidR="00756A46">
              <w:rPr>
                <w:rFonts w:ascii="Times New Roman" w:hAnsi="Times New Roman" w:cs="Times New Roman"/>
                <w:color w:val="000000"/>
                <w:sz w:val="20"/>
                <w:szCs w:val="20"/>
              </w:rPr>
              <w:t>2</w:t>
            </w:r>
            <w:r w:rsidRPr="00796DCA">
              <w:rPr>
                <w:rFonts w:ascii="Times New Roman" w:hAnsi="Times New Roman" w:cs="Times New Roman"/>
                <w:color w:val="000000"/>
                <w:sz w:val="20"/>
                <w:szCs w:val="20"/>
              </w:rPr>
              <w:t>)</w:t>
            </w:r>
          </w:p>
        </w:tc>
        <w:tc>
          <w:tcPr>
            <w:tcW w:w="1126" w:type="dxa"/>
            <w:vAlign w:val="center"/>
          </w:tcPr>
          <w:p w14:paraId="719A100D"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2083 (764)</w:t>
            </w:r>
          </w:p>
        </w:tc>
        <w:tc>
          <w:tcPr>
            <w:tcW w:w="1125" w:type="dxa"/>
            <w:vAlign w:val="center"/>
          </w:tcPr>
          <w:p w14:paraId="3E66AE3F"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2139 (772)</w:t>
            </w:r>
          </w:p>
        </w:tc>
      </w:tr>
      <w:tr w:rsidR="00FE57E6" w:rsidRPr="00796DCA" w14:paraId="3B06C453" w14:textId="77777777" w:rsidTr="00E26950">
        <w:trPr>
          <w:trHeight w:val="658"/>
        </w:trPr>
        <w:tc>
          <w:tcPr>
            <w:tcW w:w="905" w:type="dxa"/>
            <w:vAlign w:val="center"/>
          </w:tcPr>
          <w:p w14:paraId="5E584801"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Shalabi 2015</w:t>
            </w:r>
          </w:p>
        </w:tc>
        <w:tc>
          <w:tcPr>
            <w:tcW w:w="705" w:type="dxa"/>
            <w:vAlign w:val="center"/>
          </w:tcPr>
          <w:p w14:paraId="7BCF2427"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180</w:t>
            </w:r>
          </w:p>
        </w:tc>
        <w:tc>
          <w:tcPr>
            <w:tcW w:w="696" w:type="dxa"/>
            <w:vAlign w:val="center"/>
          </w:tcPr>
          <w:p w14:paraId="54AAEB8C"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180</w:t>
            </w:r>
          </w:p>
        </w:tc>
        <w:tc>
          <w:tcPr>
            <w:tcW w:w="1129" w:type="dxa"/>
            <w:vAlign w:val="center"/>
          </w:tcPr>
          <w:p w14:paraId="3C1B2B9B" w14:textId="3A5280FC"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106 (59)</w:t>
            </w:r>
          </w:p>
        </w:tc>
        <w:tc>
          <w:tcPr>
            <w:tcW w:w="1129" w:type="dxa"/>
            <w:vAlign w:val="center"/>
          </w:tcPr>
          <w:p w14:paraId="7964B9AA" w14:textId="0A2B23E9"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106 (59)</w:t>
            </w:r>
          </w:p>
        </w:tc>
        <w:tc>
          <w:tcPr>
            <w:tcW w:w="1267" w:type="dxa"/>
            <w:vAlign w:val="center"/>
          </w:tcPr>
          <w:p w14:paraId="28339F3A"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27.2 (1.5)</w:t>
            </w:r>
          </w:p>
        </w:tc>
        <w:tc>
          <w:tcPr>
            <w:tcW w:w="1127" w:type="dxa"/>
            <w:vAlign w:val="center"/>
          </w:tcPr>
          <w:p w14:paraId="5F704045"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27.2 (1.5)</w:t>
            </w:r>
          </w:p>
        </w:tc>
        <w:tc>
          <w:tcPr>
            <w:tcW w:w="1126" w:type="dxa"/>
            <w:vAlign w:val="center"/>
          </w:tcPr>
          <w:p w14:paraId="705E8CDA"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1019 (244)</w:t>
            </w:r>
          </w:p>
        </w:tc>
        <w:tc>
          <w:tcPr>
            <w:tcW w:w="1125" w:type="dxa"/>
            <w:vAlign w:val="center"/>
          </w:tcPr>
          <w:p w14:paraId="764E75B6" w14:textId="77777777" w:rsidR="00FE57E6" w:rsidRPr="00796DCA" w:rsidRDefault="00FE57E6" w:rsidP="002B3D6B">
            <w:pPr>
              <w:jc w:val="center"/>
              <w:rPr>
                <w:rFonts w:ascii="Times New Roman" w:hAnsi="Times New Roman" w:cs="Times New Roman"/>
                <w:color w:val="000000"/>
                <w:sz w:val="20"/>
                <w:szCs w:val="20"/>
              </w:rPr>
            </w:pPr>
            <w:r w:rsidRPr="00796DCA">
              <w:rPr>
                <w:rFonts w:ascii="Times New Roman" w:hAnsi="Times New Roman" w:cs="Times New Roman"/>
                <w:color w:val="000000"/>
                <w:sz w:val="20"/>
                <w:szCs w:val="20"/>
              </w:rPr>
              <w:t>1023 (250)</w:t>
            </w:r>
          </w:p>
        </w:tc>
      </w:tr>
    </w:tbl>
    <w:p w14:paraId="0DA66BB6" w14:textId="77777777" w:rsidR="00FE57E6" w:rsidRPr="00796DCA" w:rsidRDefault="00FE57E6" w:rsidP="00FE57E6">
      <w:pPr>
        <w:spacing w:line="480" w:lineRule="auto"/>
        <w:jc w:val="both"/>
        <w:rPr>
          <w:rFonts w:ascii="Times New Roman" w:hAnsi="Times New Roman" w:cs="Times New Roman"/>
          <w:sz w:val="20"/>
          <w:szCs w:val="20"/>
          <w:lang w:val="en-US"/>
        </w:rPr>
      </w:pPr>
    </w:p>
    <w:p w14:paraId="539B208C" w14:textId="5ED68BA6" w:rsidR="00746C87" w:rsidRPr="00C872F8" w:rsidRDefault="00FE57E6" w:rsidP="00C872F8">
      <w:pPr>
        <w:spacing w:line="360" w:lineRule="auto"/>
        <w:rPr>
          <w:rFonts w:ascii="Times New Roman" w:hAnsi="Times New Roman" w:cs="Times New Roman"/>
          <w:sz w:val="20"/>
          <w:szCs w:val="20"/>
          <w:lang w:val="en-US"/>
        </w:rPr>
      </w:pPr>
      <w:r w:rsidRPr="00E14C72">
        <w:rPr>
          <w:rFonts w:ascii="Times New Roman" w:hAnsi="Times New Roman" w:cs="Times New Roman"/>
          <w:sz w:val="20"/>
          <w:szCs w:val="20"/>
          <w:lang w:val="en-US"/>
        </w:rPr>
        <w:t>PICC- peripherally inserted central catheter, UVC- umbilical venous catheter</w:t>
      </w:r>
    </w:p>
    <w:sectPr w:rsidR="00746C87" w:rsidRPr="00C872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517C7"/>
    <w:multiLevelType w:val="hybridMultilevel"/>
    <w:tmpl w:val="DE5C2776"/>
    <w:lvl w:ilvl="0" w:tplc="A88C78B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9E7290B"/>
    <w:multiLevelType w:val="hybridMultilevel"/>
    <w:tmpl w:val="90301DC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675039AA"/>
    <w:multiLevelType w:val="multilevel"/>
    <w:tmpl w:val="C82618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7705E8B"/>
    <w:multiLevelType w:val="hybridMultilevel"/>
    <w:tmpl w:val="2BDABE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70089854">
    <w:abstractNumId w:val="1"/>
  </w:num>
  <w:num w:numId="2" w16cid:durableId="1913809735">
    <w:abstractNumId w:val="3"/>
  </w:num>
  <w:num w:numId="3" w16cid:durableId="198904094">
    <w:abstractNumId w:val="2"/>
  </w:num>
  <w:num w:numId="4" w16cid:durableId="104695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F5"/>
    <w:rsid w:val="00001C8A"/>
    <w:rsid w:val="00023CC1"/>
    <w:rsid w:val="00050965"/>
    <w:rsid w:val="000F04BE"/>
    <w:rsid w:val="000F15A3"/>
    <w:rsid w:val="00130A6B"/>
    <w:rsid w:val="00191404"/>
    <w:rsid w:val="001E749D"/>
    <w:rsid w:val="002117A3"/>
    <w:rsid w:val="00251290"/>
    <w:rsid w:val="00254258"/>
    <w:rsid w:val="002708BE"/>
    <w:rsid w:val="00280E78"/>
    <w:rsid w:val="002B3D6B"/>
    <w:rsid w:val="002E433D"/>
    <w:rsid w:val="003001C2"/>
    <w:rsid w:val="00303C02"/>
    <w:rsid w:val="003A3CF6"/>
    <w:rsid w:val="003B2A17"/>
    <w:rsid w:val="003C040B"/>
    <w:rsid w:val="003E49F6"/>
    <w:rsid w:val="003E768B"/>
    <w:rsid w:val="003F7039"/>
    <w:rsid w:val="00400174"/>
    <w:rsid w:val="004326DD"/>
    <w:rsid w:val="00440570"/>
    <w:rsid w:val="004407AE"/>
    <w:rsid w:val="004628A1"/>
    <w:rsid w:val="0046404C"/>
    <w:rsid w:val="004C6B61"/>
    <w:rsid w:val="004D38B9"/>
    <w:rsid w:val="004F3DD3"/>
    <w:rsid w:val="00500CBF"/>
    <w:rsid w:val="00545296"/>
    <w:rsid w:val="0055254D"/>
    <w:rsid w:val="00564A50"/>
    <w:rsid w:val="00592297"/>
    <w:rsid w:val="005A69B8"/>
    <w:rsid w:val="005B01CC"/>
    <w:rsid w:val="005D522E"/>
    <w:rsid w:val="005E1173"/>
    <w:rsid w:val="00634E08"/>
    <w:rsid w:val="00634F2D"/>
    <w:rsid w:val="006E2D63"/>
    <w:rsid w:val="00746C87"/>
    <w:rsid w:val="00756A46"/>
    <w:rsid w:val="00797F0A"/>
    <w:rsid w:val="008456D2"/>
    <w:rsid w:val="008B08EA"/>
    <w:rsid w:val="008F2CDA"/>
    <w:rsid w:val="008F3DE1"/>
    <w:rsid w:val="0092220B"/>
    <w:rsid w:val="00947927"/>
    <w:rsid w:val="009D194E"/>
    <w:rsid w:val="009F14DA"/>
    <w:rsid w:val="00A40A4B"/>
    <w:rsid w:val="00A62C5C"/>
    <w:rsid w:val="00A7009F"/>
    <w:rsid w:val="00A776B0"/>
    <w:rsid w:val="00AA2338"/>
    <w:rsid w:val="00AB3691"/>
    <w:rsid w:val="00AE7468"/>
    <w:rsid w:val="00B37647"/>
    <w:rsid w:val="00B749E8"/>
    <w:rsid w:val="00BC5A60"/>
    <w:rsid w:val="00C221DA"/>
    <w:rsid w:val="00C872F8"/>
    <w:rsid w:val="00CD5E05"/>
    <w:rsid w:val="00D66405"/>
    <w:rsid w:val="00D81D1D"/>
    <w:rsid w:val="00D847D3"/>
    <w:rsid w:val="00DA6D03"/>
    <w:rsid w:val="00DE7739"/>
    <w:rsid w:val="00DF4DA3"/>
    <w:rsid w:val="00E1779A"/>
    <w:rsid w:val="00E177BA"/>
    <w:rsid w:val="00E9177F"/>
    <w:rsid w:val="00EC0866"/>
    <w:rsid w:val="00EC6B3B"/>
    <w:rsid w:val="00EE28ED"/>
    <w:rsid w:val="00EE5AE0"/>
    <w:rsid w:val="00EF5275"/>
    <w:rsid w:val="00EF76B9"/>
    <w:rsid w:val="00F260BC"/>
    <w:rsid w:val="00F26DAD"/>
    <w:rsid w:val="00F328E7"/>
    <w:rsid w:val="00F64E48"/>
    <w:rsid w:val="00FA581D"/>
    <w:rsid w:val="00FC57DC"/>
    <w:rsid w:val="00FC630F"/>
    <w:rsid w:val="00FE57E6"/>
    <w:rsid w:val="00FF38F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61A12"/>
  <w15:chartTrackingRefBased/>
  <w15:docId w15:val="{09160412-93BE-4230-BC5B-C2F3C58E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3DD3"/>
    <w:pPr>
      <w:ind w:left="720"/>
      <w:contextualSpacing/>
    </w:pPr>
  </w:style>
  <w:style w:type="character" w:styleId="Hyperlink">
    <w:name w:val="Hyperlink"/>
    <w:basedOn w:val="DefaultParagraphFont"/>
    <w:uiPriority w:val="99"/>
    <w:unhideWhenUsed/>
    <w:rsid w:val="004D38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9bebd42-f1ff-4c3d-9688-067e3460dc1f}" enabled="0" method="" siteId="{29bebd42-f1ff-4c3d-9688-067e3460dc1f}"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7</Pages>
  <Words>1366</Words>
  <Characters>7789</Characters>
  <Application>Microsoft Office Word</Application>
  <DocSecurity>0</DocSecurity>
  <Lines>64</Lines>
  <Paragraphs>18</Paragraphs>
  <ScaleCrop>false</ScaleCrop>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Rajendra Prasad Anne [MAHE-KMC]</dc:creator>
  <cp:keywords/>
  <dc:description/>
  <cp:lastModifiedBy>Rajendra Prasad Anne [MAHE-KMC]</cp:lastModifiedBy>
  <cp:revision>81</cp:revision>
  <dcterms:created xsi:type="dcterms:W3CDTF">2025-04-19T05:34:00Z</dcterms:created>
  <dcterms:modified xsi:type="dcterms:W3CDTF">2026-06-05T11:31:00Z</dcterms:modified>
</cp:coreProperties>
</file>