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6F494">
      <w:pPr>
        <w:pStyle w:val="2"/>
        <w:spacing w:before="240" w:after="120"/>
      </w:pPr>
      <w:r>
        <w:rPr>
          <w:b/>
          <w:bCs/>
          <w:sz w:val="28"/>
          <w:szCs w:val="28"/>
        </w:rPr>
        <w:t>Supplementary Material S2</w:t>
      </w:r>
    </w:p>
    <w:p w14:paraId="3D21ED7A">
      <w:pPr>
        <w:spacing w:after="120" w:line="276" w:lineRule="auto"/>
        <w:jc w:val="center"/>
      </w:pPr>
      <w:r>
        <w:rPr>
          <w:b/>
          <w:bCs/>
          <w:sz w:val="22"/>
          <w:szCs w:val="22"/>
        </w:rPr>
        <w:t>Additional quotations and detailed subtheme descriptions for the qualitative findings</w:t>
      </w:r>
    </w:p>
    <w:p w14:paraId="3E504711">
      <w:pPr>
        <w:spacing w:after="120" w:line="276" w:lineRule="auto"/>
        <w:jc w:val="both"/>
      </w:pPr>
      <w:r>
        <w:rPr>
          <w:sz w:val="22"/>
          <w:szCs w:val="22"/>
        </w:rPr>
        <w:t xml:space="preserve">This supplementary material accompanies the manuscript </w:t>
      </w:r>
      <w:r>
        <w:rPr>
          <w:i/>
          <w:iCs/>
          <w:sz w:val="22"/>
          <w:szCs w:val="22"/>
        </w:rPr>
        <w:t>“Transition Needs of Adolescent Asthma Patients in China: A Mixed-Methods Study Based on the SMART Model.”</w:t>
      </w:r>
      <w:r>
        <w:rPr>
          <w:sz w:val="22"/>
          <w:szCs w:val="22"/>
        </w:rPr>
        <w:t xml:space="preserve"> For each of the five themes and ten subthemes, it provides the full descriptive account together with all participant quotations, including those not retained in the main text. All interviews were conducted in Mandarin Chinese; quotations were translated into English at the manuscript-writing stage.</w:t>
      </w:r>
    </w:p>
    <w:p w14:paraId="0DF57DB3">
      <w:pPr>
        <w:pStyle w:val="3"/>
        <w:spacing w:before="200" w:after="100"/>
      </w:pPr>
      <w:r>
        <w:rPr>
          <w:b/>
          <w:bCs/>
          <w:sz w:val="24"/>
          <w:szCs w:val="24"/>
        </w:rPr>
        <w:t>Theme 1 (Beliefs/Expectations Dimension): Demand for Autonomous Decision-Making and Self-Efficacy</w:t>
      </w:r>
    </w:p>
    <w:p w14:paraId="0455DC1F">
      <w:pPr>
        <w:spacing w:after="120" w:line="276" w:lineRule="auto"/>
        <w:jc w:val="both"/>
      </w:pPr>
      <w:r>
        <w:rPr>
          <w:sz w:val="22"/>
          <w:szCs w:val="22"/>
        </w:rPr>
        <w:t>The needs within this dimension centred on participants' desire to transition from passive care recipients to active managers of their condition. This aspiration was expressed as a yearning for participation in decision-making and a pursuit of enhanced self-capacity.</w:t>
      </w:r>
    </w:p>
    <w:p w14:paraId="312B3B34">
      <w:pPr>
        <w:pStyle w:val="4"/>
        <w:spacing w:before="160" w:after="80"/>
      </w:pPr>
      <w:r>
        <w:rPr>
          <w:b/>
          <w:bCs/>
          <w:i/>
          <w:iCs/>
          <w:sz w:val="22"/>
          <w:szCs w:val="22"/>
        </w:rPr>
        <w:t>Subtheme 1: Expectations for Decision-Making Participation and Responsibility Transition</w:t>
      </w:r>
    </w:p>
    <w:p w14:paraId="60A0E7CD">
      <w:pPr>
        <w:spacing w:after="120" w:line="276" w:lineRule="auto"/>
        <w:jc w:val="both"/>
      </w:pPr>
      <w:r>
        <w:rPr>
          <w:sz w:val="22"/>
          <w:szCs w:val="22"/>
        </w:rPr>
        <w:t>Adolescents gradually develop autonomy in managing their illnesses, seeking to reduce complete reliance on parents and healthcare professionals. They aspired to participate in decisions about consultations and treatments, and desired opportunities to express themselves and be heard during appointments, thereby learning to take responsibility for their health management in practice.</w:t>
      </w:r>
    </w:p>
    <w:p w14:paraId="7A83D53A">
      <w:pPr>
        <w:spacing w:after="120" w:line="276" w:lineRule="auto"/>
        <w:ind w:left="360"/>
        <w:jc w:val="both"/>
      </w:pPr>
      <w:r>
        <w:rPr>
          <w:b/>
          <w:bCs/>
          <w:sz w:val="22"/>
          <w:szCs w:val="22"/>
        </w:rPr>
        <w:t xml:space="preserve">N1: </w:t>
      </w:r>
      <w:r>
        <w:rPr>
          <w:i/>
          <w:iCs/>
          <w:sz w:val="22"/>
          <w:szCs w:val="22"/>
        </w:rPr>
        <w:t>“It's always just me. My grandmother, my grandfather – they don't understand. They just come along to make an appearance. The doctor said a guardian must accompany me, but if he doesn't need one, I can manage on my own.”</w:t>
      </w:r>
    </w:p>
    <w:p w14:paraId="36FF5CC5">
      <w:pPr>
        <w:spacing w:after="120" w:line="276" w:lineRule="auto"/>
        <w:ind w:left="360"/>
        <w:jc w:val="both"/>
      </w:pPr>
      <w:r>
        <w:rPr>
          <w:b/>
          <w:bCs/>
          <w:sz w:val="22"/>
          <w:szCs w:val="22"/>
        </w:rPr>
        <w:t xml:space="preserve">N6: </w:t>
      </w:r>
      <w:r>
        <w:rPr>
          <w:i/>
          <w:iCs/>
          <w:sz w:val="22"/>
          <w:szCs w:val="22"/>
        </w:rPr>
        <w:t>“I also hope they'll gradually involve me in discussions with the doctor, such as letting me describe my symptoms during appointments while they simply add supplementary details. Only then will I truly feel that asthma is my own responsibility, and that I'm learning how to manage it more effectively.”</w:t>
      </w:r>
    </w:p>
    <w:p w14:paraId="2EA428D3">
      <w:pPr>
        <w:spacing w:after="120" w:line="276" w:lineRule="auto"/>
        <w:ind w:left="360"/>
        <w:jc w:val="both"/>
      </w:pPr>
      <w:r>
        <w:rPr>
          <w:b/>
          <w:bCs/>
          <w:sz w:val="22"/>
          <w:szCs w:val="22"/>
        </w:rPr>
        <w:t xml:space="preserve">N9: </w:t>
      </w:r>
      <w:r>
        <w:rPr>
          <w:i/>
          <w:iCs/>
          <w:sz w:val="22"/>
          <w:szCs w:val="22"/>
        </w:rPr>
        <w:t>“I now make more decisions for myself, but I still consult my parents before each one. After all, I do hope to manage these matters independently and no longer rely entirely on my parents.”</w:t>
      </w:r>
    </w:p>
    <w:p w14:paraId="2E4ED3CD">
      <w:pPr>
        <w:pStyle w:val="4"/>
        <w:spacing w:before="160" w:after="80"/>
      </w:pPr>
      <w:r>
        <w:rPr>
          <w:b/>
          <w:bCs/>
          <w:i/>
          <w:iCs/>
          <w:sz w:val="22"/>
          <w:szCs w:val="22"/>
        </w:rPr>
        <w:t>Subtheme 2: The Need to Build Self-Management Efficacy</w:t>
      </w:r>
    </w:p>
    <w:p w14:paraId="28D07E33">
      <w:pPr>
        <w:spacing w:after="120" w:line="276" w:lineRule="auto"/>
        <w:jc w:val="both"/>
      </w:pPr>
      <w:r>
        <w:rPr>
          <w:sz w:val="22"/>
          <w:szCs w:val="22"/>
        </w:rPr>
        <w:t>Some adolescents had developed a degree of self-management capability, enabling them to administer medication, monitor symptoms and make daily adjustments independently. They aspired to enhance their confidence in disease control through continued practice.</w:t>
      </w:r>
    </w:p>
    <w:p w14:paraId="4D5888B8">
      <w:pPr>
        <w:spacing w:after="120" w:line="276" w:lineRule="auto"/>
        <w:ind w:left="360"/>
        <w:jc w:val="both"/>
      </w:pPr>
      <w:r>
        <w:rPr>
          <w:b/>
          <w:bCs/>
          <w:sz w:val="22"/>
          <w:szCs w:val="22"/>
        </w:rPr>
        <w:t xml:space="preserve">N17: </w:t>
      </w:r>
      <w:r>
        <w:rPr>
          <w:i/>
          <w:iCs/>
          <w:sz w:val="22"/>
          <w:szCs w:val="22"/>
        </w:rPr>
        <w:t>“I believe I can manage, particularly when my parents are occupied. I can fetch my medication and look after myself.”</w:t>
      </w:r>
    </w:p>
    <w:p w14:paraId="7FBD7E09">
      <w:pPr>
        <w:spacing w:after="120" w:line="276" w:lineRule="auto"/>
        <w:ind w:left="360"/>
        <w:jc w:val="both"/>
      </w:pPr>
      <w:r>
        <w:rPr>
          <w:b/>
          <w:bCs/>
          <w:sz w:val="22"/>
          <w:szCs w:val="22"/>
        </w:rPr>
        <w:t xml:space="preserve">N18: </w:t>
      </w:r>
      <w:r>
        <w:rPr>
          <w:i/>
          <w:iCs/>
          <w:sz w:val="22"/>
          <w:szCs w:val="22"/>
        </w:rPr>
        <w:t>“I need to improve my self-discipline, such as controlling my diet. I must remind myself to avoid prohibited foods.”</w:t>
      </w:r>
    </w:p>
    <w:p w14:paraId="0A6A3753">
      <w:pPr>
        <w:pStyle w:val="3"/>
        <w:spacing w:before="200" w:after="100"/>
      </w:pPr>
      <w:r>
        <w:rPr>
          <w:b/>
          <w:bCs/>
          <w:sz w:val="24"/>
          <w:szCs w:val="24"/>
        </w:rPr>
        <w:t>Theme 2 (Goal Dimension): Developmental Motivation and Future Planning Needs</w:t>
      </w:r>
    </w:p>
    <w:p w14:paraId="2239E45A">
      <w:pPr>
        <w:pStyle w:val="4"/>
        <w:spacing w:before="160" w:after="80"/>
      </w:pPr>
      <w:r>
        <w:rPr>
          <w:b/>
          <w:bCs/>
          <w:i/>
          <w:iCs/>
          <w:sz w:val="22"/>
          <w:szCs w:val="22"/>
        </w:rPr>
        <w:t>Subtheme 1: Achieving Dynamic Balance Between Disease Management and Academic Development</w:t>
      </w:r>
    </w:p>
    <w:p w14:paraId="4A1ECE18">
      <w:pPr>
        <w:spacing w:after="120" w:line="276" w:lineRule="auto"/>
        <w:jc w:val="both"/>
      </w:pPr>
      <w:r>
        <w:rPr>
          <w:sz w:val="22"/>
          <w:szCs w:val="22"/>
        </w:rPr>
        <w:t>Adolescents with asthma commonly experienced conflict between academic demands and health management during this developmental phase. They aspired to maintain their learning rhythm within the constraints of the disease, minimising asthma's disruption to daily life and educational objectives.</w:t>
      </w:r>
    </w:p>
    <w:p w14:paraId="22B5185A">
      <w:pPr>
        <w:spacing w:after="120" w:line="276" w:lineRule="auto"/>
        <w:ind w:left="360"/>
        <w:jc w:val="both"/>
      </w:pPr>
      <w:r>
        <w:rPr>
          <w:b/>
          <w:bCs/>
          <w:sz w:val="22"/>
          <w:szCs w:val="22"/>
        </w:rPr>
        <w:t xml:space="preserve">N5: </w:t>
      </w:r>
      <w:r>
        <w:rPr>
          <w:i/>
          <w:iCs/>
          <w:sz w:val="22"/>
          <w:szCs w:val="22"/>
        </w:rPr>
        <w:t>“Weekends often involve hospital visits, reducing time for revision and assignments... Weekends especially feel incredibly tight.”</w:t>
      </w:r>
    </w:p>
    <w:p w14:paraId="12756EAC">
      <w:pPr>
        <w:spacing w:after="120" w:line="276" w:lineRule="auto"/>
        <w:ind w:left="360"/>
        <w:jc w:val="both"/>
      </w:pPr>
      <w:r>
        <w:rPr>
          <w:b/>
          <w:bCs/>
          <w:sz w:val="22"/>
          <w:szCs w:val="22"/>
        </w:rPr>
        <w:t xml:space="preserve">N6: </w:t>
      </w:r>
      <w:r>
        <w:rPr>
          <w:i/>
          <w:iCs/>
          <w:sz w:val="22"/>
          <w:szCs w:val="22"/>
        </w:rPr>
        <w:t>“Academically, it does impact me sometimes. After an evening attack, I felt exceptionally drowsy in class the next day—my mind went blank, making concentration impossible.”</w:t>
      </w:r>
    </w:p>
    <w:p w14:paraId="3730642C">
      <w:pPr>
        <w:spacing w:after="120" w:line="276" w:lineRule="auto"/>
        <w:ind w:left="360"/>
        <w:jc w:val="both"/>
      </w:pPr>
      <w:r>
        <w:rPr>
          <w:b/>
          <w:bCs/>
          <w:sz w:val="22"/>
          <w:szCs w:val="22"/>
        </w:rPr>
        <w:t xml:space="preserve">N17: </w:t>
      </w:r>
      <w:r>
        <w:rPr>
          <w:i/>
          <w:iCs/>
          <w:sz w:val="22"/>
          <w:szCs w:val="22"/>
        </w:rPr>
        <w:t>“I particularly hope the teacher can understand. If the teacher understands my physical condition, they won't feel so apprehensive when I request leave. If some teachers don't understand, it might put me under some pressure.”</w:t>
      </w:r>
    </w:p>
    <w:p w14:paraId="26D7A024">
      <w:pPr>
        <w:spacing w:after="120" w:line="276" w:lineRule="auto"/>
        <w:ind w:left="360"/>
        <w:jc w:val="both"/>
      </w:pPr>
      <w:r>
        <w:rPr>
          <w:b/>
          <w:bCs/>
          <w:sz w:val="22"/>
          <w:szCs w:val="22"/>
        </w:rPr>
        <w:t xml:space="preserve">N18: </w:t>
      </w:r>
      <w:r>
        <w:rPr>
          <w:i/>
          <w:iCs/>
          <w:sz w:val="22"/>
          <w:szCs w:val="22"/>
        </w:rPr>
        <w:t>“I'm constantly torn between prioritising my health and my studies. This dilemma persists as a significant concern.”</w:t>
      </w:r>
    </w:p>
    <w:p w14:paraId="4D0924F8">
      <w:pPr>
        <w:pStyle w:val="4"/>
        <w:spacing w:before="160" w:after="80"/>
      </w:pPr>
      <w:r>
        <w:rPr>
          <w:b/>
          <w:bCs/>
          <w:i/>
          <w:iCs/>
          <w:sz w:val="22"/>
          <w:szCs w:val="22"/>
        </w:rPr>
        <w:t>Subtheme 2: Preparing for Healthy Adult Roles</w:t>
      </w:r>
    </w:p>
    <w:p w14:paraId="48313C64">
      <w:pPr>
        <w:spacing w:after="120" w:line="276" w:lineRule="auto"/>
        <w:jc w:val="both"/>
      </w:pPr>
      <w:r>
        <w:rPr>
          <w:sz w:val="22"/>
          <w:szCs w:val="22"/>
        </w:rPr>
        <w:t>Some adolescents perceived their current disease management experience as a rehearsal for future independent living. They recognised that, when they went to university or started work, they would have to face health issues independently, and therefore wished to accumulate experience now to prepare for self-management in adulthood.</w:t>
      </w:r>
    </w:p>
    <w:p w14:paraId="0656C93F">
      <w:pPr>
        <w:spacing w:after="120" w:line="276" w:lineRule="auto"/>
        <w:ind w:left="360"/>
        <w:jc w:val="both"/>
      </w:pPr>
      <w:r>
        <w:rPr>
          <w:b/>
          <w:bCs/>
          <w:sz w:val="22"/>
          <w:szCs w:val="22"/>
        </w:rPr>
        <w:t xml:space="preserve">N6: </w:t>
      </w:r>
      <w:r>
        <w:rPr>
          <w:i/>
          <w:iCs/>
          <w:sz w:val="22"/>
          <w:szCs w:val="22"/>
        </w:rPr>
        <w:t>“After all, when I go to university or start work, they won't always be around. I want to gradually build up my skills now, rather than suddenly having to handle everything alone one day.”</w:t>
      </w:r>
    </w:p>
    <w:p w14:paraId="05872503">
      <w:pPr>
        <w:spacing w:after="120" w:line="276" w:lineRule="auto"/>
        <w:ind w:left="360"/>
        <w:jc w:val="both"/>
      </w:pPr>
      <w:r>
        <w:rPr>
          <w:b/>
          <w:bCs/>
          <w:sz w:val="22"/>
          <w:szCs w:val="22"/>
        </w:rPr>
        <w:t xml:space="preserve">N17: </w:t>
      </w:r>
      <w:r>
        <w:rPr>
          <w:i/>
          <w:iCs/>
          <w:sz w:val="22"/>
          <w:szCs w:val="22"/>
        </w:rPr>
        <w:t>“I still hope to attend university in a southern city, where the climate would be better for my respiratory system.”</w:t>
      </w:r>
    </w:p>
    <w:p w14:paraId="0B3DA7DB">
      <w:pPr>
        <w:pStyle w:val="3"/>
        <w:spacing w:before="200" w:after="100"/>
      </w:pPr>
      <w:r>
        <w:rPr>
          <w:b/>
          <w:bCs/>
          <w:sz w:val="24"/>
          <w:szCs w:val="24"/>
        </w:rPr>
        <w:t>Theme 3 (Social Relationships Dimension): Needs for Social Belonging and Identity</w:t>
      </w:r>
    </w:p>
    <w:p w14:paraId="187CAF82">
      <w:pPr>
        <w:pStyle w:val="4"/>
        <w:spacing w:before="160" w:after="80"/>
      </w:pPr>
      <w:r>
        <w:rPr>
          <w:b/>
          <w:bCs/>
          <w:i/>
          <w:iCs/>
          <w:sz w:val="22"/>
          <w:szCs w:val="22"/>
        </w:rPr>
        <w:t>Subtheme 1: Mitigating Disease-Related Social Stigma and Prejudice</w:t>
      </w:r>
    </w:p>
    <w:p w14:paraId="7B101BCA">
      <w:pPr>
        <w:spacing w:after="120" w:line="276" w:lineRule="auto"/>
        <w:jc w:val="both"/>
      </w:pPr>
      <w:r>
        <w:rPr>
          <w:sz w:val="22"/>
          <w:szCs w:val="22"/>
        </w:rPr>
        <w:t>Adolescents often worried about being misunderstood or facing prejudice when interacting with peers. Some chose to conceal their condition to avoid being treated differently, hoping that, through school education or teacher communication, their classmates would understand that asthma is non-contagious, thereby reducing misunderstandings and barriers.</w:t>
      </w:r>
    </w:p>
    <w:p w14:paraId="33580C73">
      <w:pPr>
        <w:spacing w:after="120" w:line="276" w:lineRule="auto"/>
        <w:ind w:left="360"/>
        <w:jc w:val="both"/>
      </w:pPr>
      <w:r>
        <w:rPr>
          <w:b/>
          <w:bCs/>
          <w:sz w:val="22"/>
          <w:szCs w:val="22"/>
        </w:rPr>
        <w:t xml:space="preserve">N2: </w:t>
      </w:r>
      <w:r>
        <w:rPr>
          <w:i/>
          <w:iCs/>
          <w:sz w:val="22"/>
          <w:szCs w:val="22"/>
        </w:rPr>
        <w:t>“My mum always warned me not to tell others about my condition casually, fearing they'd look down on me.”</w:t>
      </w:r>
    </w:p>
    <w:p w14:paraId="248BA218">
      <w:pPr>
        <w:spacing w:after="120" w:line="276" w:lineRule="auto"/>
        <w:ind w:left="360"/>
        <w:jc w:val="both"/>
      </w:pPr>
      <w:r>
        <w:rPr>
          <w:b/>
          <w:bCs/>
          <w:sz w:val="22"/>
          <w:szCs w:val="22"/>
        </w:rPr>
        <w:t xml:space="preserve">N9: </w:t>
      </w:r>
      <w:r>
        <w:rPr>
          <w:i/>
          <w:iCs/>
          <w:sz w:val="22"/>
          <w:szCs w:val="22"/>
        </w:rPr>
        <w:t>“They'd ask what I was inhaling. When I said it was medicine, they didn't believe me... They probably found the spray-type inhaler rather peculiar.”</w:t>
      </w:r>
    </w:p>
    <w:p w14:paraId="35B7DAD2">
      <w:pPr>
        <w:spacing w:after="120" w:line="276" w:lineRule="auto"/>
        <w:ind w:left="360"/>
        <w:jc w:val="both"/>
      </w:pPr>
      <w:r>
        <w:rPr>
          <w:b/>
          <w:bCs/>
          <w:sz w:val="22"/>
          <w:szCs w:val="22"/>
        </w:rPr>
        <w:t xml:space="preserve">N10: </w:t>
      </w:r>
      <w:r>
        <w:rPr>
          <w:i/>
          <w:iCs/>
          <w:sz w:val="22"/>
          <w:szCs w:val="22"/>
        </w:rPr>
        <w:t>“After my parents spoke with the teacher several times, and the teacher explained to the class that it's an allergy to dust and not contagious, my classmates gradually understood. The atmosphere is much better now.”</w:t>
      </w:r>
    </w:p>
    <w:p w14:paraId="63234D84">
      <w:pPr>
        <w:pStyle w:val="4"/>
        <w:spacing w:before="160" w:after="80"/>
      </w:pPr>
      <w:r>
        <w:rPr>
          <w:b/>
          <w:bCs/>
          <w:i/>
          <w:iCs/>
          <w:sz w:val="22"/>
          <w:szCs w:val="22"/>
        </w:rPr>
        <w:t>Subtheme 2: Seeking Equal Social Status and Belonging</w:t>
      </w:r>
    </w:p>
    <w:p w14:paraId="2C6AE740">
      <w:pPr>
        <w:spacing w:after="120" w:line="276" w:lineRule="auto"/>
        <w:jc w:val="both"/>
      </w:pPr>
      <w:r>
        <w:rPr>
          <w:sz w:val="22"/>
          <w:szCs w:val="22"/>
        </w:rPr>
        <w:t>Adolescents desired equal interaction in relationships, seeking socially recognised roles rather than being treated as “sick people.”</w:t>
      </w:r>
    </w:p>
    <w:p w14:paraId="67E83B1C">
      <w:pPr>
        <w:spacing w:after="120" w:line="276" w:lineRule="auto"/>
        <w:ind w:left="360"/>
        <w:jc w:val="both"/>
      </w:pPr>
      <w:r>
        <w:rPr>
          <w:b/>
          <w:bCs/>
          <w:sz w:val="22"/>
          <w:szCs w:val="22"/>
        </w:rPr>
        <w:t xml:space="preserve">N13: </w:t>
      </w:r>
      <w:r>
        <w:rPr>
          <w:i/>
          <w:iCs/>
          <w:sz w:val="22"/>
          <w:szCs w:val="22"/>
        </w:rPr>
        <w:t>“When chatting with friends, I still tease them... I joke, 'I get top marks in running – you lot can't even keep up with me!'”</w:t>
      </w:r>
    </w:p>
    <w:p w14:paraId="37801BB5">
      <w:pPr>
        <w:spacing w:after="120" w:line="276" w:lineRule="auto"/>
        <w:ind w:left="360"/>
        <w:jc w:val="both"/>
      </w:pPr>
      <w:r>
        <w:rPr>
          <w:b/>
          <w:bCs/>
          <w:sz w:val="22"/>
          <w:szCs w:val="22"/>
        </w:rPr>
        <w:t xml:space="preserve">N17: </w:t>
      </w:r>
      <w:r>
        <w:rPr>
          <w:i/>
          <w:iCs/>
          <w:sz w:val="22"/>
          <w:szCs w:val="22"/>
        </w:rPr>
        <w:t>“Going to the loo is mainly to avoid awkwardness. If others don't understand and see me taking medication, they might misunderstand and think I'm on my last legs. Taking it in the loo feels calmer, avoids misunderstandings, and prevents unnecessary trouble.”</w:t>
      </w:r>
    </w:p>
    <w:p w14:paraId="780D53D2">
      <w:pPr>
        <w:pStyle w:val="3"/>
        <w:spacing w:before="200" w:after="100"/>
      </w:pPr>
      <w:r>
        <w:rPr>
          <w:b/>
          <w:bCs/>
          <w:sz w:val="24"/>
          <w:szCs w:val="24"/>
        </w:rPr>
        <w:t>Theme 4 (Psychosocial Functioning Dimension): Self-Identity and Psychological Adaptation Needs</w:t>
      </w:r>
    </w:p>
    <w:p w14:paraId="179BF242">
      <w:pPr>
        <w:pStyle w:val="4"/>
        <w:spacing w:before="160" w:after="80"/>
      </w:pPr>
      <w:r>
        <w:rPr>
          <w:b/>
          <w:bCs/>
          <w:i/>
          <w:iCs/>
          <w:sz w:val="22"/>
          <w:szCs w:val="22"/>
        </w:rPr>
        <w:t>Subtheme 1: Achieving Illness Identity and Adaptive Acceptance</w:t>
      </w:r>
    </w:p>
    <w:p w14:paraId="30BE5A92">
      <w:pPr>
        <w:spacing w:after="120" w:line="276" w:lineRule="auto"/>
        <w:jc w:val="both"/>
      </w:pPr>
      <w:r>
        <w:rPr>
          <w:sz w:val="22"/>
          <w:szCs w:val="22"/>
        </w:rPr>
        <w:t>Adolescents gradually recognised illness as part of life, undergoing a psychological shift from rejection to acceptance, and learning to face asthma with equanimity.</w:t>
      </w:r>
    </w:p>
    <w:p w14:paraId="040B7814">
      <w:pPr>
        <w:spacing w:after="120" w:line="276" w:lineRule="auto"/>
        <w:ind w:left="360"/>
        <w:jc w:val="both"/>
      </w:pPr>
      <w:r>
        <w:rPr>
          <w:b/>
          <w:bCs/>
          <w:sz w:val="22"/>
          <w:szCs w:val="22"/>
        </w:rPr>
        <w:t xml:space="preserve">N4: </w:t>
      </w:r>
      <w:r>
        <w:rPr>
          <w:i/>
          <w:iCs/>
          <w:sz w:val="22"/>
          <w:szCs w:val="22"/>
        </w:rPr>
        <w:t>“Sometimes I feel anxious about asthma attacks, especially during group activities with classmates, fearing I'll appear different.”</w:t>
      </w:r>
    </w:p>
    <w:p w14:paraId="1CFF9F0D">
      <w:pPr>
        <w:spacing w:after="120" w:line="276" w:lineRule="auto"/>
        <w:ind w:left="360"/>
        <w:jc w:val="both"/>
      </w:pPr>
      <w:r>
        <w:rPr>
          <w:b/>
          <w:bCs/>
          <w:sz w:val="22"/>
          <w:szCs w:val="22"/>
        </w:rPr>
        <w:t xml:space="preserve">N5: </w:t>
      </w:r>
      <w:r>
        <w:rPr>
          <w:i/>
          <w:iCs/>
          <w:sz w:val="22"/>
          <w:szCs w:val="22"/>
        </w:rPr>
        <w:t>“Though uncomfortable at first, I gradually accepted it. After all, it's part of me—I can't escape it. I also hope to become more independent in managing these issues.”</w:t>
      </w:r>
    </w:p>
    <w:p w14:paraId="32DD5997">
      <w:pPr>
        <w:spacing w:after="120" w:line="276" w:lineRule="auto"/>
        <w:ind w:left="360"/>
        <w:jc w:val="both"/>
      </w:pPr>
      <w:r>
        <w:rPr>
          <w:b/>
          <w:bCs/>
          <w:sz w:val="22"/>
          <w:szCs w:val="22"/>
        </w:rPr>
        <w:t xml:space="preserve">N13: </w:t>
      </w:r>
      <w:r>
        <w:rPr>
          <w:i/>
          <w:iCs/>
          <w:sz w:val="22"/>
          <w:szCs w:val="22"/>
        </w:rPr>
        <w:t>“Honestly, there's not much to discuss; it's difficult to find others like me.”</w:t>
      </w:r>
    </w:p>
    <w:p w14:paraId="3EEB1696">
      <w:pPr>
        <w:pStyle w:val="4"/>
        <w:spacing w:before="160" w:after="80"/>
      </w:pPr>
      <w:r>
        <w:rPr>
          <w:b/>
          <w:bCs/>
          <w:i/>
          <w:iCs/>
          <w:sz w:val="22"/>
          <w:szCs w:val="22"/>
        </w:rPr>
        <w:t>Subtheme 2: Cultivating Psychological Resilience and Positive Growth</w:t>
      </w:r>
    </w:p>
    <w:p w14:paraId="1D6CC4F1">
      <w:pPr>
        <w:spacing w:after="120" w:line="276" w:lineRule="auto"/>
        <w:jc w:val="both"/>
      </w:pPr>
      <w:r>
        <w:rPr>
          <w:sz w:val="22"/>
          <w:szCs w:val="22"/>
        </w:rPr>
        <w:t>In confronting illness, adolescents progressively developed self-regulation and independent thinking. They aspired to enhance their sense of responsibility and psychological resilience through proactive management and reflection.</w:t>
      </w:r>
    </w:p>
    <w:p w14:paraId="780982C3">
      <w:pPr>
        <w:spacing w:after="120" w:line="276" w:lineRule="auto"/>
        <w:ind w:left="360"/>
        <w:jc w:val="both"/>
      </w:pPr>
      <w:r>
        <w:rPr>
          <w:b/>
          <w:bCs/>
          <w:sz w:val="22"/>
          <w:szCs w:val="22"/>
        </w:rPr>
        <w:t xml:space="preserve">N11: </w:t>
      </w:r>
      <w:r>
        <w:rPr>
          <w:i/>
          <w:iCs/>
          <w:sz w:val="22"/>
          <w:szCs w:val="22"/>
        </w:rPr>
        <w:t>“Though I'm somewhat resistant to medication, I understand I must look after myself properly—my condition mustn't interfere with my studies.”</w:t>
      </w:r>
    </w:p>
    <w:p w14:paraId="6611D64D">
      <w:pPr>
        <w:spacing w:after="120" w:line="276" w:lineRule="auto"/>
        <w:ind w:left="360"/>
        <w:jc w:val="both"/>
      </w:pPr>
      <w:r>
        <w:rPr>
          <w:b/>
          <w:bCs/>
          <w:sz w:val="22"/>
          <w:szCs w:val="22"/>
        </w:rPr>
        <w:t xml:space="preserve">N3: </w:t>
      </w:r>
      <w:r>
        <w:rPr>
          <w:i/>
          <w:iCs/>
          <w:sz w:val="22"/>
          <w:szCs w:val="22"/>
        </w:rPr>
        <w:t>“Managing my condition requires self-education. It feels like my parents have stopped caring about me—that's the gist of it.”</w:t>
      </w:r>
    </w:p>
    <w:p w14:paraId="14A6EE6C">
      <w:pPr>
        <w:pStyle w:val="3"/>
        <w:spacing w:before="200" w:after="100"/>
      </w:pPr>
      <w:r>
        <w:rPr>
          <w:b/>
          <w:bCs/>
          <w:sz w:val="24"/>
          <w:szCs w:val="24"/>
        </w:rPr>
        <w:t>Theme 5 (Care Relationship Dimension): The Need to Restructure Care System Relationships</w:t>
      </w:r>
    </w:p>
    <w:p w14:paraId="0E807169">
      <w:pPr>
        <w:pStyle w:val="4"/>
        <w:spacing w:before="160" w:after="80"/>
      </w:pPr>
      <w:r>
        <w:rPr>
          <w:b/>
          <w:bCs/>
          <w:i/>
          <w:iCs/>
          <w:sz w:val="22"/>
          <w:szCs w:val="22"/>
        </w:rPr>
        <w:t>Subtheme 1: Establishing Supportive and Empowering Relationships Within the Family</w:t>
      </w:r>
    </w:p>
    <w:p w14:paraId="48BEF6D3">
      <w:pPr>
        <w:spacing w:after="120" w:line="276" w:lineRule="auto"/>
        <w:jc w:val="both"/>
      </w:pPr>
      <w:r>
        <w:rPr>
          <w:sz w:val="22"/>
          <w:szCs w:val="22"/>
        </w:rPr>
        <w:t>Adolescents hoped that family care could evolve from unilateral caregiving towards collaborative co-management. While providing support, parents should afford them appropriate space to gain experience in independent management through practice.</w:t>
      </w:r>
    </w:p>
    <w:p w14:paraId="67E7BFBF">
      <w:pPr>
        <w:spacing w:after="120" w:line="276" w:lineRule="auto"/>
        <w:ind w:left="360"/>
        <w:jc w:val="both"/>
      </w:pPr>
      <w:r>
        <w:rPr>
          <w:b/>
          <w:bCs/>
          <w:sz w:val="22"/>
          <w:szCs w:val="22"/>
        </w:rPr>
        <w:t xml:space="preserve">N6: </w:t>
      </w:r>
      <w:r>
        <w:rPr>
          <w:i/>
          <w:iCs/>
          <w:sz w:val="22"/>
          <w:szCs w:val="22"/>
        </w:rPr>
        <w:t>“I actually wish they'd give me a bit more leeway to take responsibility myself. For instance, I can manage medication and record episodes independently—they don't need to remind me every time.”</w:t>
      </w:r>
    </w:p>
    <w:p w14:paraId="718147B1">
      <w:pPr>
        <w:spacing w:after="120" w:line="276" w:lineRule="auto"/>
        <w:ind w:left="360"/>
        <w:jc w:val="both"/>
      </w:pPr>
      <w:r>
        <w:rPr>
          <w:b/>
          <w:bCs/>
          <w:sz w:val="22"/>
          <w:szCs w:val="22"/>
        </w:rPr>
        <w:t xml:space="preserve">N9: </w:t>
      </w:r>
      <w:r>
        <w:rPr>
          <w:i/>
          <w:iCs/>
          <w:sz w:val="22"/>
          <w:szCs w:val="22"/>
        </w:rPr>
        <w:t>“I'd rather be treated as an adult, as I often wish to make my own decisions. Though I aspire to take charge, certain matters remain beyond my grasp for now, as my capabilities haven't quite caught up. Still, I believe that through hard work, I can achieve much more.”</w:t>
      </w:r>
    </w:p>
    <w:p w14:paraId="26EC7AE9">
      <w:pPr>
        <w:spacing w:after="120" w:line="276" w:lineRule="auto"/>
        <w:ind w:left="360"/>
        <w:jc w:val="both"/>
      </w:pPr>
      <w:r>
        <w:rPr>
          <w:b/>
          <w:bCs/>
          <w:sz w:val="22"/>
          <w:szCs w:val="22"/>
        </w:rPr>
        <w:t xml:space="preserve">N17: </w:t>
      </w:r>
      <w:r>
        <w:rPr>
          <w:i/>
          <w:iCs/>
          <w:sz w:val="22"/>
          <w:szCs w:val="22"/>
        </w:rPr>
        <w:t>“Previously, my parents always collected my prescriptions for me, so I haven't been to the hospital very often. I do hope to be able to go by myself in future.”</w:t>
      </w:r>
    </w:p>
    <w:p w14:paraId="7825A51C">
      <w:pPr>
        <w:pStyle w:val="4"/>
        <w:spacing w:before="160" w:after="80"/>
      </w:pPr>
      <w:r>
        <w:rPr>
          <w:b/>
          <w:bCs/>
          <w:i/>
          <w:iCs/>
          <w:sz w:val="22"/>
          <w:szCs w:val="22"/>
        </w:rPr>
        <w:t>Subtheme 2: Expecting a Shift Towards More Adult-Oriented Doctor–Patient Interaction</w:t>
      </w:r>
    </w:p>
    <w:p w14:paraId="2FC89C91">
      <w:pPr>
        <w:spacing w:after="120" w:line="276" w:lineRule="auto"/>
        <w:jc w:val="both"/>
      </w:pPr>
      <w:r>
        <w:rPr>
          <w:sz w:val="22"/>
          <w:szCs w:val="22"/>
        </w:rPr>
        <w:t>Adolescents desired more open and equal doctor–patient communication, in which clinicians listen, understand and provide positive feedback rather than issuing one-way directives. They sought respect and trust during consultations to foster a greater sense of involvement in their treatment.</w:t>
      </w:r>
    </w:p>
    <w:p w14:paraId="043BCF4A">
      <w:pPr>
        <w:spacing w:after="120" w:line="276" w:lineRule="auto"/>
        <w:ind w:left="360"/>
        <w:jc w:val="both"/>
      </w:pPr>
      <w:r>
        <w:rPr>
          <w:b/>
          <w:bCs/>
          <w:sz w:val="22"/>
          <w:szCs w:val="22"/>
        </w:rPr>
        <w:t xml:space="preserve">N4: </w:t>
      </w:r>
      <w:r>
        <w:rPr>
          <w:i/>
          <w:iCs/>
          <w:sz w:val="22"/>
          <w:szCs w:val="22"/>
        </w:rPr>
        <w:t>“I feel that if doctors could offer me more positive feedback, it would boost my confidence considerably. If they merely tell me what to do without any encouragement, I might find it harder to stay motivated.”</w:t>
      </w:r>
    </w:p>
    <w:p w14:paraId="367D3E75">
      <w:pPr>
        <w:spacing w:after="120" w:line="276" w:lineRule="auto"/>
        <w:ind w:left="360"/>
        <w:jc w:val="both"/>
      </w:pPr>
      <w:r>
        <w:rPr>
          <w:b/>
          <w:bCs/>
          <w:sz w:val="22"/>
          <w:szCs w:val="22"/>
        </w:rPr>
        <w:t xml:space="preserve">N11: </w:t>
      </w:r>
      <w:r>
        <w:rPr>
          <w:i/>
          <w:iCs/>
          <w:sz w:val="22"/>
          <w:szCs w:val="22"/>
        </w:rPr>
        <w:t>“I wish doctors would listen to me more and pay closer attention to my symptoms. Sometimes when I go to see a doctor alone, I feel they don't quite trust me, as if I'm not explaining myself clearly enough, which is rather upsetting. I hope they could place more trust in me.”</w:t>
      </w:r>
      <w:bookmarkStart w:id="0" w:name="_GoBack"/>
      <w:bookmarkEnd w:id="0"/>
    </w:p>
    <w:sectPr>
      <w:pgSz w:w="11906" w:h="16838"/>
      <w:pgMar w:top="1134" w:right="1418" w:bottom="1134" w:left="1418"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displayBackgroundShape w:val="1"/>
  <w:documentProtection w:enforcement="0"/>
  <w:compat>
    <w:useFELayout/>
    <w:compatSetting w:name="compatibilityMode" w:uri="http://schemas.microsoft.com/office/word" w:val="15"/>
  </w:compat>
  <w:rsids>
    <w:rsidRoot w:val="00000000"/>
    <w:rsid w:val="15245F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2"/>
      <w:szCs w:val="22"/>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2"/>
      <w:szCs w:val="22"/>
    </w:rPr>
  </w:style>
  <w:style w:type="paragraph" w:styleId="6">
    <w:name w:val="heading 5"/>
    <w:next w:val="1"/>
    <w:qFormat/>
    <w:uiPriority w:val="0"/>
    <w:rPr>
      <w:rFonts w:ascii="Times New Roman" w:hAnsi="Times New Roman" w:eastAsia="Times New Roman" w:cs="Times New Roman"/>
      <w:color w:val="2E74B5"/>
      <w:sz w:val="22"/>
      <w:szCs w:val="22"/>
    </w:rPr>
  </w:style>
  <w:style w:type="paragraph" w:styleId="7">
    <w:name w:val="heading 6"/>
    <w:next w:val="1"/>
    <w:qFormat/>
    <w:uiPriority w:val="0"/>
    <w:rPr>
      <w:rFonts w:ascii="Times New Roman" w:hAnsi="Times New Roman" w:eastAsia="Times New Roman" w:cs="Times New Roman"/>
      <w:color w:val="1F4D78"/>
      <w:sz w:val="22"/>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paragraph" w:styleId="10">
    <w:name w:val="Title"/>
    <w:qFormat/>
    <w:uiPriority w:val="0"/>
    <w:rPr>
      <w:rFonts w:ascii="Times New Roman" w:hAnsi="Times New Roman" w:eastAsia="Times New Roman"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Times New Roman" w:cs="Times New Roman"/>
      <w:sz w:val="22"/>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496</Words>
  <Characters>2975</Characters>
  <TotalTime>0</TotalTime>
  <ScaleCrop>false</ScaleCrop>
  <LinksUpToDate>false</LinksUpToDate>
  <CharactersWithSpaces>3452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2026-10-03T18:30:00Z</dcterms:created>
  <dc:creator>Wenqi Li</dc:creator>
  <cp:lastModifiedBy>李文琪</cp:lastModifiedBy>
  <dcterms:modified xsi:type="dcterms:W3CDTF">2026-10-03T18:40:02Z</dcterms:modified>
  <dc:title>Supplementary Material S2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573324833341127_0/project_7664890953974645034-files/Supplementary_Material_S2_质性补充.docx","ReservedCode1":"","ContentPropagator":"001191110102MACQD9K64028705","PropagateID":"573324833341127#1791052735818","ReservedCode2":""}</vt:lpwstr>
  </property>
  <property fmtid="{D5CDD505-2E9C-101B-9397-08002B2CF9AE}" pid="3" name="KSOProductBuildVer">
    <vt:lpwstr>2052-12.1.0.28505</vt:lpwstr>
  </property>
  <property fmtid="{D5CDD505-2E9C-101B-9397-08002B2CF9AE}" pid="4" name="ICV">
    <vt:lpwstr>1E2C5989F36E470B906027D5AF525DF5_13</vt:lpwstr>
  </property>
</Properties>
</file>