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270" w:rsidRPr="00DE01C3" w:rsidRDefault="003C336D">
      <w:pPr>
        <w:rPr>
          <w:rFonts w:ascii="Times New Roman" w:hAnsi="Times New Roman"/>
          <w:sz w:val="24"/>
          <w:lang w:val="en-US"/>
        </w:rPr>
      </w:pPr>
      <w:r w:rsidRPr="00DE01C3">
        <w:rPr>
          <w:rFonts w:ascii="Times New Roman" w:hAnsi="Times New Roman"/>
          <w:sz w:val="24"/>
          <w:lang w:val="en-US"/>
        </w:rPr>
        <w:t xml:space="preserve">Table </w:t>
      </w:r>
      <w:r>
        <w:rPr>
          <w:rFonts w:ascii="Times New Roman" w:hAnsi="Times New Roman"/>
          <w:sz w:val="24"/>
          <w:lang w:val="en-US"/>
        </w:rPr>
        <w:t>S</w:t>
      </w:r>
      <w:r w:rsidR="00045266" w:rsidRPr="00DE01C3">
        <w:rPr>
          <w:rFonts w:ascii="Times New Roman" w:hAnsi="Times New Roman"/>
          <w:sz w:val="24"/>
          <w:lang w:val="en-US"/>
        </w:rPr>
        <w:t>1. Descriptive statistics at baseline</w:t>
      </w:r>
      <w:r w:rsidR="00DE01C3" w:rsidRPr="00DE01C3">
        <w:rPr>
          <w:rFonts w:ascii="Times New Roman" w:hAnsi="Times New Roman"/>
          <w:sz w:val="24"/>
          <w:lang w:val="en-US"/>
        </w:rPr>
        <w:t xml:space="preserve"> (means and standard deviations)</w:t>
      </w:r>
    </w:p>
    <w:tbl>
      <w:tblPr>
        <w:tblStyle w:val="TableGrid"/>
        <w:tblW w:w="0" w:type="auto"/>
        <w:tblLook w:val="04A0"/>
      </w:tblPr>
      <w:tblGrid>
        <w:gridCol w:w="2616"/>
        <w:gridCol w:w="2460"/>
        <w:gridCol w:w="2428"/>
        <w:gridCol w:w="2350"/>
      </w:tblGrid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6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TAU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ILC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P-value</w:t>
            </w:r>
          </w:p>
        </w:tc>
      </w:tr>
      <w:tr w:rsidR="00E36355" w:rsidRPr="00DE01C3" w:rsidTr="00045266">
        <w:tc>
          <w:tcPr>
            <w:tcW w:w="2616" w:type="dxa"/>
          </w:tcPr>
          <w:p w:rsidR="00E36355" w:rsidRPr="00DE01C3" w:rsidRDefault="00E36355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Days of substance use</w:t>
            </w:r>
          </w:p>
        </w:tc>
        <w:tc>
          <w:tcPr>
            <w:tcW w:w="2460" w:type="dxa"/>
          </w:tcPr>
          <w:p w:rsidR="00E36355" w:rsidRPr="00DE01C3" w:rsidRDefault="00E36355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28" w:type="dxa"/>
          </w:tcPr>
          <w:p w:rsidR="00E36355" w:rsidRPr="00DE01C3" w:rsidRDefault="00E36355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350" w:type="dxa"/>
          </w:tcPr>
          <w:p w:rsidR="00E36355" w:rsidRPr="00DE01C3" w:rsidRDefault="00E36355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Alcohol use</w:t>
            </w:r>
          </w:p>
        </w:tc>
        <w:tc>
          <w:tcPr>
            <w:tcW w:w="2460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6.46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8.45)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4.81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6.97)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0.225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Alcohol, +5 units per day</w:t>
            </w:r>
          </w:p>
        </w:tc>
        <w:tc>
          <w:tcPr>
            <w:tcW w:w="2460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3.44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5.92)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3.16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5.61)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0.784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Heroin</w:t>
            </w:r>
          </w:p>
        </w:tc>
        <w:tc>
          <w:tcPr>
            <w:tcW w:w="246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1.48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5.15)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0.49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2.75)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0.164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Methadone</w:t>
            </w:r>
          </w:p>
        </w:tc>
        <w:tc>
          <w:tcPr>
            <w:tcW w:w="246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7.20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12.83)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7.73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12.87)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0.817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Other opioids</w:t>
            </w:r>
          </w:p>
        </w:tc>
        <w:tc>
          <w:tcPr>
            <w:tcW w:w="2460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0.92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4.27)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0.83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3.26)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0.901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Tranquilizers</w:t>
            </w:r>
          </w:p>
        </w:tc>
        <w:tc>
          <w:tcPr>
            <w:tcW w:w="246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8.00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12.26)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7.42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11.93)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0.786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Cocaine</w:t>
            </w:r>
          </w:p>
        </w:tc>
        <w:tc>
          <w:tcPr>
            <w:tcW w:w="246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1.31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3.91)</w:t>
            </w:r>
          </w:p>
        </w:tc>
        <w:tc>
          <w:tcPr>
            <w:tcW w:w="2428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1.31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4.38)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0.995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Amphetamines</w:t>
            </w:r>
          </w:p>
        </w:tc>
        <w:tc>
          <w:tcPr>
            <w:tcW w:w="246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0.36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0.83)</w:t>
            </w:r>
          </w:p>
        </w:tc>
        <w:tc>
          <w:tcPr>
            <w:tcW w:w="2428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1.43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3.83)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0.037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Cannabis</w:t>
            </w:r>
          </w:p>
        </w:tc>
        <w:tc>
          <w:tcPr>
            <w:tcW w:w="246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13.54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12.86)</w:t>
            </w:r>
          </w:p>
        </w:tc>
        <w:tc>
          <w:tcPr>
            <w:tcW w:w="2428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24.26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13.09)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0.755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Hallucinogenes</w:t>
            </w:r>
          </w:p>
        </w:tc>
        <w:tc>
          <w:tcPr>
            <w:tcW w:w="2460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0.14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0.71)</w:t>
            </w:r>
          </w:p>
        </w:tc>
        <w:tc>
          <w:tcPr>
            <w:tcW w:w="2428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0.04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0.26)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0.284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Inhalants</w:t>
            </w:r>
          </w:p>
        </w:tc>
        <w:tc>
          <w:tcPr>
            <w:tcW w:w="2460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0.00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0.00)</w:t>
            </w:r>
          </w:p>
        </w:tc>
        <w:tc>
          <w:tcPr>
            <w:tcW w:w="2428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0.01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0.12)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0.371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Buprenorphine</w:t>
            </w:r>
          </w:p>
        </w:tc>
        <w:tc>
          <w:tcPr>
            <w:tcW w:w="2460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2.78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8.44)</w:t>
            </w:r>
          </w:p>
        </w:tc>
        <w:tc>
          <w:tcPr>
            <w:tcW w:w="2428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1.64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6.70)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0.390</w:t>
            </w:r>
          </w:p>
        </w:tc>
      </w:tr>
      <w:tr w:rsidR="00045266" w:rsidRPr="00DE01C3" w:rsidTr="00045266">
        <w:tc>
          <w:tcPr>
            <w:tcW w:w="2616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Poly-substance</w:t>
            </w:r>
          </w:p>
        </w:tc>
        <w:tc>
          <w:tcPr>
            <w:tcW w:w="2460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6.77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10.52)</w:t>
            </w:r>
          </w:p>
        </w:tc>
        <w:tc>
          <w:tcPr>
            <w:tcW w:w="2428" w:type="dxa"/>
          </w:tcPr>
          <w:p w:rsidR="00045266" w:rsidRPr="00DE01C3" w:rsidRDefault="00045266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7.57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11.58)</w:t>
            </w:r>
          </w:p>
        </w:tc>
        <w:tc>
          <w:tcPr>
            <w:tcW w:w="2350" w:type="dxa"/>
          </w:tcPr>
          <w:p w:rsidR="00045266" w:rsidRPr="00DE01C3" w:rsidRDefault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0.687</w:t>
            </w:r>
          </w:p>
        </w:tc>
      </w:tr>
      <w:tr w:rsidR="00E36355" w:rsidRPr="00DE01C3" w:rsidTr="00045266">
        <w:tc>
          <w:tcPr>
            <w:tcW w:w="2616" w:type="dxa"/>
          </w:tcPr>
          <w:p w:rsidR="00E36355" w:rsidRPr="00DE01C3" w:rsidRDefault="00E36355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Conduct disorder criteria</w:t>
            </w:r>
          </w:p>
        </w:tc>
        <w:tc>
          <w:tcPr>
            <w:tcW w:w="2460" w:type="dxa"/>
          </w:tcPr>
          <w:p w:rsidR="00E36355" w:rsidRPr="00DE01C3" w:rsidRDefault="00E36355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3.90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0.80</w:t>
            </w:r>
            <w:r w:rsidR="00DE01C3" w:rsidRPr="00DE01C3">
              <w:rPr>
                <w:rFonts w:ascii="Times New Roman" w:hAnsi="Times New Roman"/>
                <w:sz w:val="24"/>
                <w:lang w:val="en-US"/>
              </w:rPr>
              <w:t>)</w:t>
            </w:r>
          </w:p>
        </w:tc>
        <w:tc>
          <w:tcPr>
            <w:tcW w:w="2428" w:type="dxa"/>
          </w:tcPr>
          <w:p w:rsidR="00E36355" w:rsidRPr="00DE01C3" w:rsidRDefault="00E36355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4.04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0.83)</w:t>
            </w:r>
          </w:p>
        </w:tc>
        <w:tc>
          <w:tcPr>
            <w:tcW w:w="2350" w:type="dxa"/>
          </w:tcPr>
          <w:p w:rsidR="00E36355" w:rsidRPr="00DE01C3" w:rsidRDefault="00E36355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0.337</w:t>
            </w:r>
          </w:p>
        </w:tc>
      </w:tr>
      <w:tr w:rsidR="00E36355" w:rsidRPr="00DE01C3" w:rsidTr="00045266">
        <w:tc>
          <w:tcPr>
            <w:tcW w:w="2616" w:type="dxa"/>
          </w:tcPr>
          <w:p w:rsidR="00E36355" w:rsidRPr="00DE01C3" w:rsidRDefault="00E36355" w:rsidP="00E36355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Adult antisocial behaviors</w:t>
            </w:r>
          </w:p>
        </w:tc>
        <w:tc>
          <w:tcPr>
            <w:tcW w:w="2460" w:type="dxa"/>
          </w:tcPr>
          <w:p w:rsidR="00E36355" w:rsidRPr="00DE01C3" w:rsidRDefault="00E36355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4.87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1.07)</w:t>
            </w:r>
          </w:p>
        </w:tc>
        <w:tc>
          <w:tcPr>
            <w:tcW w:w="2428" w:type="dxa"/>
          </w:tcPr>
          <w:p w:rsidR="00E36355" w:rsidRPr="00DE01C3" w:rsidRDefault="00E36355" w:rsidP="00045266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5.14</w:t>
            </w:r>
            <w:r w:rsidR="00DE01C3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r w:rsidRPr="00DE01C3">
              <w:rPr>
                <w:rFonts w:ascii="Times New Roman" w:hAnsi="Times New Roman"/>
                <w:sz w:val="24"/>
                <w:lang w:val="en-US"/>
              </w:rPr>
              <w:t>0.98)</w:t>
            </w:r>
          </w:p>
        </w:tc>
        <w:tc>
          <w:tcPr>
            <w:tcW w:w="2350" w:type="dxa"/>
          </w:tcPr>
          <w:p w:rsidR="00E36355" w:rsidRPr="00DE01C3" w:rsidRDefault="00E36355">
            <w:pPr>
              <w:rPr>
                <w:rFonts w:ascii="Times New Roman" w:hAnsi="Times New Roman"/>
                <w:sz w:val="24"/>
                <w:lang w:val="en-US"/>
              </w:rPr>
            </w:pPr>
            <w:r w:rsidRPr="00DE01C3">
              <w:rPr>
                <w:rFonts w:ascii="Times New Roman" w:hAnsi="Times New Roman"/>
                <w:sz w:val="24"/>
                <w:lang w:val="en-US"/>
              </w:rPr>
              <w:t>0.120</w:t>
            </w:r>
          </w:p>
        </w:tc>
      </w:tr>
    </w:tbl>
    <w:p w:rsidR="00045266" w:rsidRPr="00DE01C3" w:rsidRDefault="00E36355">
      <w:pPr>
        <w:rPr>
          <w:rFonts w:ascii="Times New Roman" w:hAnsi="Times New Roman"/>
          <w:sz w:val="24"/>
          <w:lang w:val="en-US"/>
        </w:rPr>
      </w:pPr>
      <w:r w:rsidRPr="00DE01C3">
        <w:rPr>
          <w:rFonts w:ascii="Times New Roman" w:hAnsi="Times New Roman"/>
          <w:sz w:val="24"/>
          <w:lang w:val="en-US"/>
        </w:rPr>
        <w:t>Notes:</w:t>
      </w:r>
    </w:p>
    <w:p w:rsidR="00E36355" w:rsidRPr="00DE01C3" w:rsidRDefault="00E36355">
      <w:pPr>
        <w:rPr>
          <w:rFonts w:ascii="Times New Roman" w:hAnsi="Times New Roman"/>
          <w:sz w:val="24"/>
          <w:lang w:val="en-US"/>
        </w:rPr>
      </w:pPr>
      <w:r w:rsidRPr="00DE01C3">
        <w:rPr>
          <w:rFonts w:ascii="Times New Roman" w:hAnsi="Times New Roman"/>
          <w:sz w:val="24"/>
          <w:lang w:val="en-US"/>
        </w:rPr>
        <w:t xml:space="preserve">TAU: Treatment as usual. ILC: Impulsive lifestyle counselling. ASRS: ADHD-Self-report scale. </w:t>
      </w:r>
      <w:r w:rsidR="005A593D" w:rsidRPr="00DE01C3">
        <w:rPr>
          <w:rFonts w:ascii="Times New Roman" w:hAnsi="Times New Roman"/>
          <w:sz w:val="24"/>
          <w:lang w:val="en-US"/>
        </w:rPr>
        <w:t>Conduct disorder criteria and adult antisocial behaviors are both counted based on the antisocial personality disorder modul</w:t>
      </w:r>
      <w:bookmarkStart w:id="0" w:name="_GoBack"/>
      <w:bookmarkEnd w:id="0"/>
      <w:r w:rsidR="005A593D" w:rsidRPr="00DE01C3">
        <w:rPr>
          <w:rFonts w:ascii="Times New Roman" w:hAnsi="Times New Roman"/>
          <w:sz w:val="24"/>
          <w:lang w:val="en-US"/>
        </w:rPr>
        <w:t>e of the Mini International Neuropsychiatric Interview.</w:t>
      </w:r>
    </w:p>
    <w:sectPr w:rsidR="00E36355" w:rsidRPr="00DE01C3" w:rsidSect="009022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/>
  <w:rsids>
    <w:rsidRoot w:val="00045266"/>
    <w:rsid w:val="00035667"/>
    <w:rsid w:val="00045266"/>
    <w:rsid w:val="001E393A"/>
    <w:rsid w:val="003C336D"/>
    <w:rsid w:val="0046000F"/>
    <w:rsid w:val="005908E9"/>
    <w:rsid w:val="005A593D"/>
    <w:rsid w:val="007B2B88"/>
    <w:rsid w:val="0090229B"/>
    <w:rsid w:val="00AA5405"/>
    <w:rsid w:val="00DE01C3"/>
    <w:rsid w:val="00E3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5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45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BSS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Hesse</dc:creator>
  <cp:lastModifiedBy>CESCORA</cp:lastModifiedBy>
  <cp:revision>3</cp:revision>
  <dcterms:created xsi:type="dcterms:W3CDTF">2015-09-21T15:05:00Z</dcterms:created>
  <dcterms:modified xsi:type="dcterms:W3CDTF">2015-11-11T04:51:00Z</dcterms:modified>
</cp:coreProperties>
</file>