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jc w:val="center"/>
        <w:tblInd w:w="-1132" w:type="dxa"/>
        <w:tblLayout w:type="fixed"/>
        <w:tblLook w:val="04A0" w:firstRow="1" w:lastRow="0" w:firstColumn="1" w:lastColumn="0" w:noHBand="0" w:noVBand="1"/>
      </w:tblPr>
      <w:tblGrid>
        <w:gridCol w:w="2407"/>
        <w:gridCol w:w="1134"/>
        <w:gridCol w:w="1276"/>
        <w:gridCol w:w="850"/>
        <w:gridCol w:w="851"/>
        <w:gridCol w:w="1134"/>
        <w:gridCol w:w="1129"/>
      </w:tblGrid>
      <w:tr w:rsidR="00B03B96" w:rsidRPr="00424F0C" w:rsidTr="009F25DD">
        <w:trPr>
          <w:jc w:val="center"/>
        </w:trPr>
        <w:tc>
          <w:tcPr>
            <w:tcW w:w="8781" w:type="dxa"/>
            <w:gridSpan w:val="7"/>
            <w:tcBorders>
              <w:bottom w:val="single" w:sz="4" w:space="0" w:color="auto"/>
            </w:tcBorders>
          </w:tcPr>
          <w:p w:rsidR="00B03B96" w:rsidRPr="005D68C6" w:rsidRDefault="00B03B96" w:rsidP="009F25DD">
            <w:pPr>
              <w:spacing w:line="240" w:lineRule="auto"/>
              <w:rPr>
                <w:bCs/>
                <w:sz w:val="18"/>
                <w:szCs w:val="18"/>
                <w:lang w:val="en-US"/>
              </w:rPr>
            </w:pPr>
            <w:r>
              <w:rPr>
                <w:b/>
                <w:bCs/>
                <w:sz w:val="18"/>
                <w:szCs w:val="18"/>
                <w:lang w:val="en-US"/>
              </w:rPr>
              <w:t>Table 2</w:t>
            </w:r>
            <w:r w:rsidRPr="005D68C6">
              <w:rPr>
                <w:b/>
                <w:bCs/>
                <w:sz w:val="18"/>
                <w:szCs w:val="18"/>
                <w:lang w:val="en-US"/>
              </w:rPr>
              <w:t xml:space="preserve">. </w:t>
            </w:r>
            <w:r>
              <w:rPr>
                <w:bCs/>
                <w:sz w:val="18"/>
                <w:szCs w:val="18"/>
                <w:lang w:val="en-US"/>
              </w:rPr>
              <w:t>Associations between scanner and cortical thickness in controls</w:t>
            </w:r>
          </w:p>
        </w:tc>
      </w:tr>
      <w:tr w:rsidR="00B03B96" w:rsidRPr="000D4E55" w:rsidTr="009F25DD">
        <w:trPr>
          <w:jc w:val="center"/>
        </w:trPr>
        <w:tc>
          <w:tcPr>
            <w:tcW w:w="2407" w:type="dxa"/>
            <w:tcBorders>
              <w:top w:val="single" w:sz="4" w:space="0" w:color="auto"/>
              <w:bottom w:val="single" w:sz="4" w:space="0" w:color="auto"/>
            </w:tcBorders>
          </w:tcPr>
          <w:p w:rsidR="00B03B96" w:rsidRPr="00036173" w:rsidRDefault="00B03B96" w:rsidP="009F25DD">
            <w:pPr>
              <w:spacing w:line="240" w:lineRule="auto"/>
              <w:jc w:val="center"/>
              <w:rPr>
                <w:b/>
                <w:sz w:val="18"/>
                <w:szCs w:val="18"/>
                <w:u w:val="single"/>
                <w:lang w:val="en-US"/>
              </w:rPr>
            </w:pPr>
            <w:r w:rsidRPr="00036173">
              <w:rPr>
                <w:b/>
                <w:sz w:val="18"/>
                <w:szCs w:val="18"/>
                <w:u w:val="single"/>
                <w:lang w:val="en-US"/>
              </w:rPr>
              <w:t>Annotation max vertex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B03B96" w:rsidRPr="005D68C6" w:rsidRDefault="00B03B96" w:rsidP="009F25DD">
            <w:pPr>
              <w:spacing w:line="240" w:lineRule="auto"/>
              <w:jc w:val="center"/>
              <w:rPr>
                <w:b/>
                <w:sz w:val="18"/>
                <w:szCs w:val="18"/>
                <w:u w:val="single"/>
                <w:lang w:val="en-US"/>
              </w:rPr>
            </w:pPr>
            <w:r>
              <w:rPr>
                <w:b/>
                <w:sz w:val="18"/>
                <w:szCs w:val="18"/>
                <w:u w:val="single"/>
                <w:lang w:val="en-US"/>
              </w:rPr>
              <w:t>Controls scanner 1 (n=12)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B03B96" w:rsidRPr="005D68C6" w:rsidRDefault="00B03B96" w:rsidP="009F25DD">
            <w:pPr>
              <w:spacing w:line="240" w:lineRule="auto"/>
              <w:jc w:val="center"/>
              <w:rPr>
                <w:b/>
                <w:sz w:val="18"/>
                <w:szCs w:val="18"/>
                <w:u w:val="single"/>
                <w:lang w:val="en-US"/>
              </w:rPr>
            </w:pPr>
            <w:r>
              <w:rPr>
                <w:b/>
                <w:sz w:val="18"/>
                <w:szCs w:val="18"/>
                <w:u w:val="single"/>
                <w:lang w:val="en-US"/>
              </w:rPr>
              <w:t>Controls scanner 2   (n=16)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B03B96" w:rsidRPr="005D68C6" w:rsidRDefault="00B03B96" w:rsidP="009F25DD">
            <w:pPr>
              <w:spacing w:line="240" w:lineRule="auto"/>
              <w:jc w:val="center"/>
              <w:rPr>
                <w:sz w:val="18"/>
                <w:szCs w:val="18"/>
                <w:u w:val="single"/>
                <w:lang w:val="en-US"/>
              </w:rPr>
            </w:pPr>
            <w:proofErr w:type="spellStart"/>
            <w:r>
              <w:rPr>
                <w:b/>
                <w:bCs/>
                <w:sz w:val="18"/>
                <w:szCs w:val="18"/>
                <w:u w:val="single"/>
                <w:lang w:val="en-US"/>
              </w:rPr>
              <w:t>Un</w:t>
            </w:r>
            <w:r w:rsidRPr="005D68C6">
              <w:rPr>
                <w:b/>
                <w:bCs/>
                <w:sz w:val="18"/>
                <w:szCs w:val="18"/>
                <w:u w:val="single"/>
                <w:lang w:val="en-US"/>
              </w:rPr>
              <w:t>standarized</w:t>
            </w:r>
            <w:proofErr w:type="spellEnd"/>
            <w:r w:rsidRPr="005D68C6">
              <w:rPr>
                <w:b/>
                <w:bCs/>
                <w:sz w:val="18"/>
                <w:szCs w:val="18"/>
                <w:u w:val="single"/>
                <w:lang w:val="en-US"/>
              </w:rPr>
              <w:t xml:space="preserve"> coefficient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B03B96" w:rsidRPr="005D68C6" w:rsidRDefault="00B03B96" w:rsidP="009F25DD">
            <w:pPr>
              <w:spacing w:line="240" w:lineRule="auto"/>
              <w:jc w:val="center"/>
              <w:rPr>
                <w:sz w:val="18"/>
                <w:szCs w:val="18"/>
                <w:u w:val="single"/>
                <w:lang w:val="en-US"/>
              </w:rPr>
            </w:pPr>
          </w:p>
        </w:tc>
        <w:tc>
          <w:tcPr>
            <w:tcW w:w="1129" w:type="dxa"/>
            <w:tcBorders>
              <w:top w:val="single" w:sz="4" w:space="0" w:color="auto"/>
              <w:bottom w:val="single" w:sz="4" w:space="0" w:color="auto"/>
            </w:tcBorders>
          </w:tcPr>
          <w:p w:rsidR="00B03B96" w:rsidRPr="005D68C6" w:rsidRDefault="00B03B96" w:rsidP="009F25DD">
            <w:pPr>
              <w:spacing w:line="240" w:lineRule="auto"/>
              <w:jc w:val="center"/>
              <w:rPr>
                <w:b/>
                <w:bCs/>
                <w:sz w:val="18"/>
                <w:szCs w:val="18"/>
                <w:u w:val="single"/>
                <w:lang w:val="en-US"/>
              </w:rPr>
            </w:pPr>
          </w:p>
        </w:tc>
      </w:tr>
      <w:tr w:rsidR="00B03B96" w:rsidRPr="005D68C6" w:rsidTr="009F25DD">
        <w:trPr>
          <w:jc w:val="center"/>
        </w:trPr>
        <w:tc>
          <w:tcPr>
            <w:tcW w:w="2407" w:type="dxa"/>
            <w:tcBorders>
              <w:top w:val="single" w:sz="4" w:space="0" w:color="auto"/>
            </w:tcBorders>
          </w:tcPr>
          <w:p w:rsidR="00B03B96" w:rsidRPr="005D68C6" w:rsidRDefault="00B03B96" w:rsidP="009F25DD">
            <w:pPr>
              <w:spacing w:line="240" w:lineRule="auto"/>
              <w:jc w:val="center"/>
              <w:rPr>
                <w:b/>
                <w:bCs/>
                <w:sz w:val="18"/>
                <w:szCs w:val="18"/>
                <w:lang w:val="en-US"/>
              </w:rPr>
            </w:pPr>
          </w:p>
        </w:tc>
        <w:tc>
          <w:tcPr>
            <w:tcW w:w="1134" w:type="dxa"/>
            <w:tcBorders>
              <w:top w:val="single" w:sz="4" w:space="0" w:color="auto"/>
            </w:tcBorders>
          </w:tcPr>
          <w:p w:rsidR="00B03B96" w:rsidRPr="005D68C6" w:rsidRDefault="00B03B96" w:rsidP="009F25DD">
            <w:pPr>
              <w:spacing w:line="240" w:lineRule="auto"/>
              <w:jc w:val="center"/>
              <w:rPr>
                <w:b/>
                <w:sz w:val="18"/>
                <w:szCs w:val="18"/>
                <w:lang w:val="en-US"/>
              </w:rPr>
            </w:pPr>
            <w:r>
              <w:rPr>
                <w:b/>
                <w:sz w:val="18"/>
                <w:szCs w:val="18"/>
                <w:lang w:val="en-US"/>
              </w:rPr>
              <w:t xml:space="preserve">Mean </w:t>
            </w:r>
            <w:r w:rsidRPr="005D68C6">
              <w:rPr>
                <w:b/>
                <w:sz w:val="18"/>
                <w:szCs w:val="18"/>
                <w:lang w:val="en-US"/>
              </w:rPr>
              <w:t>(SD)</w:t>
            </w:r>
          </w:p>
        </w:tc>
        <w:tc>
          <w:tcPr>
            <w:tcW w:w="1276" w:type="dxa"/>
            <w:tcBorders>
              <w:top w:val="single" w:sz="4" w:space="0" w:color="auto"/>
            </w:tcBorders>
          </w:tcPr>
          <w:p w:rsidR="00B03B96" w:rsidRPr="005D68C6" w:rsidRDefault="00B03B96" w:rsidP="009F25DD">
            <w:pPr>
              <w:spacing w:line="240" w:lineRule="auto"/>
              <w:jc w:val="center"/>
              <w:rPr>
                <w:b/>
                <w:sz w:val="18"/>
                <w:szCs w:val="18"/>
                <w:lang w:val="en-US"/>
              </w:rPr>
            </w:pPr>
            <w:r>
              <w:rPr>
                <w:b/>
                <w:sz w:val="18"/>
                <w:szCs w:val="18"/>
                <w:lang w:val="en-US"/>
              </w:rPr>
              <w:t>Mean</w:t>
            </w:r>
            <w:r w:rsidRPr="005D68C6">
              <w:rPr>
                <w:b/>
                <w:sz w:val="18"/>
                <w:szCs w:val="18"/>
                <w:lang w:val="en-US"/>
              </w:rPr>
              <w:t xml:space="preserve"> (SD)</w:t>
            </w:r>
          </w:p>
        </w:tc>
        <w:tc>
          <w:tcPr>
            <w:tcW w:w="850" w:type="dxa"/>
            <w:tcBorders>
              <w:top w:val="single" w:sz="4" w:space="0" w:color="auto"/>
            </w:tcBorders>
          </w:tcPr>
          <w:p w:rsidR="00B03B96" w:rsidRPr="005D68C6" w:rsidRDefault="00B03B96" w:rsidP="009F25DD">
            <w:pPr>
              <w:spacing w:line="240" w:lineRule="auto"/>
              <w:jc w:val="center"/>
              <w:rPr>
                <w:b/>
                <w:bCs/>
                <w:sz w:val="18"/>
                <w:szCs w:val="18"/>
                <w:lang w:val="en-US"/>
              </w:rPr>
            </w:pPr>
            <w:r w:rsidRPr="005D68C6">
              <w:rPr>
                <w:b/>
                <w:bCs/>
                <w:sz w:val="18"/>
                <w:szCs w:val="18"/>
                <w:lang w:val="en-US"/>
              </w:rPr>
              <w:t>B</w:t>
            </w:r>
          </w:p>
        </w:tc>
        <w:tc>
          <w:tcPr>
            <w:tcW w:w="851" w:type="dxa"/>
            <w:tcBorders>
              <w:top w:val="single" w:sz="4" w:space="0" w:color="auto"/>
            </w:tcBorders>
          </w:tcPr>
          <w:p w:rsidR="00B03B96" w:rsidRPr="005D68C6" w:rsidRDefault="00B03B96" w:rsidP="009F25DD">
            <w:pPr>
              <w:spacing w:line="240" w:lineRule="auto"/>
              <w:jc w:val="center"/>
              <w:rPr>
                <w:b/>
                <w:bCs/>
                <w:sz w:val="18"/>
                <w:szCs w:val="18"/>
                <w:lang w:val="en-US"/>
              </w:rPr>
            </w:pPr>
            <w:r w:rsidRPr="005D68C6">
              <w:rPr>
                <w:b/>
                <w:bCs/>
                <w:sz w:val="18"/>
                <w:szCs w:val="18"/>
                <w:lang w:val="en-US"/>
              </w:rPr>
              <w:t>St Error</w:t>
            </w:r>
          </w:p>
        </w:tc>
        <w:tc>
          <w:tcPr>
            <w:tcW w:w="1134" w:type="dxa"/>
            <w:tcBorders>
              <w:top w:val="single" w:sz="4" w:space="0" w:color="auto"/>
            </w:tcBorders>
          </w:tcPr>
          <w:p w:rsidR="00B03B96" w:rsidRPr="005D68C6" w:rsidRDefault="00B03B96" w:rsidP="009F25DD">
            <w:pPr>
              <w:spacing w:line="240" w:lineRule="auto"/>
              <w:jc w:val="center"/>
              <w:rPr>
                <w:b/>
                <w:bCs/>
                <w:sz w:val="18"/>
                <w:szCs w:val="18"/>
                <w:lang w:val="en-US"/>
              </w:rPr>
            </w:pPr>
            <w:proofErr w:type="spellStart"/>
            <w:r>
              <w:rPr>
                <w:b/>
                <w:bCs/>
                <w:sz w:val="18"/>
                <w:szCs w:val="18"/>
                <w:lang w:val="en-US"/>
              </w:rPr>
              <w:t>Stand.beta</w:t>
            </w:r>
            <w:proofErr w:type="spellEnd"/>
          </w:p>
        </w:tc>
        <w:tc>
          <w:tcPr>
            <w:tcW w:w="1129" w:type="dxa"/>
            <w:tcBorders>
              <w:top w:val="single" w:sz="4" w:space="0" w:color="auto"/>
            </w:tcBorders>
          </w:tcPr>
          <w:p w:rsidR="00B03B96" w:rsidRPr="005D68C6" w:rsidRDefault="00B03B96" w:rsidP="009F25DD">
            <w:pPr>
              <w:spacing w:line="240" w:lineRule="auto"/>
              <w:jc w:val="center"/>
              <w:rPr>
                <w:b/>
                <w:bCs/>
                <w:sz w:val="18"/>
                <w:szCs w:val="18"/>
                <w:lang w:val="en-US"/>
              </w:rPr>
            </w:pPr>
            <w:r w:rsidRPr="005D68C6">
              <w:rPr>
                <w:b/>
                <w:bCs/>
                <w:sz w:val="18"/>
                <w:szCs w:val="18"/>
                <w:lang w:val="en-US"/>
              </w:rPr>
              <w:t>Sig</w:t>
            </w:r>
          </w:p>
        </w:tc>
      </w:tr>
      <w:tr w:rsidR="00B03B96" w:rsidRPr="005D68C6" w:rsidTr="009F25DD">
        <w:trPr>
          <w:jc w:val="center"/>
        </w:trPr>
        <w:tc>
          <w:tcPr>
            <w:tcW w:w="2407" w:type="dxa"/>
          </w:tcPr>
          <w:p w:rsidR="00B03B96" w:rsidRPr="005D68C6" w:rsidRDefault="00B03B96" w:rsidP="009F25DD">
            <w:pPr>
              <w:spacing w:line="240" w:lineRule="auto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Left superior parietal gyrus</w:t>
            </w:r>
          </w:p>
        </w:tc>
        <w:tc>
          <w:tcPr>
            <w:tcW w:w="1134" w:type="dxa"/>
          </w:tcPr>
          <w:p w:rsidR="00B03B96" w:rsidRPr="005D68C6" w:rsidRDefault="00B03B96" w:rsidP="009F25DD">
            <w:pPr>
              <w:spacing w:line="240" w:lineRule="auto"/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2.468 (.220)</w:t>
            </w:r>
          </w:p>
        </w:tc>
        <w:tc>
          <w:tcPr>
            <w:tcW w:w="1276" w:type="dxa"/>
          </w:tcPr>
          <w:p w:rsidR="00B03B96" w:rsidRPr="005D68C6" w:rsidRDefault="00B03B96" w:rsidP="009F25DD">
            <w:pPr>
              <w:spacing w:line="240" w:lineRule="auto"/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2.621 (.189)</w:t>
            </w:r>
          </w:p>
        </w:tc>
        <w:tc>
          <w:tcPr>
            <w:tcW w:w="850" w:type="dxa"/>
          </w:tcPr>
          <w:p w:rsidR="00B03B96" w:rsidRPr="005D68C6" w:rsidRDefault="00B03B96" w:rsidP="009F25DD">
            <w:pPr>
              <w:spacing w:line="240" w:lineRule="auto"/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.061</w:t>
            </w:r>
          </w:p>
        </w:tc>
        <w:tc>
          <w:tcPr>
            <w:tcW w:w="851" w:type="dxa"/>
          </w:tcPr>
          <w:p w:rsidR="00B03B96" w:rsidRPr="005D68C6" w:rsidRDefault="00B03B96" w:rsidP="009F25DD">
            <w:pPr>
              <w:spacing w:line="240" w:lineRule="auto"/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.105</w:t>
            </w:r>
          </w:p>
        </w:tc>
        <w:tc>
          <w:tcPr>
            <w:tcW w:w="1134" w:type="dxa"/>
          </w:tcPr>
          <w:p w:rsidR="00B03B96" w:rsidRPr="005D68C6" w:rsidRDefault="00B03B96" w:rsidP="009F25DD">
            <w:pPr>
              <w:spacing w:line="240" w:lineRule="auto"/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.145</w:t>
            </w:r>
          </w:p>
        </w:tc>
        <w:tc>
          <w:tcPr>
            <w:tcW w:w="1129" w:type="dxa"/>
          </w:tcPr>
          <w:p w:rsidR="00B03B96" w:rsidRPr="005D68C6" w:rsidRDefault="00B03B96" w:rsidP="009F25DD">
            <w:pPr>
              <w:spacing w:line="240" w:lineRule="auto"/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.566</w:t>
            </w:r>
          </w:p>
        </w:tc>
      </w:tr>
      <w:tr w:rsidR="00B03B96" w:rsidRPr="005D68C6" w:rsidTr="009F25DD">
        <w:trPr>
          <w:jc w:val="center"/>
        </w:trPr>
        <w:tc>
          <w:tcPr>
            <w:tcW w:w="2407" w:type="dxa"/>
          </w:tcPr>
          <w:p w:rsidR="00B03B96" w:rsidRPr="005D68C6" w:rsidRDefault="00B03B96" w:rsidP="009F25DD">
            <w:pPr>
              <w:spacing w:line="240" w:lineRule="auto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Right superior parietal gyrus</w:t>
            </w:r>
          </w:p>
        </w:tc>
        <w:tc>
          <w:tcPr>
            <w:tcW w:w="1134" w:type="dxa"/>
          </w:tcPr>
          <w:p w:rsidR="00B03B96" w:rsidRPr="005D68C6" w:rsidRDefault="00B03B96" w:rsidP="009F25DD">
            <w:pPr>
              <w:spacing w:line="240" w:lineRule="auto"/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2.404 (.210)</w:t>
            </w:r>
          </w:p>
        </w:tc>
        <w:tc>
          <w:tcPr>
            <w:tcW w:w="1276" w:type="dxa"/>
          </w:tcPr>
          <w:p w:rsidR="00B03B96" w:rsidRPr="005D68C6" w:rsidRDefault="00B03B96" w:rsidP="009F25DD">
            <w:pPr>
              <w:spacing w:line="240" w:lineRule="auto"/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2.494 (.197)</w:t>
            </w:r>
          </w:p>
        </w:tc>
        <w:tc>
          <w:tcPr>
            <w:tcW w:w="850" w:type="dxa"/>
          </w:tcPr>
          <w:p w:rsidR="00B03B96" w:rsidRPr="005D68C6" w:rsidRDefault="00B03B96" w:rsidP="009F25DD">
            <w:pPr>
              <w:spacing w:line="240" w:lineRule="auto"/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-.015</w:t>
            </w:r>
          </w:p>
        </w:tc>
        <w:tc>
          <w:tcPr>
            <w:tcW w:w="851" w:type="dxa"/>
          </w:tcPr>
          <w:p w:rsidR="00B03B96" w:rsidRPr="005D68C6" w:rsidRDefault="00B03B96" w:rsidP="009F25DD">
            <w:pPr>
              <w:spacing w:line="240" w:lineRule="auto"/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.104</w:t>
            </w:r>
          </w:p>
        </w:tc>
        <w:tc>
          <w:tcPr>
            <w:tcW w:w="1134" w:type="dxa"/>
          </w:tcPr>
          <w:p w:rsidR="00B03B96" w:rsidRPr="005D68C6" w:rsidRDefault="00B03B96" w:rsidP="009F25DD">
            <w:pPr>
              <w:spacing w:line="240" w:lineRule="auto"/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-.037</w:t>
            </w:r>
          </w:p>
        </w:tc>
        <w:tc>
          <w:tcPr>
            <w:tcW w:w="1129" w:type="dxa"/>
          </w:tcPr>
          <w:p w:rsidR="00B03B96" w:rsidRPr="005D68C6" w:rsidRDefault="00B03B96" w:rsidP="009F25DD">
            <w:pPr>
              <w:spacing w:line="240" w:lineRule="auto"/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.886</w:t>
            </w:r>
          </w:p>
        </w:tc>
      </w:tr>
      <w:tr w:rsidR="00B03B96" w:rsidRPr="005D68C6" w:rsidTr="009F25DD">
        <w:trPr>
          <w:jc w:val="center"/>
        </w:trPr>
        <w:tc>
          <w:tcPr>
            <w:tcW w:w="2407" w:type="dxa"/>
          </w:tcPr>
          <w:p w:rsidR="00B03B96" w:rsidRPr="005D68C6" w:rsidRDefault="00B03B96" w:rsidP="009F25DD">
            <w:pPr>
              <w:spacing w:line="240" w:lineRule="auto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Right inferior parietal gyrus</w:t>
            </w:r>
          </w:p>
        </w:tc>
        <w:tc>
          <w:tcPr>
            <w:tcW w:w="1134" w:type="dxa"/>
          </w:tcPr>
          <w:p w:rsidR="00B03B96" w:rsidRPr="005D68C6" w:rsidRDefault="00B03B96" w:rsidP="009F25DD">
            <w:pPr>
              <w:spacing w:line="240" w:lineRule="auto"/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2.818 (.206)</w:t>
            </w:r>
          </w:p>
        </w:tc>
        <w:tc>
          <w:tcPr>
            <w:tcW w:w="1276" w:type="dxa"/>
          </w:tcPr>
          <w:p w:rsidR="00B03B96" w:rsidRPr="005D68C6" w:rsidRDefault="00B03B96" w:rsidP="009F25DD">
            <w:pPr>
              <w:spacing w:line="240" w:lineRule="auto"/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2.766 (.190)</w:t>
            </w:r>
          </w:p>
        </w:tc>
        <w:tc>
          <w:tcPr>
            <w:tcW w:w="850" w:type="dxa"/>
          </w:tcPr>
          <w:p w:rsidR="00B03B96" w:rsidRPr="005D68C6" w:rsidRDefault="00B03B96" w:rsidP="009F25DD">
            <w:pPr>
              <w:spacing w:line="240" w:lineRule="auto"/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-.180</w:t>
            </w:r>
          </w:p>
        </w:tc>
        <w:tc>
          <w:tcPr>
            <w:tcW w:w="851" w:type="dxa"/>
          </w:tcPr>
          <w:p w:rsidR="00B03B96" w:rsidRPr="005D68C6" w:rsidRDefault="00B03B96" w:rsidP="009F25DD">
            <w:pPr>
              <w:spacing w:line="240" w:lineRule="auto"/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.099</w:t>
            </w:r>
          </w:p>
        </w:tc>
        <w:tc>
          <w:tcPr>
            <w:tcW w:w="1134" w:type="dxa"/>
          </w:tcPr>
          <w:p w:rsidR="00B03B96" w:rsidRPr="005D68C6" w:rsidRDefault="00B03B96" w:rsidP="009F25DD">
            <w:pPr>
              <w:spacing w:line="240" w:lineRule="auto"/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-.466</w:t>
            </w:r>
          </w:p>
        </w:tc>
        <w:tc>
          <w:tcPr>
            <w:tcW w:w="1129" w:type="dxa"/>
          </w:tcPr>
          <w:p w:rsidR="00B03B96" w:rsidRPr="005D68C6" w:rsidRDefault="00B03B96" w:rsidP="009F25DD">
            <w:pPr>
              <w:spacing w:line="240" w:lineRule="auto"/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.080</w:t>
            </w:r>
          </w:p>
        </w:tc>
      </w:tr>
      <w:tr w:rsidR="00B03B96" w:rsidRPr="005D68C6" w:rsidTr="009F25DD">
        <w:trPr>
          <w:jc w:val="center"/>
        </w:trPr>
        <w:tc>
          <w:tcPr>
            <w:tcW w:w="2407" w:type="dxa"/>
            <w:tcBorders>
              <w:bottom w:val="single" w:sz="4" w:space="0" w:color="auto"/>
            </w:tcBorders>
          </w:tcPr>
          <w:p w:rsidR="00B03B96" w:rsidRPr="005D68C6" w:rsidRDefault="00B03B96" w:rsidP="009F25DD">
            <w:pPr>
              <w:spacing w:line="240" w:lineRule="auto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Right superior frontal gyrus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B03B96" w:rsidRPr="005D68C6" w:rsidRDefault="00B03B96" w:rsidP="009F25DD">
            <w:pPr>
              <w:spacing w:line="240" w:lineRule="auto"/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3.093 (.291)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:rsidR="00B03B96" w:rsidRPr="005D68C6" w:rsidRDefault="00B03B96" w:rsidP="009F25DD">
            <w:pPr>
              <w:spacing w:line="240" w:lineRule="auto"/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3.050 (.167)</w:t>
            </w: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:rsidR="00B03B96" w:rsidRPr="005D68C6" w:rsidRDefault="00B03B96" w:rsidP="009F25DD">
            <w:pPr>
              <w:spacing w:line="240" w:lineRule="auto"/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-.046</w:t>
            </w: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:rsidR="00B03B96" w:rsidRPr="005D68C6" w:rsidRDefault="00B03B96" w:rsidP="009F25DD">
            <w:pPr>
              <w:spacing w:line="240" w:lineRule="auto"/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.122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B03B96" w:rsidRPr="005D68C6" w:rsidRDefault="00B03B96" w:rsidP="009F25DD">
            <w:pPr>
              <w:spacing w:line="240" w:lineRule="auto"/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-.103</w:t>
            </w:r>
          </w:p>
        </w:tc>
        <w:tc>
          <w:tcPr>
            <w:tcW w:w="1129" w:type="dxa"/>
            <w:tcBorders>
              <w:bottom w:val="single" w:sz="4" w:space="0" w:color="auto"/>
            </w:tcBorders>
          </w:tcPr>
          <w:p w:rsidR="00B03B96" w:rsidRPr="005D68C6" w:rsidRDefault="00B03B96" w:rsidP="009F25DD">
            <w:pPr>
              <w:spacing w:line="240" w:lineRule="auto"/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.709</w:t>
            </w:r>
          </w:p>
        </w:tc>
      </w:tr>
      <w:tr w:rsidR="00B03B96" w:rsidRPr="00424F0C" w:rsidTr="009F25DD">
        <w:trPr>
          <w:jc w:val="center"/>
        </w:trPr>
        <w:tc>
          <w:tcPr>
            <w:tcW w:w="8781" w:type="dxa"/>
            <w:gridSpan w:val="7"/>
            <w:tcBorders>
              <w:top w:val="single" w:sz="4" w:space="0" w:color="auto"/>
            </w:tcBorders>
          </w:tcPr>
          <w:p w:rsidR="00B03B96" w:rsidRPr="005D68C6" w:rsidRDefault="00B03B96" w:rsidP="009F25DD">
            <w:pPr>
              <w:spacing w:line="240" w:lineRule="auto"/>
              <w:rPr>
                <w:sz w:val="18"/>
                <w:szCs w:val="18"/>
                <w:lang w:val="en-US"/>
              </w:rPr>
            </w:pPr>
            <w:r w:rsidRPr="005D68C6">
              <w:rPr>
                <w:i/>
                <w:sz w:val="18"/>
                <w:szCs w:val="18"/>
                <w:lang w:val="en-US"/>
              </w:rPr>
              <w:t>Notes:</w:t>
            </w:r>
            <w:r w:rsidRPr="005D68C6">
              <w:rPr>
                <w:sz w:val="18"/>
                <w:szCs w:val="18"/>
                <w:lang w:val="en-US"/>
              </w:rPr>
              <w:t xml:space="preserve"> </w:t>
            </w:r>
            <w:r>
              <w:rPr>
                <w:sz w:val="18"/>
                <w:szCs w:val="18"/>
                <w:lang w:val="en-US"/>
              </w:rPr>
              <w:t xml:space="preserve">Results from linear regression analyses testing for group differences in cortical thickness between controls from scanner 1 and controls from scanner 2. Age was included in the analyses as covariate. Average thickness in each cluster is in mm. </w:t>
            </w:r>
          </w:p>
        </w:tc>
      </w:tr>
    </w:tbl>
    <w:p w:rsidR="00D860B8" w:rsidRPr="00B03B96" w:rsidRDefault="00D860B8">
      <w:pPr>
        <w:rPr>
          <w:lang w:val="en-US"/>
        </w:rPr>
      </w:pPr>
      <w:bookmarkStart w:id="0" w:name="_GoBack"/>
      <w:bookmarkEnd w:id="0"/>
    </w:p>
    <w:sectPr w:rsidR="00D860B8" w:rsidRPr="00B03B9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revisionView w:inkAnnotations="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03B96"/>
    <w:rsid w:val="00B03B96"/>
    <w:rsid w:val="00D860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03B96"/>
    <w:rPr>
      <w:rFonts w:eastAsiaTheme="minorEastAsia"/>
      <w:lang w:eastAsia="nb-NO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03B96"/>
    <w:rPr>
      <w:rFonts w:eastAsiaTheme="minorEastAsia"/>
      <w:lang w:eastAsia="nb-NO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125</Words>
  <Characters>668</Characters>
  <Application>Microsoft Office Word</Application>
  <DocSecurity>0</DocSecurity>
  <Lines>5</Lines>
  <Paragraphs>1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>Helse Midt-Norge</Company>
  <LinksUpToDate>false</LinksUpToDate>
  <CharactersWithSpaces>792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Fuglset, Tone Seim</dc:creator>
  <cp:lastModifiedBy>Fuglset, Tone Seim</cp:lastModifiedBy>
  <cp:revision>1</cp:revision>
  <dcterms:created xsi:type="dcterms:W3CDTF">2016-04-05T11:51:00Z</dcterms:created>
  <dcterms:modified xsi:type="dcterms:W3CDTF">2016-04-05T11:51:00Z</dcterms:modified>
</cp:coreProperties>
</file>