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789" w:type="dxa"/>
        <w:tblLayout w:type="fixed"/>
        <w:tblLook w:val="04A0" w:firstRow="1" w:lastRow="0" w:firstColumn="1" w:lastColumn="0" w:noHBand="0" w:noVBand="1"/>
      </w:tblPr>
      <w:tblGrid>
        <w:gridCol w:w="988"/>
        <w:gridCol w:w="1415"/>
        <w:gridCol w:w="1823"/>
        <w:gridCol w:w="1823"/>
        <w:gridCol w:w="1824"/>
        <w:gridCol w:w="1916"/>
      </w:tblGrid>
      <w:tr w:rsidR="00E60376" w:rsidRPr="008D1862" w:rsidTr="0076787F">
        <w:trPr>
          <w:trHeight w:val="557"/>
        </w:trPr>
        <w:tc>
          <w:tcPr>
            <w:tcW w:w="2403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  <w:rPr>
                <w:b/>
              </w:rPr>
            </w:pPr>
            <w:r w:rsidRPr="008D1862">
              <w:rPr>
                <w:b/>
              </w:rPr>
              <w:t>Protocol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824" w:type="dxa"/>
          </w:tcPr>
          <w:p w:rsidR="00E60376" w:rsidRPr="008D1862" w:rsidRDefault="00E60376" w:rsidP="00E60376">
            <w:pPr>
              <w:spacing w:before="120" w:after="120"/>
              <w:jc w:val="center"/>
              <w:rPr>
                <w:b/>
              </w:rPr>
            </w:pPr>
            <w:r w:rsidRPr="008D1862">
              <w:rPr>
                <w:b/>
              </w:rPr>
              <w:t>RELY 1</w:t>
            </w:r>
          </w:p>
        </w:tc>
        <w:tc>
          <w:tcPr>
            <w:tcW w:w="1916" w:type="dxa"/>
          </w:tcPr>
          <w:p w:rsidR="00E60376" w:rsidRPr="008D1862" w:rsidRDefault="00E60376" w:rsidP="00E60376">
            <w:pPr>
              <w:spacing w:before="120" w:after="120"/>
              <w:jc w:val="center"/>
              <w:rPr>
                <w:b/>
              </w:rPr>
            </w:pPr>
            <w:r w:rsidRPr="008D1862">
              <w:rPr>
                <w:b/>
              </w:rPr>
              <w:t>RELY 2</w:t>
            </w:r>
          </w:p>
        </w:tc>
      </w:tr>
      <w:tr w:rsidR="00E60376" w:rsidRPr="008D1862" w:rsidTr="0076787F">
        <w:trPr>
          <w:trHeight w:val="690"/>
        </w:trPr>
        <w:tc>
          <w:tcPr>
            <w:tcW w:w="2403" w:type="dxa"/>
            <w:gridSpan w:val="2"/>
            <w:vMerge w:val="restart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Study design</w:t>
            </w:r>
          </w:p>
        </w:tc>
        <w:tc>
          <w:tcPr>
            <w:tcW w:w="1823" w:type="dxa"/>
            <w:vMerge w:val="restart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Reliability study followed by a randomi</w:t>
            </w:r>
            <w:r>
              <w:t>s</w:t>
            </w:r>
            <w:r w:rsidRPr="008D1862">
              <w:t>ed trial that compares the functional evaluation with usual practice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3740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 xml:space="preserve">Two </w:t>
            </w:r>
            <w:r>
              <w:t>reproducibility</w:t>
            </w:r>
            <w:r w:rsidRPr="008D1862">
              <w:t xml:space="preserve"> studies</w:t>
            </w:r>
          </w:p>
        </w:tc>
      </w:tr>
      <w:tr w:rsidR="00E60376" w:rsidRPr="008D1862" w:rsidTr="0076787F">
        <w:trPr>
          <w:trHeight w:val="690"/>
        </w:trPr>
        <w:tc>
          <w:tcPr>
            <w:tcW w:w="2403" w:type="dxa"/>
            <w:gridSpan w:val="2"/>
            <w:vMerge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</w:p>
        </w:tc>
        <w:tc>
          <w:tcPr>
            <w:tcW w:w="1823" w:type="dxa"/>
            <w:vMerge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3740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>
              <w:t xml:space="preserve">Comparison of RELY 1 (limited </w:t>
            </w:r>
            <w:r w:rsidRPr="008D1862">
              <w:t>training) with RELY 2 (intensive training)</w:t>
            </w:r>
          </w:p>
        </w:tc>
      </w:tr>
      <w:tr w:rsidR="00E60376" w:rsidRPr="008D1862" w:rsidTr="0076787F">
        <w:trPr>
          <w:trHeight w:val="699"/>
        </w:trPr>
        <w:tc>
          <w:tcPr>
            <w:tcW w:w="988" w:type="dxa"/>
            <w:vMerge w:val="restart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Recruitment</w:t>
            </w:r>
          </w:p>
        </w:tc>
        <w:tc>
          <w:tcPr>
            <w:tcW w:w="1415" w:type="dxa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>
              <w:rPr>
                <w:b/>
              </w:rPr>
              <w:t>Patient</w:t>
            </w:r>
            <w:r w:rsidRPr="008D1862">
              <w:rPr>
                <w:b/>
              </w:rPr>
              <w:t>s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5563" w:type="dxa"/>
            <w:gridSpan w:val="3"/>
            <w:tcBorders>
              <w:bottom w:val="single" w:sz="4" w:space="0" w:color="auto"/>
            </w:tcBorders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Through the office of the National Disability Insurer and Suva</w:t>
            </w:r>
          </w:p>
        </w:tc>
      </w:tr>
      <w:tr w:rsidR="00E60376" w:rsidRPr="008D1862" w:rsidTr="0076787F">
        <w:trPr>
          <w:trHeight w:val="589"/>
        </w:trPr>
        <w:tc>
          <w:tcPr>
            <w:tcW w:w="988" w:type="dxa"/>
            <w:vMerge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</w:p>
        </w:tc>
        <w:tc>
          <w:tcPr>
            <w:tcW w:w="1415" w:type="dxa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Interviewing psychiatrists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3647" w:type="dxa"/>
            <w:gridSpan w:val="2"/>
            <w:tcBorders>
              <w:right w:val="nil"/>
            </w:tcBorders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Through the assessment centers</w:t>
            </w:r>
          </w:p>
        </w:tc>
        <w:tc>
          <w:tcPr>
            <w:tcW w:w="1916" w:type="dxa"/>
            <w:tcBorders>
              <w:left w:val="nil"/>
            </w:tcBorders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Psychiatrists from RELY 1</w:t>
            </w:r>
          </w:p>
        </w:tc>
      </w:tr>
      <w:tr w:rsidR="00E60376" w:rsidRPr="008D1862" w:rsidTr="0076787F">
        <w:trPr>
          <w:trHeight w:val="589"/>
        </w:trPr>
        <w:tc>
          <w:tcPr>
            <w:tcW w:w="988" w:type="dxa"/>
            <w:vMerge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</w:p>
        </w:tc>
        <w:tc>
          <w:tcPr>
            <w:tcW w:w="1415" w:type="dxa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Rating psychiatrists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3647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Through the assessment centers</w:t>
            </w:r>
          </w:p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(members of SIM)</w:t>
            </w:r>
          </w:p>
        </w:tc>
        <w:tc>
          <w:tcPr>
            <w:tcW w:w="1916" w:type="dxa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Through the membership list from SIM*</w:t>
            </w:r>
          </w:p>
        </w:tc>
      </w:tr>
      <w:tr w:rsidR="00E60376" w:rsidRPr="008D1862" w:rsidTr="0076787F">
        <w:trPr>
          <w:trHeight w:val="589"/>
        </w:trPr>
        <w:tc>
          <w:tcPr>
            <w:tcW w:w="988" w:type="dxa"/>
            <w:vMerge w:val="restart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 xml:space="preserve">Training </w:t>
            </w:r>
          </w:p>
        </w:tc>
        <w:tc>
          <w:tcPr>
            <w:tcW w:w="1415" w:type="dxa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 xml:space="preserve">Functional evaluation: </w:t>
            </w:r>
          </w:p>
          <w:p w:rsidR="00E60376" w:rsidRPr="008D1862" w:rsidRDefault="00E60376" w:rsidP="00E60376">
            <w:pPr>
              <w:spacing w:before="120" w:after="120"/>
            </w:pPr>
            <w:r w:rsidRPr="008D1862">
              <w:rPr>
                <w:b/>
              </w:rPr>
              <w:t xml:space="preserve">• </w:t>
            </w:r>
            <w:r w:rsidRPr="008D1862">
              <w:t>Interview</w:t>
            </w:r>
          </w:p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 xml:space="preserve">• </w:t>
            </w:r>
            <w:r w:rsidRPr="008D1862">
              <w:t>IFAP rating</w:t>
            </w:r>
          </w:p>
        </w:tc>
        <w:tc>
          <w:tcPr>
            <w:tcW w:w="1823" w:type="dxa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9 hours of training were considered to be sufficient in producing fair to good reliability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1824" w:type="dxa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 xml:space="preserve">3x3 hours </w:t>
            </w:r>
          </w:p>
          <w:p w:rsidR="00E60376" w:rsidRPr="008D1862" w:rsidRDefault="00E60376" w:rsidP="00E60376">
            <w:pPr>
              <w:spacing w:before="120" w:after="120"/>
              <w:jc w:val="center"/>
              <w:rPr>
                <w:strike/>
              </w:rPr>
            </w:pPr>
            <w:r w:rsidRPr="008D1862">
              <w:t>of training</w:t>
            </w:r>
          </w:p>
        </w:tc>
        <w:tc>
          <w:tcPr>
            <w:tcW w:w="1916" w:type="dxa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4x3 and 1x6 hours of intensive training including comprehensive calibration of experts</w:t>
            </w:r>
          </w:p>
        </w:tc>
      </w:tr>
      <w:tr w:rsidR="00E60376" w:rsidRPr="008D1862" w:rsidTr="0076787F">
        <w:trPr>
          <w:trHeight w:val="589"/>
        </w:trPr>
        <w:tc>
          <w:tcPr>
            <w:tcW w:w="988" w:type="dxa"/>
            <w:vMerge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</w:p>
        </w:tc>
        <w:tc>
          <w:tcPr>
            <w:tcW w:w="1415" w:type="dxa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 xml:space="preserve">Training-to-rating delay </w:t>
            </w:r>
            <w:r w:rsidRPr="008D1862">
              <w:t>(mean)</w:t>
            </w:r>
          </w:p>
        </w:tc>
        <w:tc>
          <w:tcPr>
            <w:tcW w:w="1823" w:type="dxa"/>
            <w:vAlign w:val="center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Timely implementation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jc w:val="center"/>
            </w:pPr>
          </w:p>
        </w:tc>
        <w:tc>
          <w:tcPr>
            <w:tcW w:w="1824" w:type="dxa"/>
            <w:vAlign w:val="center"/>
          </w:tcPr>
          <w:p w:rsidR="00E60376" w:rsidRPr="008D1862" w:rsidRDefault="00E60376" w:rsidP="00E60376">
            <w:pPr>
              <w:jc w:val="center"/>
            </w:pPr>
            <w:r w:rsidRPr="008D1862">
              <w:t xml:space="preserve">Delayed implementation </w:t>
            </w:r>
          </w:p>
          <w:p w:rsidR="00E60376" w:rsidRPr="008D1862" w:rsidRDefault="00E60376" w:rsidP="00E60376">
            <w:pPr>
              <w:jc w:val="center"/>
            </w:pPr>
            <w:r w:rsidRPr="008D1862">
              <w:t xml:space="preserve">(404 days) </w:t>
            </w:r>
          </w:p>
        </w:tc>
        <w:tc>
          <w:tcPr>
            <w:tcW w:w="1916" w:type="dxa"/>
            <w:vAlign w:val="center"/>
          </w:tcPr>
          <w:p w:rsidR="00E60376" w:rsidRPr="008D1862" w:rsidRDefault="00E60376" w:rsidP="00E60376">
            <w:pPr>
              <w:jc w:val="center"/>
            </w:pPr>
            <w:r w:rsidRPr="008D1862">
              <w:t xml:space="preserve">Timely implementation </w:t>
            </w:r>
          </w:p>
          <w:p w:rsidR="00E60376" w:rsidRPr="008D1862" w:rsidRDefault="00E60376" w:rsidP="00E60376">
            <w:pPr>
              <w:jc w:val="center"/>
            </w:pPr>
            <w:r>
              <w:t>(40</w:t>
            </w:r>
            <w:r w:rsidRPr="008D1862">
              <w:t xml:space="preserve"> days)</w:t>
            </w:r>
          </w:p>
        </w:tc>
      </w:tr>
      <w:tr w:rsidR="00E60376" w:rsidRPr="008D1862" w:rsidTr="0076787F">
        <w:trPr>
          <w:trHeight w:val="589"/>
        </w:trPr>
        <w:tc>
          <w:tcPr>
            <w:tcW w:w="2403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Data acquisition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5563" w:type="dxa"/>
            <w:gridSpan w:val="3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IFAP through secured website</w:t>
            </w:r>
          </w:p>
        </w:tc>
      </w:tr>
      <w:tr w:rsidR="00E60376" w:rsidRPr="008D1862" w:rsidTr="0076787F">
        <w:trPr>
          <w:trHeight w:val="589"/>
        </w:trPr>
        <w:tc>
          <w:tcPr>
            <w:tcW w:w="2403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Outcome measures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5563" w:type="dxa"/>
            <w:gridSpan w:val="3"/>
          </w:tcPr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>Primary outcome: WC in alternative work</w:t>
            </w:r>
          </w:p>
          <w:p w:rsidR="00E60376" w:rsidRPr="008D1862" w:rsidRDefault="00E60376" w:rsidP="00E60376">
            <w:pPr>
              <w:spacing w:before="120" w:after="120"/>
              <w:jc w:val="center"/>
            </w:pPr>
            <w:r w:rsidRPr="008D1862">
              <w:t xml:space="preserve">Secondary outcomes: WC in the last job, experts’ certainty in judgements, </w:t>
            </w:r>
            <w:r>
              <w:t>patient</w:t>
            </w:r>
            <w:r w:rsidRPr="008D1862">
              <w:t>s’ and experts’ perception</w:t>
            </w:r>
          </w:p>
        </w:tc>
      </w:tr>
      <w:tr w:rsidR="00E60376" w:rsidRPr="008D1862" w:rsidTr="0076787F">
        <w:trPr>
          <w:trHeight w:val="589"/>
        </w:trPr>
        <w:tc>
          <w:tcPr>
            <w:tcW w:w="2403" w:type="dxa"/>
            <w:gridSpan w:val="2"/>
            <w:vAlign w:val="center"/>
          </w:tcPr>
          <w:p w:rsidR="00E60376" w:rsidRPr="008D1862" w:rsidRDefault="00E60376" w:rsidP="00E60376">
            <w:pPr>
              <w:spacing w:before="120" w:after="120"/>
              <w:rPr>
                <w:b/>
              </w:rPr>
            </w:pPr>
            <w:r w:rsidRPr="008D1862">
              <w:rPr>
                <w:b/>
              </w:rPr>
              <w:t>Data analysis</w:t>
            </w:r>
          </w:p>
        </w:tc>
        <w:tc>
          <w:tcPr>
            <w:tcW w:w="1823" w:type="dxa"/>
          </w:tcPr>
          <w:p w:rsidR="00E60376" w:rsidRPr="008D1862" w:rsidRDefault="00E60376" w:rsidP="00E60376">
            <w:pPr>
              <w:spacing w:before="120" w:after="120"/>
              <w:jc w:val="center"/>
            </w:pPr>
          </w:p>
        </w:tc>
        <w:tc>
          <w:tcPr>
            <w:tcW w:w="5563" w:type="dxa"/>
            <w:gridSpan w:val="3"/>
          </w:tcPr>
          <w:p w:rsidR="00E60376" w:rsidRPr="00B579A6" w:rsidRDefault="00E60376" w:rsidP="00E60376">
            <w:pPr>
              <w:spacing w:before="120" w:after="120"/>
              <w:jc w:val="center"/>
            </w:pPr>
            <w:r w:rsidRPr="00B579A6">
              <w:t>Reliability: ICC</w:t>
            </w:r>
            <w:r w:rsidRPr="00B579A6">
              <w:rPr>
                <w:vertAlign w:val="subscript"/>
              </w:rPr>
              <w:t>absolute.agreement</w:t>
            </w:r>
          </w:p>
          <w:p w:rsidR="00E60376" w:rsidRPr="008D1862" w:rsidRDefault="00E60376" w:rsidP="00E60376">
            <w:pPr>
              <w:spacing w:before="120" w:after="120"/>
              <w:jc w:val="center"/>
            </w:pPr>
            <w:r w:rsidRPr="00B579A6">
              <w:t>Agreement: a) Proportion of agreement using prespecified ‘maxim</w:t>
            </w:r>
            <w:r>
              <w:t>um</w:t>
            </w:r>
            <w:r w:rsidRPr="00B579A6">
              <w:t xml:space="preserve"> acceptable differences’ and b) ‘standard error of measurement’</w:t>
            </w:r>
          </w:p>
        </w:tc>
      </w:tr>
    </w:tbl>
    <w:p w:rsidR="00DA52CD" w:rsidRPr="00A9349B" w:rsidRDefault="00CA59F0" w:rsidP="00E60376">
      <w:pPr>
        <w:rPr>
          <w:rFonts w:ascii="Arial" w:hAnsi="Arial" w:cs="Arial"/>
        </w:rPr>
      </w:pPr>
      <w:bookmarkStart w:id="0" w:name="_GoBack"/>
      <w:bookmarkEnd w:id="0"/>
    </w:p>
    <w:sectPr w:rsidR="00DA52CD" w:rsidRPr="00A9349B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9F0" w:rsidRDefault="00CA59F0" w:rsidP="007D3B2E">
      <w:pPr>
        <w:spacing w:after="0" w:line="240" w:lineRule="auto"/>
      </w:pPr>
      <w:r>
        <w:separator/>
      </w:r>
    </w:p>
  </w:endnote>
  <w:endnote w:type="continuationSeparator" w:id="0">
    <w:p w:rsidR="00CA59F0" w:rsidRDefault="00CA59F0" w:rsidP="007D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B2E" w:rsidRDefault="007D3B2E">
    <w:pPr>
      <w:pStyle w:val="Fuzeile"/>
    </w:pPr>
    <w:r>
      <w:fldChar w:fldCharType="begin"/>
    </w:r>
    <w:r>
      <w:rPr>
        <w:lang w:val="de-CH"/>
      </w:rPr>
      <w:instrText xml:space="preserve"> FILENAME \* MERGEFORMAT </w:instrText>
    </w:r>
    <w:r>
      <w:fldChar w:fldCharType="separate"/>
    </w:r>
    <w:r>
      <w:rPr>
        <w:noProof/>
        <w:lang w:val="de-CH"/>
      </w:rPr>
      <w:t>Additional file 1.docx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9F0" w:rsidRDefault="00CA59F0" w:rsidP="007D3B2E">
      <w:pPr>
        <w:spacing w:after="0" w:line="240" w:lineRule="auto"/>
      </w:pPr>
      <w:r>
        <w:separator/>
      </w:r>
    </w:p>
  </w:footnote>
  <w:footnote w:type="continuationSeparator" w:id="0">
    <w:p w:rsidR="00CA59F0" w:rsidRDefault="00CA59F0" w:rsidP="007D3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76"/>
    <w:rsid w:val="003972A3"/>
    <w:rsid w:val="0072163E"/>
    <w:rsid w:val="007D3B2E"/>
    <w:rsid w:val="008145F0"/>
    <w:rsid w:val="00907394"/>
    <w:rsid w:val="00A9349B"/>
    <w:rsid w:val="00CA59F0"/>
    <w:rsid w:val="00E6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E018321-F11C-496E-9F01-687838363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60376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E6037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60376"/>
    <w:pPr>
      <w:spacing w:after="200"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60376"/>
    <w:rPr>
      <w:sz w:val="20"/>
      <w:szCs w:val="20"/>
      <w:lang w:val="en-US"/>
    </w:rPr>
  </w:style>
  <w:style w:type="table" w:styleId="Tabellenraster">
    <w:name w:val="Table Grid"/>
    <w:basedOn w:val="NormaleTabelle"/>
    <w:uiPriority w:val="59"/>
    <w:rsid w:val="00E60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0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0376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7D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3B2E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7D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3B2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Allmen David Yoh</dc:creator>
  <cp:keywords/>
  <dc:description/>
  <cp:lastModifiedBy>Kunz Regina</cp:lastModifiedBy>
  <cp:revision>2</cp:revision>
  <dcterms:created xsi:type="dcterms:W3CDTF">2019-04-12T12:08:00Z</dcterms:created>
  <dcterms:modified xsi:type="dcterms:W3CDTF">2019-04-12T16:56:00Z</dcterms:modified>
</cp:coreProperties>
</file>