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"/>
        <w:tblpPr w:leftFromText="141" w:rightFromText="141" w:vertAnchor="page" w:horzAnchor="page" w:tblpX="701" w:tblpY="1841"/>
        <w:tblW w:w="10634" w:type="dxa"/>
        <w:tblLayout w:type="fixed"/>
        <w:tblLook w:val="0480" w:firstRow="0" w:lastRow="0" w:firstColumn="1" w:lastColumn="0" w:noHBand="0" w:noVBand="1"/>
      </w:tblPr>
      <w:tblGrid>
        <w:gridCol w:w="1510"/>
        <w:gridCol w:w="1811"/>
        <w:gridCol w:w="3209"/>
        <w:gridCol w:w="4104"/>
      </w:tblGrid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A65" w:rsidRPr="00754433" w:rsidRDefault="00127A65" w:rsidP="00323F56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AU" w:eastAsia="de-DE"/>
              </w:rPr>
            </w:pPr>
            <w:bookmarkStart w:id="0" w:name="_GoBack"/>
            <w:bookmarkEnd w:id="0"/>
            <w:r w:rsidRPr="00754433">
              <w:rPr>
                <w:rStyle w:val="Strong"/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de-DE"/>
              </w:rPr>
              <w:t>Supplementary material</w:t>
            </w:r>
          </w:p>
          <w:p w:rsidR="00127A65" w:rsidRPr="006737EB" w:rsidRDefault="00127A65" w:rsidP="00323F56">
            <w:pPr>
              <w:spacing w:after="240" w:line="480" w:lineRule="auto"/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S1 Table</w:t>
            </w:r>
            <w:r w:rsidRPr="002B0396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. Cochrane assessment of risk of bias for the 1</w:t>
            </w: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8</w:t>
            </w:r>
            <w:r w:rsidRPr="002B0396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 xml:space="preserve"> studies</w:t>
            </w:r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.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  <w:t>Study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de-DE"/>
              </w:rPr>
              <w:t>Overall risk of bias assessment</w:t>
            </w:r>
          </w:p>
          <w:p w:rsidR="00127A65" w:rsidRPr="00307102" w:rsidRDefault="00127A65" w:rsidP="00323F56">
            <w:pPr>
              <w:spacing w:after="24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de-DE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de-DE"/>
              </w:rPr>
              <w:t>Risk of bias and support for judgement of selection bias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AU" w:eastAsia="de-DE"/>
              </w:rPr>
              <w:t>Risk of bias and support for judgement of detection bias</w:t>
            </w:r>
          </w:p>
        </w:tc>
      </w:tr>
      <w:tr w:rsidR="00127A65" w:rsidRPr="00307102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proofErr w:type="spellStart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Andersson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 xml:space="preserve"> et al., 2012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2B0396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0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2B0396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Low risk of bias. Participants were randomized (www.random.org) with a 1:1 ratio by an independent person who was not involved in the study.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2B0396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Low risk of bias. The assessors were blinded to treatment allocation at the post-treatment interview. Blinding integrity</w:t>
            </w:r>
          </w:p>
          <w:p w:rsidR="00127A65" w:rsidRPr="002B0396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proofErr w:type="gramStart"/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was</w:t>
            </w:r>
            <w:proofErr w:type="gramEnd"/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 tested.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proofErr w:type="spellStart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Greist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 xml:space="preserve"> et al., 2002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2B0396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2B0396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Unclear risk of bias. </w:t>
            </w:r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Participants were randomized but the authors did not report the method used to generate and conceal the allocation sequence.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2B0396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Low risk of bias. Also 90 of the 218 participants were rated on the clinician-administered YBOCS by a </w:t>
            </w:r>
            <w:proofErr w:type="spellStart"/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rater</w:t>
            </w:r>
            <w:proofErr w:type="spellEnd"/>
            <w:r w:rsidRPr="002B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 blind to treatment, there was no significant difference between self-rating and clinician administered rating.</w:t>
            </w:r>
          </w:p>
        </w:tc>
      </w:tr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proofErr w:type="spellStart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Hauschildt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 xml:space="preserve">,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Schröder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 xml:space="preserve">&amp; Moritz, 2016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Unclear risk of bias. P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articipants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 were randomized but the authors did not report the method used to generate and conceal the allocation sequence.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Low risk of bias. Assessors were blind to treatment condition.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proofErr w:type="spellStart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Herbst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 xml:space="preserve"> et al., 2014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0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Low risk of bias. Participants were randomized to one of the two experimental conditions using a block randomization with randomly permuted blocks.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Low risk of bias. Self-reported measure.</w:t>
            </w:r>
          </w:p>
        </w:tc>
      </w:tr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  <w:t>Kyrios et al., 2018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Low risk of bias. Participants were randomized post baseline interview into the active treatment (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iCBT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) or control condition (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iPRT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) using an independent automated computer-generated sequence that could not be forecast or modified by the researchers. Coordinated by an independent statistician.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Low risk of bias.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Posttreatment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assessors were blind to treatment condition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  <w:t>Moritz et al., 2016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4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Unclear risk of bias. Randomization was performed after baseline assessment; individuals were allocated to treatment arms in a computer-generated random order </w:t>
            </w: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lastRenderedPageBreak/>
              <w:t>according to date of participation.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lastRenderedPageBreak/>
              <w:t>Low risk of bias. Self-reported measure.</w:t>
            </w:r>
          </w:p>
        </w:tc>
      </w:tr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  <w:lastRenderedPageBreak/>
              <w:t>Wootton et al., 2013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Low risk of bias. Participants were randomized;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randomisation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sequence was computer-generated by an independent overseas colleague using www.random.org.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Unclear risk of bias. No further information.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eastAsia="de-DE"/>
              </w:rPr>
              <w:t>Schneider et al., 2014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0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Low risk of bias. Randomization through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UniPark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Low risk of bias. Self-reported measure.</w:t>
            </w:r>
          </w:p>
        </w:tc>
      </w:tr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Moritz et al., 2010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Unclear risk of bias. Participants who left e-mail addresses were allocated to a random plan but the authors did not report the method used to generate and conceal the allocation sequence.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Low risk of bias. Self-reported measure.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Moritz et al., 2018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Unclear risk of bias. Participants were randomized to one of the two conditions based on the date of participation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butthe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 authors did not report the method used to generate and conceal the allocation sequence.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Low risk of bias. Self-reported measure.</w:t>
            </w:r>
          </w:p>
        </w:tc>
      </w:tr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 xml:space="preserve">Moritz &amp;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Jelinek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, 2011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Unclear risk of bias. Participants completing the survey were allocated to the experimental or control groups according to a random plan (no stratification)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butthe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 authors did not report the method used to generate and conceal the allocation sequence.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Low risk of bias. Self-reported measure.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Mahoney et al., 2014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Low risk of bias. Randomisation was based on a random number sequence generated at www.random.org; Concealment of allocation was maintained until the applicant met all inclusion criteria and an offer of participant was made.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Low risk of bias. Self-reported measure.</w:t>
            </w:r>
          </w:p>
        </w:tc>
      </w:tr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val="en-AU" w:eastAsia="de-DE"/>
              </w:rPr>
              <w:t>Moritz et al., 2019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Unclear risk of bias. Participants were randomized to one of the two conditions </w:t>
            </w: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lastRenderedPageBreak/>
              <w:t>(allocation was according to the date of participation as displayed in the so-called trigger e-mail). But there is no further information about the exact randomization plan.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lastRenderedPageBreak/>
              <w:t>Low risk of bias. Self-reported measure.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lastRenderedPageBreak/>
              <w:t xml:space="preserve">Moritz,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Bernardini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&amp; Lion, 2019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Unclear risk of bias. Participants were randomized to the conditions according to the date of participation following a randomization plan. The allocation procedure is best described as centralized assignment. But there is no further information about the exact randomization plan.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Low risk of bias. Self-reported measure.</w:t>
            </w:r>
          </w:p>
        </w:tc>
      </w:tr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Wootton et al., 2019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High risk of bias. Randomization on a 1:1 basis to either the immediate or delayed treatment using an online random number generator (</w:t>
            </w:r>
            <w:r w:rsidRPr="003071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AU" w:eastAsia="de-DE"/>
              </w:rPr>
              <w:t>www.random.org</w:t>
            </w: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) but there was no allocation concealment.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Low risk of bias. Self-reported measure.</w:t>
            </w:r>
          </w:p>
        </w:tc>
      </w:tr>
      <w:tr w:rsidR="00127A65" w:rsidRPr="0074755F" w:rsidTr="00323F56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Vogel et al., 2014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High risk of bias. Participants were randomized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butthe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 xml:space="preserve"> authors did not report the method used to generate and conceal the allocation sequence. There was a significant difference between groups.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Low risk of bias. Participants were interviewed per telephone by a psychologist blinded as to treatment condition.</w:t>
            </w:r>
          </w:p>
        </w:tc>
      </w:tr>
      <w:tr w:rsidR="00127A65" w:rsidRPr="0074755F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Moritz &amp;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Russu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, 2013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4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High risk of bias. Participants were randomly allocated to either the experimental or control group with no further stratification applied.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Low risk of bias. Self-reported measure.</w:t>
            </w:r>
          </w:p>
        </w:tc>
      </w:tr>
      <w:tr w:rsidR="00127A65" w:rsidRPr="00556669" w:rsidTr="00323F56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>Schröder</w:t>
            </w:r>
            <w:proofErr w:type="spellEnd"/>
            <w:r>
              <w:rPr>
                <w:rFonts w:ascii="Times New Roman" w:eastAsia="Times New Roman" w:hAnsi="Times New Roman" w:cs="Times New Roman"/>
                <w:bCs w:val="0"/>
                <w:color w:val="000000"/>
                <w:sz w:val="24"/>
                <w:szCs w:val="24"/>
                <w:lang w:val="en-AU" w:eastAsia="de-DE"/>
              </w:rPr>
              <w:t xml:space="preserve"> et al., 2020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A65" w:rsidRPr="00307102" w:rsidRDefault="00127A65" w:rsidP="00323F56">
            <w:pPr>
              <w:spacing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de-DE"/>
              </w:rPr>
            </w:pPr>
          </w:p>
        </w:tc>
      </w:tr>
      <w:tr w:rsidR="00127A65" w:rsidRPr="00307102" w:rsidTr="00323F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7A65" w:rsidRPr="00307102" w:rsidRDefault="00127A65" w:rsidP="00323F56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AU" w:eastAsia="de-DE"/>
              </w:rPr>
            </w:pPr>
            <w:r w:rsidRPr="0030710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AU" w:eastAsia="de-DE"/>
              </w:rPr>
              <w:t>Cochrane assessment of risk of bias for the 1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AU" w:eastAsia="de-DE"/>
              </w:rPr>
              <w:t>8</w:t>
            </w:r>
            <w:r w:rsidRPr="0030710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AU" w:eastAsia="de-DE"/>
              </w:rPr>
              <w:t xml:space="preserve"> studies </w:t>
            </w:r>
            <w:proofErr w:type="spellStart"/>
            <w:r w:rsidRPr="0030710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AU" w:eastAsia="de-DE"/>
              </w:rPr>
              <w:t>legend.Assessed</w:t>
            </w:r>
            <w:proofErr w:type="spellEnd"/>
            <w:r w:rsidRPr="0030710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AU" w:eastAsia="de-DE"/>
              </w:rPr>
              <w:t xml:space="preserve"> risks of bias = selection bias, attrition bias, detection bias and reporting bias. Scores for overall assessment = low (1), unclear (2) and high (3). </w:t>
            </w:r>
          </w:p>
        </w:tc>
      </w:tr>
    </w:tbl>
    <w:p w:rsidR="00127A65" w:rsidRDefault="00127A65" w:rsidP="00127A65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szCs w:val="24"/>
          <w:lang w:val="en-AU"/>
        </w:rPr>
      </w:pPr>
    </w:p>
    <w:p w:rsidR="00127A65" w:rsidRDefault="00127A65" w:rsidP="00127A6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noProof/>
          <w:lang w:val="en-US"/>
        </w:rPr>
        <w:lastRenderedPageBreak/>
        <w:drawing>
          <wp:inline distT="0" distB="0" distL="0" distR="0" wp14:anchorId="03B76FCE" wp14:editId="2F48D7E7">
            <wp:extent cx="5759450" cy="2879725"/>
            <wp:effectExtent l="0" t="0" r="0" b="0"/>
            <wp:docPr id="19" name="Bild 4" descr="C:\Users\lnosthof\AppData\Local\Microsoft\Windows\INetCache\Content.MSO\5B193D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nosthof\AppData\Local\Microsoft\Windows\INetCache\Content.MSO\5B193DCC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8BE" w:rsidRPr="00127A65" w:rsidRDefault="00127A65" w:rsidP="00127A6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proofErr w:type="gramStart"/>
      <w:r w:rsidRPr="00E705B7">
        <w:rPr>
          <w:rFonts w:ascii="Times New Roman" w:hAnsi="Times New Roman" w:cs="Times New Roman"/>
          <w:b/>
          <w:bCs/>
          <w:iCs/>
          <w:sz w:val="24"/>
          <w:szCs w:val="24"/>
          <w:lang w:val="en-AU"/>
        </w:rPr>
        <w:t xml:space="preserve">S1 </w:t>
      </w:r>
      <w:proofErr w:type="spellStart"/>
      <w:r w:rsidRPr="00E705B7">
        <w:rPr>
          <w:rFonts w:ascii="Times New Roman" w:hAnsi="Times New Roman" w:cs="Times New Roman"/>
          <w:b/>
          <w:bCs/>
          <w:iCs/>
          <w:sz w:val="24"/>
          <w:szCs w:val="24"/>
          <w:lang w:val="en-AU"/>
        </w:rPr>
        <w:t>Fig.</w:t>
      </w:r>
      <w:r w:rsidRPr="00E705B7">
        <w:rPr>
          <w:rFonts w:ascii="Times New Roman" w:hAnsi="Times New Roman" w:cs="Times New Roman"/>
          <w:b/>
          <w:bCs/>
          <w:sz w:val="24"/>
          <w:szCs w:val="24"/>
          <w:lang w:val="en-AU"/>
        </w:rPr>
        <w:t>Forest</w:t>
      </w:r>
      <w:proofErr w:type="spellEnd"/>
      <w:r w:rsidRPr="00E705B7">
        <w:rPr>
          <w:rFonts w:ascii="Times New Roman" w:hAnsi="Times New Roman" w:cs="Times New Roman"/>
          <w:b/>
          <w:bCs/>
          <w:sz w:val="24"/>
          <w:szCs w:val="24"/>
          <w:lang w:val="en-AU"/>
        </w:rPr>
        <w:t xml:space="preserve"> </w:t>
      </w:r>
      <w:proofErr w:type="spellStart"/>
      <w:r w:rsidRPr="00E705B7">
        <w:rPr>
          <w:rFonts w:ascii="Times New Roman" w:hAnsi="Times New Roman" w:cs="Times New Roman"/>
          <w:b/>
          <w:bCs/>
          <w:sz w:val="24"/>
          <w:szCs w:val="24"/>
          <w:lang w:val="en-AU"/>
        </w:rPr>
        <w:t>plot.</w:t>
      </w:r>
      <w:r>
        <w:rPr>
          <w:rFonts w:ascii="Times New Roman" w:hAnsi="Times New Roman" w:cs="Times New Roman"/>
          <w:sz w:val="24"/>
          <w:szCs w:val="24"/>
          <w:lang w:val="en-AU"/>
        </w:rPr>
        <w:t>For</w:t>
      </w:r>
      <w:r w:rsidRPr="00892CAC">
        <w:rPr>
          <w:rFonts w:ascii="Times New Roman" w:hAnsi="Times New Roman" w:cs="Times New Roman"/>
          <w:sz w:val="24"/>
          <w:szCs w:val="24"/>
          <w:lang w:val="en-AU"/>
        </w:rPr>
        <w:t>est</w:t>
      </w:r>
      <w:proofErr w:type="spellEnd"/>
      <w:r w:rsidRPr="00892CAC">
        <w:rPr>
          <w:rFonts w:ascii="Times New Roman" w:hAnsi="Times New Roman" w:cs="Times New Roman"/>
          <w:sz w:val="24"/>
          <w:szCs w:val="24"/>
          <w:lang w:val="en-AU"/>
        </w:rPr>
        <w:t xml:space="preserve"> plot of the main effect of time (change)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of Y-BOCS </w:t>
      </w:r>
      <w:r w:rsidRPr="00892CAC">
        <w:rPr>
          <w:rFonts w:ascii="Times New Roman" w:hAnsi="Times New Roman" w:cs="Times New Roman"/>
          <w:sz w:val="24"/>
          <w:szCs w:val="24"/>
          <w:lang w:val="en-AU"/>
        </w:rPr>
        <w:t>for only the passive control groups.</w:t>
      </w:r>
      <w:proofErr w:type="gramEnd"/>
    </w:p>
    <w:sectPr w:rsidR="00F008BE" w:rsidRPr="00127A65" w:rsidSect="006737EB">
      <w:footerReference w:type="default" r:id="rId7"/>
      <w:pgSz w:w="11906" w:h="16838"/>
      <w:pgMar w:top="1411" w:right="1411" w:bottom="1134" w:left="141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324080"/>
      <w:docPartObj>
        <w:docPartGallery w:val="Page Numbers (Bottom of Page)"/>
        <w:docPartUnique/>
      </w:docPartObj>
    </w:sdtPr>
    <w:sdtEndPr/>
    <w:sdtContent>
      <w:p w:rsidR="00AC6A5C" w:rsidRPr="00A6368B" w:rsidRDefault="00127A65">
        <w:pPr>
          <w:pStyle w:val="Footer"/>
          <w:jc w:val="right"/>
          <w:rPr>
            <w:lang w:val="en-US"/>
          </w:rPr>
        </w:pPr>
        <w:r>
          <w:rPr>
            <w:noProof/>
          </w:rPr>
          <w:fldChar w:fldCharType="begin"/>
        </w:r>
        <w:r w:rsidRPr="00DB50C8">
          <w:rPr>
            <w:noProof/>
            <w:lang w:val="en-US"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  <w:lang w:val="en-US"/>
          </w:rPr>
          <w:t>1</w:t>
        </w:r>
        <w:r>
          <w:rPr>
            <w:noProof/>
          </w:rPr>
          <w:fldChar w:fldCharType="end"/>
        </w:r>
      </w:p>
    </w:sdtContent>
  </w:sdt>
  <w:p w:rsidR="00AC6A5C" w:rsidRPr="00A6368B" w:rsidRDefault="00127A65" w:rsidP="00A6368B">
    <w:pPr>
      <w:autoSpaceDE w:val="0"/>
      <w:autoSpaceDN w:val="0"/>
      <w:adjustRightInd w:val="0"/>
      <w:spacing w:after="0" w:line="240" w:lineRule="auto"/>
      <w:rPr>
        <w:rFonts w:ascii="Times New Roman" w:eastAsia="TimesNewRomanPSMT" w:hAnsi="Times New Roman" w:cs="Times New Roman"/>
        <w:sz w:val="20"/>
        <w:lang w:val="en-US"/>
      </w:rPr>
    </w:pPr>
  </w:p>
  <w:p w:rsidR="00AC6A5C" w:rsidRPr="008868F8" w:rsidRDefault="00127A65">
    <w:pPr>
      <w:rPr>
        <w:lang w:val="en-US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D7927"/>
    <w:multiLevelType w:val="multilevel"/>
    <w:tmpl w:val="83024394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Times New Roman" w:hAnsi="Times New Roman" w:hint="default"/>
        <w:b/>
        <w:i w:val="0"/>
        <w:caps w:val="0"/>
        <w:strike w:val="0"/>
        <w:dstrike w:val="0"/>
        <w:color w:val="000000"/>
        <w:spacing w:val="0"/>
        <w:kern w:val="28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Times" w:hAnsi="Times" w:hint="default"/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85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65"/>
    <w:rsid w:val="00026427"/>
    <w:rsid w:val="00127A65"/>
    <w:rsid w:val="00283642"/>
    <w:rsid w:val="003712D7"/>
    <w:rsid w:val="003A7FBB"/>
    <w:rsid w:val="00653363"/>
    <w:rsid w:val="007044C1"/>
    <w:rsid w:val="00C35247"/>
    <w:rsid w:val="00F008BE"/>
    <w:rsid w:val="00F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A65"/>
    <w:pPr>
      <w:spacing w:after="160" w:line="259" w:lineRule="auto"/>
    </w:pPr>
    <w:rPr>
      <w:rFonts w:asciiTheme="minorHAnsi" w:hAnsiTheme="minorHAnsi" w:cstheme="minorBidi"/>
      <w:sz w:val="22"/>
      <w:szCs w:val="22"/>
      <w:lang w:val="de-DE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lang w:val="en-US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lang w:val="en-US"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lang w:val="en-US"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lang w:val="en-US"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uiPriority w:val="22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widowControl w:val="0"/>
      <w:spacing w:before="100" w:beforeAutospacing="1" w:after="100" w:afterAutospacing="1" w:line="240" w:lineRule="auto"/>
      <w:jc w:val="both"/>
    </w:pPr>
    <w:rPr>
      <w:rFonts w:ascii="DengXian" w:eastAsia="Times New Roman" w:hAnsi="DengXian" w:cs="Times New Roman"/>
      <w:kern w:val="2"/>
      <w:sz w:val="21"/>
      <w:lang w:val="en-US" w:eastAsia="zh-C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pPr>
      <w:widowControl w:val="0"/>
      <w:spacing w:after="200" w:line="240" w:lineRule="auto"/>
      <w:jc w:val="both"/>
    </w:pPr>
    <w:rPr>
      <w:rFonts w:ascii="DengXian" w:eastAsia="DengXian" w:hAnsi="DengXian" w:cs="Times New Roman"/>
      <w:b/>
      <w:bCs/>
      <w:color w:val="4F81BD" w:themeColor="accent1"/>
      <w:kern w:val="2"/>
      <w:sz w:val="18"/>
      <w:szCs w:val="18"/>
      <w:lang w:val="en-US" w:eastAsia="zh-CN"/>
    </w:rPr>
  </w:style>
  <w:style w:type="paragraph" w:styleId="Title">
    <w:name w:val="Title"/>
    <w:basedOn w:val="Normal"/>
    <w:next w:val="Normal"/>
    <w:link w:val="TitleChar"/>
    <w:qFormat/>
    <w:rsid w:val="00FD1E3E"/>
    <w:pPr>
      <w:widowControl w:val="0"/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widowControl w:val="0"/>
      <w:spacing w:after="0" w:line="240" w:lineRule="auto"/>
      <w:ind w:left="720"/>
      <w:contextualSpacing/>
      <w:jc w:val="both"/>
    </w:pPr>
    <w:rPr>
      <w:rFonts w:ascii="DengXian" w:eastAsia="DengXian" w:hAnsi="DengXian" w:cs="Times New Roman"/>
      <w:kern w:val="2"/>
      <w:sz w:val="21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FD1E3E"/>
    <w:pPr>
      <w:widowControl w:val="0"/>
      <w:numPr>
        <w:ilvl w:val="1"/>
      </w:numPr>
      <w:spacing w:after="0" w:line="24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US" w:eastAsia="zh-CN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 w:val="0"/>
      <w:spacing w:after="0" w:line="240" w:lineRule="auto"/>
      <w:jc w:val="both"/>
    </w:pPr>
    <w:rPr>
      <w:rFonts w:ascii="DengXian" w:eastAsia="DengXian" w:hAnsi="DengXian" w:cs="Times New Roman"/>
      <w:i/>
      <w:iCs/>
      <w:color w:val="000000" w:themeColor="text1"/>
      <w:kern w:val="2"/>
      <w:sz w:val="21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  <w:jc w:val="both"/>
    </w:pPr>
    <w:rPr>
      <w:rFonts w:ascii="DengXian" w:eastAsia="DengXian" w:hAnsi="DengXian" w:cs="Times New Roman"/>
      <w:b/>
      <w:bCs/>
      <w:i/>
      <w:iCs/>
      <w:color w:val="4F81BD" w:themeColor="accent1"/>
      <w:kern w:val="2"/>
      <w:sz w:val="21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Times New Roman" w:eastAsia="DengXian" w:hAnsi="Times New Roman" w:cs="Times New Roman"/>
      <w:kern w:val="2"/>
      <w:sz w:val="21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27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A65"/>
    <w:rPr>
      <w:rFonts w:asciiTheme="minorHAnsi" w:hAnsiTheme="minorHAnsi" w:cstheme="minorBidi"/>
      <w:sz w:val="22"/>
      <w:szCs w:val="22"/>
      <w:lang w:val="de-DE"/>
    </w:rPr>
  </w:style>
  <w:style w:type="table" w:customStyle="1" w:styleId="PlainTable2">
    <w:name w:val="Plain Table 2"/>
    <w:basedOn w:val="TableNormal"/>
    <w:uiPriority w:val="42"/>
    <w:rsid w:val="00127A65"/>
    <w:rPr>
      <w:rFonts w:asciiTheme="minorHAnsi" w:hAnsiTheme="minorHAnsi" w:cstheme="minorBidi"/>
      <w:sz w:val="22"/>
      <w:szCs w:val="22"/>
      <w:lang w:val="de-D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2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A65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A65"/>
    <w:pPr>
      <w:spacing w:after="160" w:line="259" w:lineRule="auto"/>
    </w:pPr>
    <w:rPr>
      <w:rFonts w:asciiTheme="minorHAnsi" w:hAnsiTheme="minorHAnsi" w:cstheme="minorBidi"/>
      <w:sz w:val="22"/>
      <w:szCs w:val="22"/>
      <w:lang w:val="de-DE"/>
    </w:rPr>
  </w:style>
  <w:style w:type="paragraph" w:styleId="Heading1">
    <w:name w:val="heading 1"/>
    <w:basedOn w:val="Normal"/>
    <w:link w:val="Heading1Char"/>
    <w:uiPriority w:val="99"/>
    <w:qFormat/>
    <w:rsid w:val="00283642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Times New Roman" w:eastAsia="SimSun" w:hAnsi="Times New Roman" w:cs="Times New Roman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lang w:val="en-US"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1"/>
      <w:lang w:val="en-US"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D1E3E"/>
    <w:pPr>
      <w:keepNext/>
      <w:keepLines/>
      <w:widowControl w:val="0"/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lang w:val="en-US"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lang w:val="en-US"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val="en-US"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A7FBB"/>
    <w:pPr>
      <w:keepNext/>
      <w:keepLines/>
      <w:widowControl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283642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styleId="Strong">
    <w:name w:val="Strong"/>
    <w:uiPriority w:val="22"/>
    <w:qFormat/>
    <w:rsid w:val="003A7FBB"/>
    <w:rPr>
      <w:b/>
      <w:bCs/>
    </w:rPr>
  </w:style>
  <w:style w:type="paragraph" w:styleId="NormalWeb">
    <w:name w:val="Normal (Web)"/>
    <w:basedOn w:val="Normal"/>
    <w:rsid w:val="003712D7"/>
    <w:pPr>
      <w:widowControl w:val="0"/>
      <w:spacing w:before="100" w:beforeAutospacing="1" w:after="100" w:afterAutospacing="1" w:line="240" w:lineRule="auto"/>
      <w:jc w:val="both"/>
    </w:pPr>
    <w:rPr>
      <w:rFonts w:ascii="DengXian" w:eastAsia="Times New Roman" w:hAnsi="DengXian" w:cs="Times New Roman"/>
      <w:kern w:val="2"/>
      <w:sz w:val="21"/>
      <w:lang w:val="en-US" w:eastAsia="zh-CN"/>
    </w:rPr>
  </w:style>
  <w:style w:type="character" w:customStyle="1" w:styleId="Heading3Char">
    <w:name w:val="Heading 3 Char"/>
    <w:basedOn w:val="DefaultParagraphFont"/>
    <w:link w:val="Heading3"/>
    <w:semiHidden/>
    <w:rsid w:val="003A7FBB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3A7FBB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3A7FBB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3A7FBB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1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2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3A7FB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3A7FB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3A7FBB"/>
    <w:pPr>
      <w:widowControl w:val="0"/>
      <w:spacing w:after="200" w:line="240" w:lineRule="auto"/>
      <w:jc w:val="both"/>
    </w:pPr>
    <w:rPr>
      <w:rFonts w:ascii="DengXian" w:eastAsia="DengXian" w:hAnsi="DengXian" w:cs="Times New Roman"/>
      <w:b/>
      <w:bCs/>
      <w:color w:val="4F81BD" w:themeColor="accent1"/>
      <w:kern w:val="2"/>
      <w:sz w:val="18"/>
      <w:szCs w:val="18"/>
      <w:lang w:val="en-US" w:eastAsia="zh-CN"/>
    </w:rPr>
  </w:style>
  <w:style w:type="paragraph" w:styleId="Title">
    <w:name w:val="Title"/>
    <w:basedOn w:val="Normal"/>
    <w:next w:val="Normal"/>
    <w:link w:val="TitleChar"/>
    <w:qFormat/>
    <w:rsid w:val="00FD1E3E"/>
    <w:pPr>
      <w:widowControl w:val="0"/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TitleChar">
    <w:name w:val="Title Char"/>
    <w:basedOn w:val="DefaultParagraphFont"/>
    <w:link w:val="Title"/>
    <w:rsid w:val="003A7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styleId="Emphasis">
    <w:name w:val="Emphasis"/>
    <w:uiPriority w:val="20"/>
    <w:qFormat/>
    <w:rsid w:val="00283642"/>
    <w:rPr>
      <w:i/>
      <w:iCs/>
    </w:rPr>
  </w:style>
  <w:style w:type="paragraph" w:styleId="ListParagraph">
    <w:name w:val="List Paragraph"/>
    <w:basedOn w:val="Normal"/>
    <w:uiPriority w:val="34"/>
    <w:qFormat/>
    <w:rsid w:val="00FD1E3E"/>
    <w:pPr>
      <w:widowControl w:val="0"/>
      <w:spacing w:after="0" w:line="240" w:lineRule="auto"/>
      <w:ind w:left="720"/>
      <w:contextualSpacing/>
      <w:jc w:val="both"/>
    </w:pPr>
    <w:rPr>
      <w:rFonts w:ascii="DengXian" w:eastAsia="DengXian" w:hAnsi="DengXian" w:cs="Times New Roman"/>
      <w:kern w:val="2"/>
      <w:sz w:val="21"/>
      <w:lang w:val="en-US" w:eastAsia="zh-CN"/>
    </w:rPr>
  </w:style>
  <w:style w:type="paragraph" w:styleId="Subtitle">
    <w:name w:val="Subtitle"/>
    <w:basedOn w:val="Normal"/>
    <w:next w:val="Normal"/>
    <w:link w:val="SubtitleChar"/>
    <w:qFormat/>
    <w:rsid w:val="00FD1E3E"/>
    <w:pPr>
      <w:widowControl w:val="0"/>
      <w:numPr>
        <w:ilvl w:val="1"/>
      </w:numPr>
      <w:spacing w:after="0" w:line="240" w:lineRule="auto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val="en-US" w:eastAsia="zh-CN"/>
    </w:rPr>
  </w:style>
  <w:style w:type="character" w:customStyle="1" w:styleId="SubtitleChar">
    <w:name w:val="Subtitle Char"/>
    <w:basedOn w:val="DefaultParagraphFont"/>
    <w:link w:val="Subtitle"/>
    <w:rsid w:val="003A7FBB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FD1E3E"/>
    <w:pPr>
      <w:widowControl w:val="0"/>
      <w:jc w:val="both"/>
    </w:pPr>
    <w:rPr>
      <w:rFonts w:ascii="DengXian" w:eastAsia="DengXian" w:hAnsi="DengXian"/>
      <w:kern w:val="2"/>
      <w:sz w:val="21"/>
      <w:szCs w:val="22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A7FBB"/>
    <w:pPr>
      <w:widowControl w:val="0"/>
      <w:spacing w:after="0" w:line="240" w:lineRule="auto"/>
      <w:jc w:val="both"/>
    </w:pPr>
    <w:rPr>
      <w:rFonts w:ascii="DengXian" w:eastAsia="DengXian" w:hAnsi="DengXian" w:cs="Times New Roman"/>
      <w:i/>
      <w:iCs/>
      <w:color w:val="000000" w:themeColor="text1"/>
      <w:kern w:val="2"/>
      <w:sz w:val="21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3A7FBB"/>
    <w:rPr>
      <w:rFonts w:ascii="DengXian" w:eastAsia="DengXian" w:hAnsi="DengXian"/>
      <w:i/>
      <w:iCs/>
      <w:color w:val="000000" w:themeColor="text1"/>
      <w:kern w:val="2"/>
      <w:sz w:val="21"/>
      <w:szCs w:val="22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BB"/>
    <w:pPr>
      <w:widowControl w:val="0"/>
      <w:pBdr>
        <w:bottom w:val="single" w:sz="4" w:space="4" w:color="4F81BD" w:themeColor="accent1"/>
      </w:pBdr>
      <w:spacing w:before="200" w:after="280" w:line="240" w:lineRule="auto"/>
      <w:ind w:left="936" w:right="936"/>
      <w:jc w:val="both"/>
    </w:pPr>
    <w:rPr>
      <w:rFonts w:ascii="DengXian" w:eastAsia="DengXian" w:hAnsi="DengXian" w:cs="Times New Roman"/>
      <w:b/>
      <w:bCs/>
      <w:i/>
      <w:iCs/>
      <w:color w:val="4F81BD" w:themeColor="accent1"/>
      <w:kern w:val="2"/>
      <w:sz w:val="21"/>
      <w:lang w:val="en-US"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BB"/>
    <w:rPr>
      <w:rFonts w:ascii="DengXian" w:eastAsia="DengXian" w:hAnsi="DengXian"/>
      <w:b/>
      <w:bCs/>
      <w:i/>
      <w:iCs/>
      <w:color w:val="4F81BD" w:themeColor="accent1"/>
      <w:kern w:val="2"/>
      <w:sz w:val="21"/>
      <w:szCs w:val="22"/>
      <w:lang w:eastAsia="zh-CN"/>
    </w:rPr>
  </w:style>
  <w:style w:type="character" w:styleId="SubtleEmphasis">
    <w:name w:val="Subtle Emphasis"/>
    <w:uiPriority w:val="19"/>
    <w:qFormat/>
    <w:rsid w:val="003A7FBB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A7FBB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A7FBB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A7FB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A7FB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A7FBB"/>
    <w:pPr>
      <w:keepNext/>
      <w:keepLines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  <w:lang w:eastAsia="zh-CN"/>
    </w:rPr>
  </w:style>
  <w:style w:type="paragraph" w:customStyle="1" w:styleId="LightGrid-Accent31">
    <w:name w:val="Light Grid - Accent 31"/>
    <w:basedOn w:val="Normal"/>
    <w:uiPriority w:val="34"/>
    <w:rsid w:val="007044C1"/>
    <w:pPr>
      <w:spacing w:line="254" w:lineRule="auto"/>
      <w:ind w:left="720"/>
      <w:contextualSpacing/>
    </w:pPr>
    <w:rPr>
      <w:rFonts w:eastAsia="Cambria"/>
    </w:rPr>
  </w:style>
  <w:style w:type="character" w:styleId="LineNumber">
    <w:name w:val="line number"/>
    <w:basedOn w:val="DefaultParagraphFont"/>
    <w:uiPriority w:val="99"/>
    <w:unhideWhenUsed/>
    <w:rsid w:val="003A7FBB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1"/>
    <w:rsid w:val="003A7FBB"/>
    <w:pPr>
      <w:widowControl w:val="0"/>
      <w:autoSpaceDE w:val="0"/>
      <w:autoSpaceDN w:val="0"/>
      <w:adjustRightInd w:val="0"/>
      <w:spacing w:after="0" w:line="240" w:lineRule="auto"/>
      <w:ind w:left="40"/>
      <w:jc w:val="both"/>
    </w:pPr>
    <w:rPr>
      <w:rFonts w:ascii="Times New Roman" w:eastAsia="DengXian" w:hAnsi="Times New Roman" w:cs="Times New Roman"/>
      <w:kern w:val="2"/>
      <w:sz w:val="21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3A7FBB"/>
    <w:rPr>
      <w:rFonts w:ascii="Times New Roman" w:hAnsi="Times New Roman" w:cs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3A7FBB"/>
    <w:rPr>
      <w:rFonts w:ascii="DengXian" w:eastAsia="DengXian" w:hAnsi="DengXian"/>
      <w:kern w:val="2"/>
      <w:sz w:val="21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27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A65"/>
    <w:rPr>
      <w:rFonts w:asciiTheme="minorHAnsi" w:hAnsiTheme="minorHAnsi" w:cstheme="minorBidi"/>
      <w:sz w:val="22"/>
      <w:szCs w:val="22"/>
      <w:lang w:val="de-DE"/>
    </w:rPr>
  </w:style>
  <w:style w:type="table" w:customStyle="1" w:styleId="PlainTable2">
    <w:name w:val="Plain Table 2"/>
    <w:basedOn w:val="TableNormal"/>
    <w:uiPriority w:val="42"/>
    <w:rsid w:val="00127A65"/>
    <w:rPr>
      <w:rFonts w:asciiTheme="minorHAnsi" w:hAnsiTheme="minorHAnsi" w:cstheme="minorBidi"/>
      <w:sz w:val="22"/>
      <w:szCs w:val="22"/>
      <w:lang w:val="de-D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2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A65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4575</Characters>
  <Application>Microsoft Office Word</Application>
  <DocSecurity>0</DocSecurity>
  <Lines>142</Lines>
  <Paragraphs>62</Paragraphs>
  <ScaleCrop>false</ScaleCrop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2021-05-17T23:12:00Z</dcterms:created>
  <dcterms:modified xsi:type="dcterms:W3CDTF">2021-05-17T23:12:00Z</dcterms:modified>
</cp:coreProperties>
</file>