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086" w:rsidRPr="00962D41" w:rsidRDefault="00305086" w:rsidP="00305086">
      <w:pPr>
        <w:pStyle w:val="Heading2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0" w:name="_GoBack"/>
      <w:bookmarkEnd w:id="0"/>
      <w:r w:rsidRPr="00962D41">
        <w:rPr>
          <w:rFonts w:ascii="Times New Roman" w:hAnsi="Times New Roman" w:cs="Times New Roman"/>
          <w:b/>
          <w:color w:val="auto"/>
          <w:sz w:val="22"/>
          <w:szCs w:val="22"/>
        </w:rPr>
        <w:t xml:space="preserve">Table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S</w:t>
      </w:r>
      <w:r w:rsidRPr="00962D41">
        <w:rPr>
          <w:rFonts w:ascii="Times New Roman" w:hAnsi="Times New Roman" w:cs="Times New Roman"/>
          <w:b/>
          <w:color w:val="auto"/>
          <w:sz w:val="22"/>
          <w:szCs w:val="22"/>
        </w:rPr>
        <w:t xml:space="preserve">2: DPWG Recommendations to Guide Duloxetine and Risperidone Therapy Considering CYP2D6 Phenotype, and Sertraline Therapy Considering CYP2C19 </w:t>
      </w:r>
      <w:proofErr w:type="gramStart"/>
      <w:r w:rsidRPr="00962D41">
        <w:rPr>
          <w:rFonts w:ascii="Times New Roman" w:hAnsi="Times New Roman" w:cs="Times New Roman"/>
          <w:b/>
          <w:color w:val="auto"/>
          <w:sz w:val="22"/>
          <w:szCs w:val="22"/>
        </w:rPr>
        <w:t>Phenotype</w:t>
      </w:r>
      <w:proofErr w:type="gramEnd"/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begin">
          <w:fldData xml:space="preserve">PEVuZE5vdGU+PENpdGU+PEF1dGhvcj5QaGFybUdLQjwvQXV0aG9yPjxZZWFyPjIwMTg8L1llYXI+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</w:fldData>
        </w:fldCha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instrText xml:space="preserve"> ADDIN EN.CITE </w:instrTex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begin">
          <w:fldData xml:space="preserve">PEVuZE5vdGU+PENpdGU+PEF1dGhvcj5QaGFybUdLQjwvQXV0aG9yPjxZZWFyPjIwMTg8L1llYXI+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</w:fldData>
        </w:fldCha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instrText xml:space="preserve"> ADDIN EN.CITE.DATA </w:instrText>
      </w:r>
      <w:r>
        <w:rPr>
          <w:rFonts w:ascii="Times New Roman" w:hAnsi="Times New Roman" w:cs="Times New Roman"/>
          <w:b/>
          <w:color w:val="auto"/>
          <w:sz w:val="22"/>
          <w:szCs w:val="22"/>
        </w:rP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end"/>
      </w:r>
      <w:r>
        <w:rPr>
          <w:rFonts w:ascii="Times New Roman" w:hAnsi="Times New Roman" w:cs="Times New Roman"/>
          <w:b/>
          <w:color w:val="auto"/>
          <w:sz w:val="22"/>
          <w:szCs w:val="22"/>
        </w:rPr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separate"/>
      </w:r>
      <w:r>
        <w:rPr>
          <w:rFonts w:ascii="Times New Roman" w:hAnsi="Times New Roman" w:cs="Times New Roman"/>
          <w:b/>
          <w:noProof/>
          <w:color w:val="auto"/>
          <w:sz w:val="22"/>
          <w:szCs w:val="22"/>
        </w:rPr>
        <w:t>(34-36)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fldChar w:fldCharType="end"/>
      </w:r>
    </w:p>
    <w:tbl>
      <w:tblPr>
        <w:tblStyle w:val="TableGrid1"/>
        <w:tblW w:w="9805" w:type="dxa"/>
        <w:tblLook w:val="0620" w:firstRow="1" w:lastRow="0" w:firstColumn="0" w:lastColumn="0" w:noHBand="1" w:noVBand="1"/>
      </w:tblPr>
      <w:tblGrid>
        <w:gridCol w:w="1857"/>
        <w:gridCol w:w="4000"/>
        <w:gridCol w:w="3948"/>
      </w:tblGrid>
      <w:tr w:rsidR="00305086" w:rsidRPr="00962D41" w:rsidTr="00F14440">
        <w:trPr>
          <w:trHeight w:val="196"/>
        </w:trPr>
        <w:tc>
          <w:tcPr>
            <w:tcW w:w="1857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Phenotype</w:t>
            </w:r>
          </w:p>
        </w:tc>
        <w:tc>
          <w:tcPr>
            <w:tcW w:w="4000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Implications and Clinical Interpretation</w:t>
            </w:r>
          </w:p>
        </w:tc>
        <w:tc>
          <w:tcPr>
            <w:tcW w:w="3948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Recommendations</w:t>
            </w:r>
          </w:p>
        </w:tc>
      </w:tr>
      <w:tr w:rsidR="00305086" w:rsidRPr="00962D41" w:rsidTr="00F14440">
        <w:trPr>
          <w:trHeight w:val="196"/>
        </w:trPr>
        <w:tc>
          <w:tcPr>
            <w:tcW w:w="9805" w:type="dxa"/>
            <w:gridSpan w:val="3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</w:rPr>
              <w:t>Duloxetine – CYP2D6</w:t>
            </w:r>
          </w:p>
        </w:tc>
      </w:tr>
      <w:tr w:rsidR="00305086" w:rsidRPr="00962D41" w:rsidTr="00F14440">
        <w:trPr>
          <w:trHeight w:val="548"/>
        </w:trPr>
        <w:tc>
          <w:tcPr>
            <w:tcW w:w="1857" w:type="dxa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Ultra-Rapid, Intermediate, or Poor Metabolizer</w:t>
            </w:r>
          </w:p>
        </w:tc>
        <w:tc>
          <w:tcPr>
            <w:tcW w:w="4000" w:type="dxa"/>
          </w:tcPr>
          <w:p w:rsidR="00305086" w:rsidRPr="00962D41" w:rsidRDefault="00305086" w:rsidP="00F144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2D41">
              <w:rPr>
                <w:rFonts w:ascii="Times New Roman" w:hAnsi="Times New Roman" w:cs="Times New Roman"/>
                <w:color w:val="000000"/>
              </w:rPr>
              <w:t xml:space="preserve">Although plasma concentrations of duloxetine may be affected, a typical response is expected. </w:t>
            </w:r>
          </w:p>
        </w:tc>
        <w:tc>
          <w:tcPr>
            <w:tcW w:w="3948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There are currently no dosing recommendations for duloxetine based on CYP2D6 genotype.</w:t>
            </w:r>
          </w:p>
        </w:tc>
      </w:tr>
      <w:tr w:rsidR="00305086" w:rsidRPr="00962D41" w:rsidTr="00F14440">
        <w:trPr>
          <w:trHeight w:val="27"/>
        </w:trPr>
        <w:tc>
          <w:tcPr>
            <w:tcW w:w="9805" w:type="dxa"/>
            <w:gridSpan w:val="3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kern w:val="24"/>
              </w:rPr>
              <w:t>Risperidone – CYP2D6</w:t>
            </w:r>
          </w:p>
        </w:tc>
      </w:tr>
      <w:tr w:rsidR="00305086" w:rsidRPr="00962D41" w:rsidTr="00F14440">
        <w:trPr>
          <w:trHeight w:val="1737"/>
        </w:trPr>
        <w:tc>
          <w:tcPr>
            <w:tcW w:w="1857" w:type="dxa"/>
            <w:hideMark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Ultra-Rapid Metabolizer</w:t>
            </w:r>
          </w:p>
        </w:tc>
        <w:tc>
          <w:tcPr>
            <w:tcW w:w="4000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The percentage of patients with therapy failure increases from 16% to 37%. The gene variation leads to a high ratio of the active metabolite (9-hydroxyrisperidone (</w:t>
            </w:r>
            <w:proofErr w:type="spellStart"/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paliperidone</w:t>
            </w:r>
            <w:proofErr w:type="spellEnd"/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)) compared to risperidone, which crosses the blood-brain barrier more effectively.</w:t>
            </w:r>
          </w:p>
        </w:tc>
        <w:tc>
          <w:tcPr>
            <w:tcW w:w="3948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Choose an alternative or titrate the dose according to the maximum dose for the active metabolite (</w:t>
            </w:r>
            <w:proofErr w:type="spellStart"/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paliperidone</w:t>
            </w:r>
            <w:proofErr w:type="spellEnd"/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) (oral 12 mg/day for adults and children from 15 years of age weighing at least 51 kg and 6 mg/day for children from 15 years of age weighing less than 51 kg; intramuscular 75 mg per 2 weeks).</w:t>
            </w:r>
          </w:p>
        </w:tc>
      </w:tr>
      <w:tr w:rsidR="00305086" w:rsidRPr="00962D41" w:rsidTr="00F14440">
        <w:trPr>
          <w:trHeight w:val="1437"/>
        </w:trPr>
        <w:tc>
          <w:tcPr>
            <w:tcW w:w="1857" w:type="dxa"/>
            <w:hideMark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Intermediate Metabolizer</w:t>
            </w:r>
          </w:p>
        </w:tc>
        <w:tc>
          <w:tcPr>
            <w:tcW w:w="4000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There is little evidence to support an increase in side effects caused by the gene variation. The gene variation may lead to a decrease in the required maintenance dose. However, as the effect on the dose is smaller than that of the normal biological variation, action is not useful.</w:t>
            </w:r>
          </w:p>
        </w:tc>
        <w:tc>
          <w:tcPr>
            <w:tcW w:w="3948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Continue to follow label recommended dosing.</w:t>
            </w:r>
          </w:p>
        </w:tc>
      </w:tr>
      <w:tr w:rsidR="00305086" w:rsidRPr="00962D41" w:rsidTr="00F14440">
        <w:trPr>
          <w:trHeight w:val="1566"/>
        </w:trPr>
        <w:tc>
          <w:tcPr>
            <w:tcW w:w="1857" w:type="dxa"/>
            <w:hideMark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Poor Metabolizer</w:t>
            </w:r>
          </w:p>
        </w:tc>
        <w:tc>
          <w:tcPr>
            <w:tcW w:w="4000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 xml:space="preserve">The percentage of patients with </w:t>
            </w:r>
            <w:r w:rsidRPr="00962D41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</w:rPr>
              <w:t>therapy failure increased from 16% to 26%</w:t>
            </w: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. The gene variation increases the plasma concentration of risperidone plus the active metabolite and increases the proportion of risperidone in this ratio, which is more effective at crossing the blood-brain barrier.</w:t>
            </w:r>
          </w:p>
        </w:tc>
        <w:tc>
          <w:tcPr>
            <w:tcW w:w="3948" w:type="dxa"/>
            <w:hideMark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62D41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</w:rPr>
              <w:t xml:space="preserve">Use 67% of the standard dose. </w:t>
            </w: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If problematic side effects originating in the central nervous system occur despite this reduced dose, then reduce the dose further to 50% of the standard dose.</w:t>
            </w:r>
          </w:p>
        </w:tc>
      </w:tr>
      <w:tr w:rsidR="00305086" w:rsidRPr="00962D41" w:rsidTr="00F14440">
        <w:trPr>
          <w:trHeight w:val="16"/>
        </w:trPr>
        <w:tc>
          <w:tcPr>
            <w:tcW w:w="9805" w:type="dxa"/>
            <w:gridSpan w:val="3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</w:rPr>
              <w:t>Sertraline – CYP2C19</w:t>
            </w:r>
          </w:p>
        </w:tc>
      </w:tr>
      <w:tr w:rsidR="00305086" w:rsidRPr="00962D41" w:rsidTr="00F14440">
        <w:trPr>
          <w:trHeight w:val="1070"/>
        </w:trPr>
        <w:tc>
          <w:tcPr>
            <w:tcW w:w="1857" w:type="dxa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Ultra-Rapid Metabolizer</w:t>
            </w:r>
          </w:p>
        </w:tc>
        <w:tc>
          <w:tcPr>
            <w:tcW w:w="4000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The gene variation has a negligible effect on the plasma concentration of sertraline. Moreover, no significant effect on response and side effects has been found.</w:t>
            </w:r>
          </w:p>
        </w:tc>
        <w:tc>
          <w:tcPr>
            <w:tcW w:w="3948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Continue to follow label recommended dosing.</w:t>
            </w:r>
          </w:p>
        </w:tc>
      </w:tr>
      <w:tr w:rsidR="00305086" w:rsidRPr="00962D41" w:rsidTr="00F14440">
        <w:trPr>
          <w:trHeight w:val="476"/>
        </w:trPr>
        <w:tc>
          <w:tcPr>
            <w:tcW w:w="1857" w:type="dxa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Intermediate Metabolizer</w:t>
            </w:r>
          </w:p>
        </w:tc>
        <w:tc>
          <w:tcPr>
            <w:tcW w:w="4000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The gene variation has a minor effect on the sertraline plasma concentration. No effect on side effects has been found.</w:t>
            </w:r>
          </w:p>
        </w:tc>
        <w:tc>
          <w:tcPr>
            <w:tcW w:w="3948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Continue to follow label recommended dosing.</w:t>
            </w:r>
          </w:p>
        </w:tc>
      </w:tr>
      <w:tr w:rsidR="00305086" w:rsidRPr="00962D41" w:rsidTr="00F14440">
        <w:trPr>
          <w:trHeight w:val="341"/>
        </w:trPr>
        <w:tc>
          <w:tcPr>
            <w:tcW w:w="1857" w:type="dxa"/>
          </w:tcPr>
          <w:p w:rsidR="00305086" w:rsidRPr="00962D41" w:rsidRDefault="00305086" w:rsidP="00F1444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Poor Metabolizer</w:t>
            </w:r>
          </w:p>
        </w:tc>
        <w:tc>
          <w:tcPr>
            <w:tcW w:w="4000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The risk of side effects is increased. The gene variation leads to increased plasma concentrations of sertraline.</w:t>
            </w:r>
          </w:p>
        </w:tc>
        <w:tc>
          <w:tcPr>
            <w:tcW w:w="3948" w:type="dxa"/>
          </w:tcPr>
          <w:p w:rsidR="00305086" w:rsidRPr="00962D41" w:rsidRDefault="00305086" w:rsidP="00F1444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</w:pPr>
            <w:r w:rsidRPr="00962D41">
              <w:rPr>
                <w:rFonts w:ascii="Times New Roman" w:eastAsia="Times New Roman" w:hAnsi="Times New Roman" w:cs="Times New Roman"/>
                <w:color w:val="000000" w:themeColor="text1"/>
                <w:kern w:val="24"/>
              </w:rPr>
              <w:t>Do not give doses exceeding 75 mg/day. Guide the dose by response and side effects and/or sertraline plasma concentration.</w:t>
            </w:r>
          </w:p>
        </w:tc>
      </w:tr>
    </w:tbl>
    <w:p w:rsidR="00305086" w:rsidRPr="007470FE" w:rsidRDefault="00305086" w:rsidP="00305086">
      <w:pPr>
        <w:rPr>
          <w:rFonts w:ascii="Times New Roman" w:hAnsi="Times New Roman" w:cs="Times New Roman"/>
          <w:sz w:val="18"/>
          <w:szCs w:val="18"/>
        </w:rPr>
      </w:pPr>
      <w:r w:rsidRPr="007E3523">
        <w:rPr>
          <w:rFonts w:ascii="Times New Roman" w:hAnsi="Times New Roman" w:cs="Times New Roman"/>
          <w:sz w:val="18"/>
          <w:szCs w:val="18"/>
        </w:rPr>
        <w:t>Abbreviations: CYP: Cytochrome P450; DPWG: Dutch Pharmacogenetics Working Group</w:t>
      </w:r>
    </w:p>
    <w:p w:rsidR="00305086" w:rsidRDefault="00305086"/>
    <w:sectPr w:rsidR="00305086" w:rsidSect="00DC56DA">
      <w:footerReference w:type="default" r:id="rId7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B0E" w:rsidRDefault="00260B0E">
      <w:r>
        <w:separator/>
      </w:r>
    </w:p>
  </w:endnote>
  <w:endnote w:type="continuationSeparator" w:id="0">
    <w:p w:rsidR="00260B0E" w:rsidRDefault="0026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vksyfAdvTTa351d857.B">
    <w:altName w:val="Cambria"/>
    <w:charset w:val="00"/>
    <w:family w:val="roman"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320107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F36F4" w:rsidRDefault="0073554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50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50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F36F4" w:rsidRDefault="00260B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B0E" w:rsidRDefault="00260B0E">
      <w:r>
        <w:separator/>
      </w:r>
    </w:p>
  </w:footnote>
  <w:footnote w:type="continuationSeparator" w:id="0">
    <w:p w:rsidR="00260B0E" w:rsidRDefault="00260B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546"/>
    <w:rsid w:val="00003AE5"/>
    <w:rsid w:val="000053D2"/>
    <w:rsid w:val="000269FB"/>
    <w:rsid w:val="000338B2"/>
    <w:rsid w:val="000461B8"/>
    <w:rsid w:val="00073299"/>
    <w:rsid w:val="00076540"/>
    <w:rsid w:val="00081561"/>
    <w:rsid w:val="000A5427"/>
    <w:rsid w:val="000B0701"/>
    <w:rsid w:val="000B37A3"/>
    <w:rsid w:val="000B45A9"/>
    <w:rsid w:val="000C1491"/>
    <w:rsid w:val="000C1F88"/>
    <w:rsid w:val="000C389E"/>
    <w:rsid w:val="000D4F12"/>
    <w:rsid w:val="001005B7"/>
    <w:rsid w:val="001126DE"/>
    <w:rsid w:val="001224E0"/>
    <w:rsid w:val="00171D57"/>
    <w:rsid w:val="00173575"/>
    <w:rsid w:val="00174525"/>
    <w:rsid w:val="001926F1"/>
    <w:rsid w:val="00196777"/>
    <w:rsid w:val="001A764B"/>
    <w:rsid w:val="001B322A"/>
    <w:rsid w:val="001B5571"/>
    <w:rsid w:val="001D0702"/>
    <w:rsid w:val="001D72B9"/>
    <w:rsid w:val="001D7EE7"/>
    <w:rsid w:val="001E1CD6"/>
    <w:rsid w:val="001E6E29"/>
    <w:rsid w:val="001F476B"/>
    <w:rsid w:val="00203DD3"/>
    <w:rsid w:val="00213C2C"/>
    <w:rsid w:val="002279E8"/>
    <w:rsid w:val="002329A1"/>
    <w:rsid w:val="00244CB8"/>
    <w:rsid w:val="00260093"/>
    <w:rsid w:val="00260B0E"/>
    <w:rsid w:val="002B0C15"/>
    <w:rsid w:val="002E07C7"/>
    <w:rsid w:val="00304085"/>
    <w:rsid w:val="00305086"/>
    <w:rsid w:val="0031010B"/>
    <w:rsid w:val="00312572"/>
    <w:rsid w:val="003207A8"/>
    <w:rsid w:val="003267F2"/>
    <w:rsid w:val="00334017"/>
    <w:rsid w:val="003378E5"/>
    <w:rsid w:val="00342C5F"/>
    <w:rsid w:val="00353A97"/>
    <w:rsid w:val="00365CC1"/>
    <w:rsid w:val="003665C6"/>
    <w:rsid w:val="00392770"/>
    <w:rsid w:val="00394874"/>
    <w:rsid w:val="00395967"/>
    <w:rsid w:val="003C57E7"/>
    <w:rsid w:val="003D371D"/>
    <w:rsid w:val="003D3DB2"/>
    <w:rsid w:val="00401E6B"/>
    <w:rsid w:val="00402201"/>
    <w:rsid w:val="0040444C"/>
    <w:rsid w:val="004074D5"/>
    <w:rsid w:val="00415C94"/>
    <w:rsid w:val="00426395"/>
    <w:rsid w:val="00461257"/>
    <w:rsid w:val="00492FBE"/>
    <w:rsid w:val="004B3B35"/>
    <w:rsid w:val="004C6B0A"/>
    <w:rsid w:val="004D2D73"/>
    <w:rsid w:val="004D6330"/>
    <w:rsid w:val="004E358D"/>
    <w:rsid w:val="004F2BF5"/>
    <w:rsid w:val="004F4E72"/>
    <w:rsid w:val="004F7E8B"/>
    <w:rsid w:val="005119BC"/>
    <w:rsid w:val="00515A76"/>
    <w:rsid w:val="00517723"/>
    <w:rsid w:val="005179E5"/>
    <w:rsid w:val="0053125E"/>
    <w:rsid w:val="00537CED"/>
    <w:rsid w:val="00542E50"/>
    <w:rsid w:val="005630C8"/>
    <w:rsid w:val="005666F9"/>
    <w:rsid w:val="005808DD"/>
    <w:rsid w:val="005A0921"/>
    <w:rsid w:val="005B2D1E"/>
    <w:rsid w:val="005C2421"/>
    <w:rsid w:val="005C290F"/>
    <w:rsid w:val="005D3318"/>
    <w:rsid w:val="005D4414"/>
    <w:rsid w:val="005D50BD"/>
    <w:rsid w:val="005E1DD0"/>
    <w:rsid w:val="00606319"/>
    <w:rsid w:val="00615659"/>
    <w:rsid w:val="00677183"/>
    <w:rsid w:val="006862BB"/>
    <w:rsid w:val="00691F0F"/>
    <w:rsid w:val="0069329B"/>
    <w:rsid w:val="00695631"/>
    <w:rsid w:val="006B6BC4"/>
    <w:rsid w:val="006C58FC"/>
    <w:rsid w:val="006D405E"/>
    <w:rsid w:val="006F0897"/>
    <w:rsid w:val="006F1FF7"/>
    <w:rsid w:val="007047A4"/>
    <w:rsid w:val="00706955"/>
    <w:rsid w:val="00735546"/>
    <w:rsid w:val="00741B41"/>
    <w:rsid w:val="007457AB"/>
    <w:rsid w:val="007531CD"/>
    <w:rsid w:val="0076331D"/>
    <w:rsid w:val="00774225"/>
    <w:rsid w:val="0078296A"/>
    <w:rsid w:val="0079467B"/>
    <w:rsid w:val="00794A43"/>
    <w:rsid w:val="00797356"/>
    <w:rsid w:val="007A21A4"/>
    <w:rsid w:val="007B0B4B"/>
    <w:rsid w:val="007B6730"/>
    <w:rsid w:val="007C7793"/>
    <w:rsid w:val="007D65F0"/>
    <w:rsid w:val="007E2E98"/>
    <w:rsid w:val="007E5CA5"/>
    <w:rsid w:val="007F0B7B"/>
    <w:rsid w:val="007F47B3"/>
    <w:rsid w:val="00801C4C"/>
    <w:rsid w:val="00807D26"/>
    <w:rsid w:val="0081397D"/>
    <w:rsid w:val="00823096"/>
    <w:rsid w:val="00833269"/>
    <w:rsid w:val="008342D6"/>
    <w:rsid w:val="008452BF"/>
    <w:rsid w:val="00850DD7"/>
    <w:rsid w:val="00851EE0"/>
    <w:rsid w:val="00852D86"/>
    <w:rsid w:val="008604E6"/>
    <w:rsid w:val="008722C5"/>
    <w:rsid w:val="00895AC7"/>
    <w:rsid w:val="008C67A5"/>
    <w:rsid w:val="008D531E"/>
    <w:rsid w:val="008E6889"/>
    <w:rsid w:val="0091471B"/>
    <w:rsid w:val="009348C8"/>
    <w:rsid w:val="00955D3E"/>
    <w:rsid w:val="00964574"/>
    <w:rsid w:val="00976E8D"/>
    <w:rsid w:val="0098649E"/>
    <w:rsid w:val="00990F7A"/>
    <w:rsid w:val="00991627"/>
    <w:rsid w:val="009B1A6A"/>
    <w:rsid w:val="009C1076"/>
    <w:rsid w:val="009D7675"/>
    <w:rsid w:val="009E34C4"/>
    <w:rsid w:val="009E5B2A"/>
    <w:rsid w:val="00A00CEE"/>
    <w:rsid w:val="00A1367B"/>
    <w:rsid w:val="00A24062"/>
    <w:rsid w:val="00A32DD0"/>
    <w:rsid w:val="00A36EA2"/>
    <w:rsid w:val="00A471BA"/>
    <w:rsid w:val="00A47FEB"/>
    <w:rsid w:val="00A609A4"/>
    <w:rsid w:val="00A60C57"/>
    <w:rsid w:val="00A701CA"/>
    <w:rsid w:val="00A725FE"/>
    <w:rsid w:val="00AA5A52"/>
    <w:rsid w:val="00AA7432"/>
    <w:rsid w:val="00AC2532"/>
    <w:rsid w:val="00AD581F"/>
    <w:rsid w:val="00AD6A3D"/>
    <w:rsid w:val="00AF1E15"/>
    <w:rsid w:val="00AF27B0"/>
    <w:rsid w:val="00AF2BEA"/>
    <w:rsid w:val="00AF72AE"/>
    <w:rsid w:val="00B17E4D"/>
    <w:rsid w:val="00B20398"/>
    <w:rsid w:val="00B37FBA"/>
    <w:rsid w:val="00B45606"/>
    <w:rsid w:val="00B46487"/>
    <w:rsid w:val="00B55458"/>
    <w:rsid w:val="00B60175"/>
    <w:rsid w:val="00B74614"/>
    <w:rsid w:val="00B96B16"/>
    <w:rsid w:val="00BA07D3"/>
    <w:rsid w:val="00BA111C"/>
    <w:rsid w:val="00BA790E"/>
    <w:rsid w:val="00BB1D85"/>
    <w:rsid w:val="00BC60BB"/>
    <w:rsid w:val="00BD54F4"/>
    <w:rsid w:val="00BE1B2A"/>
    <w:rsid w:val="00C135FF"/>
    <w:rsid w:val="00C247E6"/>
    <w:rsid w:val="00C2500C"/>
    <w:rsid w:val="00C26783"/>
    <w:rsid w:val="00C6625A"/>
    <w:rsid w:val="00C77CB3"/>
    <w:rsid w:val="00C80F2B"/>
    <w:rsid w:val="00C951BB"/>
    <w:rsid w:val="00CA0A87"/>
    <w:rsid w:val="00CA600D"/>
    <w:rsid w:val="00CB4191"/>
    <w:rsid w:val="00CC5A4D"/>
    <w:rsid w:val="00CD51A5"/>
    <w:rsid w:val="00CD6F8C"/>
    <w:rsid w:val="00D0119E"/>
    <w:rsid w:val="00D21EE4"/>
    <w:rsid w:val="00D46677"/>
    <w:rsid w:val="00D54BDE"/>
    <w:rsid w:val="00D560EE"/>
    <w:rsid w:val="00D61938"/>
    <w:rsid w:val="00D61A19"/>
    <w:rsid w:val="00D62B17"/>
    <w:rsid w:val="00D94B35"/>
    <w:rsid w:val="00D9548E"/>
    <w:rsid w:val="00DA23D1"/>
    <w:rsid w:val="00DA58F6"/>
    <w:rsid w:val="00DB6735"/>
    <w:rsid w:val="00DD6FAB"/>
    <w:rsid w:val="00E07587"/>
    <w:rsid w:val="00E20AE6"/>
    <w:rsid w:val="00E215C8"/>
    <w:rsid w:val="00E4165C"/>
    <w:rsid w:val="00E7041D"/>
    <w:rsid w:val="00E72E9A"/>
    <w:rsid w:val="00E73450"/>
    <w:rsid w:val="00E737F1"/>
    <w:rsid w:val="00E76613"/>
    <w:rsid w:val="00E772D7"/>
    <w:rsid w:val="00EB16E2"/>
    <w:rsid w:val="00EC2785"/>
    <w:rsid w:val="00ED0D09"/>
    <w:rsid w:val="00EF4A53"/>
    <w:rsid w:val="00EF6543"/>
    <w:rsid w:val="00F01937"/>
    <w:rsid w:val="00F02A25"/>
    <w:rsid w:val="00F11CCA"/>
    <w:rsid w:val="00F219C5"/>
    <w:rsid w:val="00F30D67"/>
    <w:rsid w:val="00F3172C"/>
    <w:rsid w:val="00F407A2"/>
    <w:rsid w:val="00F501D3"/>
    <w:rsid w:val="00F54787"/>
    <w:rsid w:val="00F712FD"/>
    <w:rsid w:val="00F8476A"/>
    <w:rsid w:val="00FB7095"/>
    <w:rsid w:val="00FD3044"/>
    <w:rsid w:val="00FD508F"/>
    <w:rsid w:val="00FD7E7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5546"/>
    <w:pPr>
      <w:keepNext/>
      <w:keepLines/>
      <w:widowControl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73554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735546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735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5546"/>
    <w:pPr>
      <w:keepNext/>
      <w:keepLines/>
      <w:widowControl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73554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table" w:customStyle="1" w:styleId="TableGrid1">
    <w:name w:val="Table Grid1"/>
    <w:basedOn w:val="TableNormal"/>
    <w:next w:val="TableGrid"/>
    <w:uiPriority w:val="39"/>
    <w:rsid w:val="00735546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735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MAPACANG</dc:creator>
  <cp:lastModifiedBy>Quio, Elvie</cp:lastModifiedBy>
  <cp:revision>2</cp:revision>
  <dcterms:created xsi:type="dcterms:W3CDTF">2022-01-03T13:07:00Z</dcterms:created>
  <dcterms:modified xsi:type="dcterms:W3CDTF">2022-01-15T03:01:00Z</dcterms:modified>
</cp:coreProperties>
</file>