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F54A9" w14:textId="7F9882D0" w:rsidR="00747CAC" w:rsidRDefault="00747CAC" w:rsidP="00747CAC">
      <w:pPr>
        <w:rPr>
          <w:b/>
          <w:u w:val="single"/>
          <w:lang w:val="en-GB"/>
        </w:rPr>
      </w:pPr>
      <w:r w:rsidRPr="00747CAC">
        <w:rPr>
          <w:b/>
          <w:u w:val="single"/>
          <w:lang w:val="en-GB"/>
        </w:rPr>
        <w:t xml:space="preserve">Supplementary file </w:t>
      </w:r>
      <w:r w:rsidR="003F4AB3">
        <w:rPr>
          <w:b/>
          <w:u w:val="single"/>
          <w:lang w:val="en-GB"/>
        </w:rPr>
        <w:t>5</w:t>
      </w:r>
      <w:r w:rsidRPr="00747CAC">
        <w:rPr>
          <w:b/>
          <w:u w:val="single"/>
          <w:lang w:val="en-GB"/>
        </w:rPr>
        <w:t xml:space="preserve">: </w:t>
      </w:r>
    </w:p>
    <w:p w14:paraId="5E1F943C" w14:textId="77777777" w:rsidR="00747CAC" w:rsidRPr="00747CAC" w:rsidRDefault="00747CAC" w:rsidP="00747CAC">
      <w:pPr>
        <w:rPr>
          <w:b/>
          <w:u w:val="single"/>
          <w:lang w:val="en-GB"/>
        </w:rPr>
      </w:pPr>
      <w:r w:rsidRPr="00747CAC">
        <w:rPr>
          <w:b/>
          <w:u w:val="single"/>
          <w:lang w:val="en-GB"/>
        </w:rPr>
        <w:t>Definitions of adverse events</w:t>
      </w:r>
    </w:p>
    <w:p w14:paraId="7C86AE84" w14:textId="77777777" w:rsidR="00747CAC" w:rsidRDefault="00747CAC" w:rsidP="00747CAC">
      <w:pPr>
        <w:rPr>
          <w:bCs/>
          <w:lang w:val="en-GB"/>
        </w:rPr>
      </w:pPr>
      <w:r w:rsidRPr="00747CAC">
        <w:rPr>
          <w:bCs/>
          <w:lang w:val="en-GB"/>
        </w:rPr>
        <w:t>Adverse events as defined by the International Conference on Harmonisation of Technical Requirements for Registration of Pharmaceuticals for Human Use – Guidelines for Good Clinical Practice</w:t>
      </w:r>
    </w:p>
    <w:p w14:paraId="55E1ED4C" w14:textId="77777777" w:rsidR="00747CAC" w:rsidRPr="00747CAC" w:rsidRDefault="00747CAC" w:rsidP="00747CAC">
      <w:pPr>
        <w:rPr>
          <w:bCs/>
          <w:lang w:val="en-GB"/>
        </w:rPr>
      </w:pPr>
      <w:r>
        <w:rPr>
          <w:bCs/>
          <w:lang w:val="en-GB"/>
        </w:rPr>
        <w:t>[</w:t>
      </w:r>
      <w:r w:rsidRPr="00747CAC">
        <w:rPr>
          <w:bCs/>
          <w:i/>
          <w:lang w:val="en-GB"/>
        </w:rPr>
        <w:t>ICH Harmonised Guideline. Clinical safety data management: definitions and standards for expedited reporting E2A</w:t>
      </w:r>
      <w:r w:rsidRPr="00747CAC">
        <w:rPr>
          <w:bCs/>
          <w:lang w:val="en-GB"/>
        </w:rPr>
        <w:t>. 1994.</w:t>
      </w:r>
      <w:r>
        <w:rPr>
          <w:bCs/>
          <w:lang w:val="en-GB"/>
        </w:rPr>
        <w:t>]</w:t>
      </w:r>
    </w:p>
    <w:p w14:paraId="57595373" w14:textId="77777777" w:rsidR="00747CAC" w:rsidRDefault="00747CAC" w:rsidP="00747CAC">
      <w:pPr>
        <w:rPr>
          <w:b/>
          <w:u w:val="single"/>
          <w:lang w:val="en-GB"/>
        </w:rPr>
      </w:pPr>
    </w:p>
    <w:p w14:paraId="18E350A0" w14:textId="77777777" w:rsidR="00747CAC" w:rsidRPr="00747CAC" w:rsidRDefault="00747CAC" w:rsidP="00747CAC">
      <w:pPr>
        <w:rPr>
          <w:b/>
          <w:u w:val="single"/>
          <w:lang w:val="en-GB"/>
        </w:rPr>
      </w:pPr>
      <w:r w:rsidRPr="00747CAC">
        <w:rPr>
          <w:b/>
          <w:u w:val="single"/>
          <w:lang w:val="en-GB"/>
        </w:rPr>
        <w:t>Definitions of adverse events</w:t>
      </w:r>
    </w:p>
    <w:p w14:paraId="6398C88A" w14:textId="77777777" w:rsidR="00747CAC" w:rsidRPr="00747CAC" w:rsidRDefault="00747CAC" w:rsidP="00747CAC">
      <w:pPr>
        <w:rPr>
          <w:lang w:val="en-GB"/>
        </w:rPr>
      </w:pPr>
      <w:r w:rsidRPr="00747CAC">
        <w:rPr>
          <w:b/>
          <w:lang w:val="en-GB"/>
        </w:rPr>
        <w:t>Adverse Event:</w:t>
      </w:r>
      <w:r w:rsidRPr="00747CAC">
        <w:rPr>
          <w:lang w:val="en-GB"/>
        </w:rPr>
        <w:t xml:space="preserve"> any undesirable medical event occurring to a participant during a clinical trial, which does not necessarily have a causal relationship with the intervention</w:t>
      </w:r>
      <w:r>
        <w:rPr>
          <w:lang w:val="en-GB"/>
        </w:rPr>
        <w:t>.</w:t>
      </w:r>
    </w:p>
    <w:p w14:paraId="77523BBC" w14:textId="77777777" w:rsidR="00747CAC" w:rsidRPr="00747CAC" w:rsidRDefault="00747CAC" w:rsidP="00747CAC">
      <w:pPr>
        <w:rPr>
          <w:lang w:val="en-GB"/>
        </w:rPr>
      </w:pPr>
      <w:r w:rsidRPr="00747CAC">
        <w:rPr>
          <w:b/>
          <w:lang w:val="en-GB"/>
        </w:rPr>
        <w:t>Adverse Reaction:</w:t>
      </w:r>
      <w:r w:rsidRPr="00747CAC">
        <w:rPr>
          <w:lang w:val="en-GB"/>
        </w:rPr>
        <w:t xml:space="preserve"> any undesirable and unintended medical response related to the intervention occurring to a participant during a clinical trial</w:t>
      </w:r>
      <w:r>
        <w:rPr>
          <w:lang w:val="en-GB"/>
        </w:rPr>
        <w:t>.</w:t>
      </w:r>
    </w:p>
    <w:p w14:paraId="28CA80D4" w14:textId="77777777" w:rsidR="00747CAC" w:rsidRPr="00747CAC" w:rsidRDefault="00747CAC" w:rsidP="00747CAC">
      <w:pPr>
        <w:rPr>
          <w:lang w:val="en-GB"/>
        </w:rPr>
      </w:pPr>
      <w:r w:rsidRPr="00747CAC">
        <w:rPr>
          <w:b/>
          <w:lang w:val="en-GB"/>
        </w:rPr>
        <w:t>Serious Adverse Event (SAE):</w:t>
      </w:r>
      <w:r w:rsidRPr="00747CAC">
        <w:rPr>
          <w:lang w:val="en-GB"/>
        </w:rPr>
        <w:t xml:space="preserve"> any adverse event that results in death, is life-threatening, requires hospitalisation or prolongs existing hospitalisation, results in persistent or significant disability or incapacity, or is a congenital anomaly or birth defect, which does not necessarily have a causal relationship with the intervention</w:t>
      </w:r>
      <w:r>
        <w:rPr>
          <w:lang w:val="en-GB"/>
        </w:rPr>
        <w:t>.</w:t>
      </w:r>
    </w:p>
    <w:p w14:paraId="7BBCFD49" w14:textId="77777777" w:rsidR="00747CAC" w:rsidRPr="00747CAC" w:rsidRDefault="00747CAC" w:rsidP="00747CAC">
      <w:pPr>
        <w:rPr>
          <w:lang w:val="en-GB"/>
        </w:rPr>
      </w:pPr>
      <w:r w:rsidRPr="00747CAC">
        <w:rPr>
          <w:b/>
          <w:lang w:val="en-GB"/>
        </w:rPr>
        <w:t>Serious Adverse Reaction (SAR):</w:t>
      </w:r>
      <w:r w:rsidRPr="00747CAC">
        <w:rPr>
          <w:lang w:val="en-GB"/>
        </w:rPr>
        <w:t xml:space="preserve"> any adverse reaction that results in death, is life-threatening, requires hospitalisation or prolongs existing hospitalisation, results in persistent or significant disability or incapacity, or is a congenital anomaly or birth defect. This response is related to the intervention occurring to a participant during a clinical trial.</w:t>
      </w:r>
    </w:p>
    <w:p w14:paraId="1C4DC32C" w14:textId="77777777" w:rsidR="00747CAC" w:rsidRPr="00747CAC" w:rsidRDefault="00747CAC" w:rsidP="00747CAC">
      <w:pPr>
        <w:rPr>
          <w:lang w:val="en-GB"/>
        </w:rPr>
      </w:pPr>
      <w:r w:rsidRPr="00747CAC">
        <w:rPr>
          <w:b/>
          <w:lang w:val="en-GB"/>
        </w:rPr>
        <w:t xml:space="preserve">Suspected Unexpected Serious Adverse Reaction (SUSAR): </w:t>
      </w:r>
      <w:r w:rsidRPr="00747CAC">
        <w:rPr>
          <w:lang w:val="en-GB"/>
        </w:rPr>
        <w:t xml:space="preserve">any suspected adverse reaction which is both serious and unexpected (the nature or severity of which is not consistent with the information available to date). </w:t>
      </w:r>
    </w:p>
    <w:p w14:paraId="6E4526F4" w14:textId="77777777" w:rsidR="00747CAC" w:rsidRDefault="00747CAC" w:rsidP="00747CAC">
      <w:pPr>
        <w:rPr>
          <w:b/>
          <w:bCs/>
          <w:u w:val="single"/>
          <w:lang w:val="en-GB"/>
        </w:rPr>
      </w:pPr>
    </w:p>
    <w:p w14:paraId="6DF452C7" w14:textId="77777777" w:rsidR="00747CAC" w:rsidRPr="00747CAC" w:rsidRDefault="00747CAC" w:rsidP="00747CAC">
      <w:pPr>
        <w:rPr>
          <w:u w:val="single"/>
          <w:lang w:val="en-GB"/>
        </w:rPr>
      </w:pPr>
      <w:r w:rsidRPr="00747CAC">
        <w:rPr>
          <w:b/>
          <w:bCs/>
          <w:u w:val="single"/>
          <w:lang w:val="en-GB"/>
        </w:rPr>
        <w:t>Classification of an event</w:t>
      </w:r>
    </w:p>
    <w:p w14:paraId="51188B1C" w14:textId="0630849E" w:rsidR="00747CAC" w:rsidRPr="00747CAC" w:rsidRDefault="00747CAC" w:rsidP="00747CAC">
      <w:pPr>
        <w:rPr>
          <w:lang w:val="en-GB"/>
        </w:rPr>
      </w:pPr>
      <w:r w:rsidRPr="00747CAC">
        <w:rPr>
          <w:lang w:val="en-GB"/>
        </w:rPr>
        <w:t xml:space="preserve">We will use the classifications in </w:t>
      </w:r>
      <w:r w:rsidR="007C748D">
        <w:rPr>
          <w:lang w:val="en-GB"/>
        </w:rPr>
        <w:t>the t</w:t>
      </w:r>
      <w:r w:rsidRPr="00747CAC">
        <w:rPr>
          <w:lang w:val="en-GB"/>
        </w:rPr>
        <w:t>able below to classify if an event is an ‘adverse event’ or an ‘adverse reaction’ (i.e. whether there is a causal relationship between the intervention and the event). Only events classified as ‘certain’ or ‘probable/likely’ will be classified as ‘reactions’, all others will be classified as ‘events’.</w:t>
      </w:r>
    </w:p>
    <w:p w14:paraId="359DA3E3" w14:textId="77777777" w:rsidR="00747CAC" w:rsidRPr="00747CAC" w:rsidRDefault="00747CAC" w:rsidP="00747CAC">
      <w:pPr>
        <w:rPr>
          <w:lang w:val="en-GB"/>
        </w:rPr>
      </w:pPr>
    </w:p>
    <w:p w14:paraId="7BA518D2" w14:textId="77777777" w:rsidR="00747CAC" w:rsidRDefault="00747CAC" w:rsidP="00747CAC">
      <w:pPr>
        <w:rPr>
          <w:b/>
          <w:iCs/>
          <w:lang w:val="en-GB"/>
        </w:rPr>
      </w:pPr>
    </w:p>
    <w:p w14:paraId="07B63CEF" w14:textId="77777777" w:rsidR="00747CAC" w:rsidRDefault="00747CAC" w:rsidP="00747CAC">
      <w:pPr>
        <w:rPr>
          <w:b/>
          <w:iCs/>
          <w:lang w:val="en-GB"/>
        </w:rPr>
      </w:pPr>
    </w:p>
    <w:p w14:paraId="754C4E0D" w14:textId="77777777" w:rsidR="00747CAC" w:rsidRDefault="00747CAC" w:rsidP="00747CAC">
      <w:pPr>
        <w:rPr>
          <w:b/>
          <w:iCs/>
          <w:lang w:val="en-GB"/>
        </w:rPr>
      </w:pPr>
    </w:p>
    <w:p w14:paraId="0B5B2F87" w14:textId="77777777" w:rsidR="00747CAC" w:rsidRDefault="00747CAC" w:rsidP="00747CAC">
      <w:pPr>
        <w:rPr>
          <w:b/>
          <w:iCs/>
          <w:lang w:val="en-GB"/>
        </w:rPr>
      </w:pPr>
    </w:p>
    <w:p w14:paraId="443B099C" w14:textId="77777777" w:rsidR="00747CAC" w:rsidRDefault="00747CAC" w:rsidP="00747CAC">
      <w:pPr>
        <w:rPr>
          <w:b/>
          <w:iCs/>
          <w:lang w:val="en-GB"/>
        </w:rPr>
      </w:pPr>
    </w:p>
    <w:p w14:paraId="27EC8F06" w14:textId="77777777" w:rsidR="00747CAC" w:rsidRPr="00747CAC" w:rsidRDefault="00747CAC" w:rsidP="00747CAC">
      <w:pPr>
        <w:rPr>
          <w:b/>
          <w:iCs/>
          <w:lang w:val="en-GB"/>
        </w:rPr>
      </w:pPr>
      <w:r w:rsidRPr="00747CAC">
        <w:rPr>
          <w:b/>
          <w:iCs/>
          <w:lang w:val="en-GB"/>
        </w:rPr>
        <w:lastRenderedPageBreak/>
        <w:t>Table</w:t>
      </w:r>
      <w:r>
        <w:rPr>
          <w:b/>
          <w:iCs/>
          <w:lang w:val="en-GB"/>
        </w:rPr>
        <w:t>:</w:t>
      </w:r>
      <w:r w:rsidRPr="00747CAC">
        <w:rPr>
          <w:b/>
          <w:iCs/>
          <w:lang w:val="en-GB"/>
        </w:rPr>
        <w:t xml:space="preserve"> Classification of causality of adverse reactions.</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513"/>
      </w:tblGrid>
      <w:tr w:rsidR="00747CAC" w:rsidRPr="005C084D" w14:paraId="625C4C02" w14:textId="77777777" w:rsidTr="00772978">
        <w:trPr>
          <w:cantSplit/>
          <w:jc w:val="center"/>
        </w:trPr>
        <w:tc>
          <w:tcPr>
            <w:tcW w:w="1980" w:type="dxa"/>
            <w:vAlign w:val="center"/>
          </w:tcPr>
          <w:p w14:paraId="39379B7E" w14:textId="77777777" w:rsidR="00747CAC" w:rsidRPr="00747CAC" w:rsidRDefault="00747CAC" w:rsidP="00747CAC">
            <w:pPr>
              <w:rPr>
                <w:b/>
                <w:lang w:val="en-GB"/>
              </w:rPr>
            </w:pPr>
            <w:r w:rsidRPr="00747CAC">
              <w:rPr>
                <w:b/>
                <w:lang w:val="en-GB"/>
              </w:rPr>
              <w:t>Certain</w:t>
            </w:r>
          </w:p>
        </w:tc>
        <w:tc>
          <w:tcPr>
            <w:tcW w:w="7513" w:type="dxa"/>
          </w:tcPr>
          <w:p w14:paraId="25550119" w14:textId="77777777" w:rsidR="00747CAC" w:rsidRPr="00747CAC" w:rsidRDefault="00747CAC" w:rsidP="00747CAC">
            <w:pPr>
              <w:numPr>
                <w:ilvl w:val="0"/>
                <w:numId w:val="1"/>
              </w:numPr>
              <w:rPr>
                <w:lang w:val="en-GB"/>
              </w:rPr>
            </w:pPr>
            <w:r w:rsidRPr="00747CAC">
              <w:rPr>
                <w:lang w:val="en-GB"/>
              </w:rPr>
              <w:t>Event or laboratory test abnormality, with plausible time relationship to the trial intervention; cannot be explained by disease or other treatments.</w:t>
            </w:r>
          </w:p>
          <w:p w14:paraId="4917EB22" w14:textId="77777777" w:rsidR="00747CAC" w:rsidRPr="00747CAC" w:rsidRDefault="00747CAC" w:rsidP="00747CAC">
            <w:pPr>
              <w:numPr>
                <w:ilvl w:val="0"/>
                <w:numId w:val="1"/>
              </w:numPr>
              <w:rPr>
                <w:lang w:val="en-GB"/>
              </w:rPr>
            </w:pPr>
            <w:r w:rsidRPr="00747CAC">
              <w:rPr>
                <w:lang w:val="en-GB"/>
              </w:rPr>
              <w:t xml:space="preserve">Response to withdrawal plausible (pharmacologically, pathologically). </w:t>
            </w:r>
          </w:p>
          <w:p w14:paraId="35A44308" w14:textId="77777777" w:rsidR="00747CAC" w:rsidRPr="00747CAC" w:rsidRDefault="00747CAC" w:rsidP="00747CAC">
            <w:pPr>
              <w:numPr>
                <w:ilvl w:val="0"/>
                <w:numId w:val="1"/>
              </w:numPr>
              <w:rPr>
                <w:lang w:val="en-GB"/>
              </w:rPr>
            </w:pPr>
            <w:r w:rsidRPr="00747CAC">
              <w:rPr>
                <w:lang w:val="en-GB"/>
              </w:rPr>
              <w:t xml:space="preserve">Event definitive pharmacologically or phenomenologically (i.e. an objective and specific medical disorder or a recognised pharmacological phenomenon). </w:t>
            </w:r>
          </w:p>
          <w:p w14:paraId="79AC4EE9" w14:textId="77777777" w:rsidR="00747CAC" w:rsidRPr="00747CAC" w:rsidRDefault="00747CAC" w:rsidP="00747CAC">
            <w:pPr>
              <w:numPr>
                <w:ilvl w:val="0"/>
                <w:numId w:val="1"/>
              </w:numPr>
              <w:rPr>
                <w:lang w:val="en-GB"/>
              </w:rPr>
            </w:pPr>
            <w:r w:rsidRPr="00747CAC">
              <w:rPr>
                <w:lang w:val="en-GB"/>
              </w:rPr>
              <w:t>Re-challenge satisfactory, if necessary.</w:t>
            </w:r>
          </w:p>
        </w:tc>
      </w:tr>
      <w:tr w:rsidR="00747CAC" w:rsidRPr="00747CAC" w14:paraId="7C692AD3" w14:textId="77777777" w:rsidTr="00772978">
        <w:trPr>
          <w:cantSplit/>
          <w:jc w:val="center"/>
        </w:trPr>
        <w:tc>
          <w:tcPr>
            <w:tcW w:w="1980" w:type="dxa"/>
            <w:vAlign w:val="center"/>
          </w:tcPr>
          <w:p w14:paraId="09DCE33D" w14:textId="77777777" w:rsidR="00747CAC" w:rsidRPr="00747CAC" w:rsidRDefault="00747CAC" w:rsidP="00747CAC">
            <w:pPr>
              <w:rPr>
                <w:b/>
                <w:lang w:val="en-GB"/>
              </w:rPr>
            </w:pPr>
            <w:r w:rsidRPr="00747CAC">
              <w:rPr>
                <w:b/>
                <w:lang w:val="en-GB"/>
              </w:rPr>
              <w:t>Probable / likely</w:t>
            </w:r>
          </w:p>
        </w:tc>
        <w:tc>
          <w:tcPr>
            <w:tcW w:w="7513" w:type="dxa"/>
          </w:tcPr>
          <w:p w14:paraId="7A064DF5" w14:textId="77777777" w:rsidR="00747CAC" w:rsidRPr="00747CAC" w:rsidRDefault="00747CAC" w:rsidP="00747CAC">
            <w:pPr>
              <w:numPr>
                <w:ilvl w:val="0"/>
                <w:numId w:val="1"/>
              </w:numPr>
              <w:rPr>
                <w:lang w:val="en-GB"/>
              </w:rPr>
            </w:pPr>
            <w:r w:rsidRPr="00747CAC">
              <w:rPr>
                <w:lang w:val="en-GB"/>
              </w:rPr>
              <w:t>Event or laboratory test abnormality, with reasonable time relationship to the trial intervention.</w:t>
            </w:r>
          </w:p>
          <w:p w14:paraId="5EE9B60D" w14:textId="77777777" w:rsidR="00747CAC" w:rsidRPr="00747CAC" w:rsidRDefault="00747CAC" w:rsidP="00747CAC">
            <w:pPr>
              <w:numPr>
                <w:ilvl w:val="0"/>
                <w:numId w:val="1"/>
              </w:numPr>
              <w:rPr>
                <w:lang w:val="en-GB"/>
              </w:rPr>
            </w:pPr>
            <w:r w:rsidRPr="00747CAC">
              <w:rPr>
                <w:lang w:val="en-GB"/>
              </w:rPr>
              <w:t>Unlikely to be attributed to disease or other treatment; response to withdrawal clinically reasonable.</w:t>
            </w:r>
          </w:p>
          <w:p w14:paraId="46F9E8EA" w14:textId="77777777" w:rsidR="00747CAC" w:rsidRPr="00747CAC" w:rsidRDefault="00747CAC" w:rsidP="00747CAC">
            <w:pPr>
              <w:pStyle w:val="Listeafsnit"/>
              <w:numPr>
                <w:ilvl w:val="0"/>
                <w:numId w:val="1"/>
              </w:numPr>
              <w:rPr>
                <w:lang w:val="en-GB"/>
              </w:rPr>
            </w:pPr>
            <w:r w:rsidRPr="00747CAC">
              <w:rPr>
                <w:lang w:val="en-GB"/>
              </w:rPr>
              <w:t>Rechallenge not required.</w:t>
            </w:r>
          </w:p>
        </w:tc>
      </w:tr>
      <w:tr w:rsidR="00747CAC" w:rsidRPr="005C084D" w14:paraId="3523BD1D" w14:textId="77777777" w:rsidTr="00772978">
        <w:trPr>
          <w:cantSplit/>
          <w:jc w:val="center"/>
        </w:trPr>
        <w:tc>
          <w:tcPr>
            <w:tcW w:w="1980" w:type="dxa"/>
            <w:vAlign w:val="center"/>
          </w:tcPr>
          <w:p w14:paraId="699CEE57" w14:textId="77777777" w:rsidR="00747CAC" w:rsidRPr="00747CAC" w:rsidRDefault="00747CAC" w:rsidP="00747CAC">
            <w:pPr>
              <w:rPr>
                <w:b/>
                <w:lang w:val="en-GB"/>
              </w:rPr>
            </w:pPr>
            <w:r w:rsidRPr="00747CAC">
              <w:rPr>
                <w:b/>
                <w:lang w:val="en-GB"/>
              </w:rPr>
              <w:t>Possible</w:t>
            </w:r>
          </w:p>
        </w:tc>
        <w:tc>
          <w:tcPr>
            <w:tcW w:w="7513" w:type="dxa"/>
          </w:tcPr>
          <w:p w14:paraId="44706C07" w14:textId="77777777" w:rsidR="00747CAC" w:rsidRPr="00747CAC" w:rsidRDefault="00747CAC" w:rsidP="00747CAC">
            <w:pPr>
              <w:numPr>
                <w:ilvl w:val="0"/>
                <w:numId w:val="1"/>
              </w:numPr>
              <w:rPr>
                <w:lang w:val="en-GB"/>
              </w:rPr>
            </w:pPr>
            <w:r w:rsidRPr="00747CAC">
              <w:rPr>
                <w:lang w:val="en-GB"/>
              </w:rPr>
              <w:t xml:space="preserve">Event or laboratory test abnormality, with reasonable time relationship to the trial intervention. </w:t>
            </w:r>
          </w:p>
          <w:p w14:paraId="27ED1C04" w14:textId="77777777" w:rsidR="00747CAC" w:rsidRPr="00747CAC" w:rsidRDefault="00747CAC" w:rsidP="00747CAC">
            <w:pPr>
              <w:numPr>
                <w:ilvl w:val="0"/>
                <w:numId w:val="1"/>
              </w:numPr>
              <w:rPr>
                <w:lang w:val="en-GB"/>
              </w:rPr>
            </w:pPr>
            <w:r w:rsidRPr="00747CAC">
              <w:rPr>
                <w:lang w:val="en-GB"/>
              </w:rPr>
              <w:t>Could also be explained by disease or other treatments.</w:t>
            </w:r>
          </w:p>
          <w:p w14:paraId="4E588644" w14:textId="77777777" w:rsidR="00747CAC" w:rsidRPr="00747CAC" w:rsidRDefault="00747CAC" w:rsidP="00747CAC">
            <w:pPr>
              <w:numPr>
                <w:ilvl w:val="0"/>
                <w:numId w:val="1"/>
              </w:numPr>
              <w:rPr>
                <w:lang w:val="en-GB"/>
              </w:rPr>
            </w:pPr>
            <w:r w:rsidRPr="00747CAC">
              <w:rPr>
                <w:lang w:val="en-GB"/>
              </w:rPr>
              <w:t>Information on drug withdrawal may be lacking or unclear.</w:t>
            </w:r>
          </w:p>
        </w:tc>
      </w:tr>
      <w:tr w:rsidR="00747CAC" w:rsidRPr="005C084D" w14:paraId="54F136B0" w14:textId="77777777" w:rsidTr="00772978">
        <w:trPr>
          <w:cantSplit/>
          <w:jc w:val="center"/>
        </w:trPr>
        <w:tc>
          <w:tcPr>
            <w:tcW w:w="1980" w:type="dxa"/>
            <w:vAlign w:val="center"/>
          </w:tcPr>
          <w:p w14:paraId="371AD648" w14:textId="77777777" w:rsidR="00747CAC" w:rsidRPr="00747CAC" w:rsidRDefault="00747CAC" w:rsidP="00747CAC">
            <w:pPr>
              <w:rPr>
                <w:b/>
                <w:lang w:val="en-GB"/>
              </w:rPr>
            </w:pPr>
            <w:r w:rsidRPr="00747CAC">
              <w:rPr>
                <w:b/>
                <w:lang w:val="en-GB"/>
              </w:rPr>
              <w:t>Unlikely</w:t>
            </w:r>
          </w:p>
        </w:tc>
        <w:tc>
          <w:tcPr>
            <w:tcW w:w="7513" w:type="dxa"/>
          </w:tcPr>
          <w:p w14:paraId="1B9B4C58" w14:textId="77777777" w:rsidR="00747CAC" w:rsidRPr="00747CAC" w:rsidRDefault="00747CAC" w:rsidP="00747CAC">
            <w:pPr>
              <w:numPr>
                <w:ilvl w:val="0"/>
                <w:numId w:val="1"/>
              </w:numPr>
              <w:rPr>
                <w:lang w:val="en-GB"/>
              </w:rPr>
            </w:pPr>
            <w:r w:rsidRPr="00747CAC">
              <w:rPr>
                <w:lang w:val="en-GB"/>
              </w:rPr>
              <w:t>Event or laboratory test abnormality, with a time to the trial intervention that makes a relationship improbable (but not impossible).</w:t>
            </w:r>
          </w:p>
          <w:p w14:paraId="2FCC8AAF" w14:textId="77777777" w:rsidR="00747CAC" w:rsidRPr="00747CAC" w:rsidRDefault="00747CAC" w:rsidP="00747CAC">
            <w:pPr>
              <w:numPr>
                <w:ilvl w:val="0"/>
                <w:numId w:val="1"/>
              </w:numPr>
              <w:rPr>
                <w:lang w:val="en-GB"/>
              </w:rPr>
            </w:pPr>
            <w:r w:rsidRPr="00747CAC">
              <w:rPr>
                <w:lang w:val="en-GB"/>
              </w:rPr>
              <w:t>Disease or other drugs provide plausible explanations.</w:t>
            </w:r>
          </w:p>
        </w:tc>
      </w:tr>
      <w:tr w:rsidR="00747CAC" w:rsidRPr="00747CAC" w14:paraId="2ABAB18C" w14:textId="77777777" w:rsidTr="00772978">
        <w:trPr>
          <w:cantSplit/>
          <w:jc w:val="center"/>
        </w:trPr>
        <w:tc>
          <w:tcPr>
            <w:tcW w:w="1980" w:type="dxa"/>
            <w:vAlign w:val="center"/>
          </w:tcPr>
          <w:p w14:paraId="44CBD2FB" w14:textId="77777777" w:rsidR="00747CAC" w:rsidRPr="00747CAC" w:rsidRDefault="00747CAC" w:rsidP="00747CAC">
            <w:pPr>
              <w:rPr>
                <w:b/>
                <w:lang w:val="en-GB"/>
              </w:rPr>
            </w:pPr>
            <w:r w:rsidRPr="00747CAC">
              <w:rPr>
                <w:b/>
                <w:lang w:val="en-GB"/>
              </w:rPr>
              <w:t>Conditional/ unclassified</w:t>
            </w:r>
          </w:p>
        </w:tc>
        <w:tc>
          <w:tcPr>
            <w:tcW w:w="7513" w:type="dxa"/>
          </w:tcPr>
          <w:p w14:paraId="5A69C73E" w14:textId="77777777" w:rsidR="00747CAC" w:rsidRPr="00747CAC" w:rsidRDefault="00747CAC" w:rsidP="00747CAC">
            <w:pPr>
              <w:numPr>
                <w:ilvl w:val="0"/>
                <w:numId w:val="1"/>
              </w:numPr>
              <w:rPr>
                <w:lang w:val="en-GB"/>
              </w:rPr>
            </w:pPr>
            <w:r w:rsidRPr="00747CAC">
              <w:rPr>
                <w:lang w:val="en-GB"/>
              </w:rPr>
              <w:t>Event or laboratory test abnormality.</w:t>
            </w:r>
          </w:p>
          <w:p w14:paraId="270D6A1F" w14:textId="77777777" w:rsidR="00747CAC" w:rsidRPr="00747CAC" w:rsidRDefault="00747CAC" w:rsidP="00747CAC">
            <w:pPr>
              <w:numPr>
                <w:ilvl w:val="0"/>
                <w:numId w:val="1"/>
              </w:numPr>
              <w:rPr>
                <w:lang w:val="en-GB"/>
              </w:rPr>
            </w:pPr>
            <w:r w:rsidRPr="00747CAC">
              <w:rPr>
                <w:lang w:val="en-GB"/>
              </w:rPr>
              <w:t xml:space="preserve">More data for proper assessment needed, or </w:t>
            </w:r>
          </w:p>
          <w:p w14:paraId="48ACDD82" w14:textId="77777777" w:rsidR="00747CAC" w:rsidRPr="00747CAC" w:rsidRDefault="00747CAC" w:rsidP="00747CAC">
            <w:pPr>
              <w:numPr>
                <w:ilvl w:val="0"/>
                <w:numId w:val="1"/>
              </w:numPr>
              <w:rPr>
                <w:lang w:val="en-GB"/>
              </w:rPr>
            </w:pPr>
            <w:r w:rsidRPr="00747CAC">
              <w:rPr>
                <w:lang w:val="en-GB"/>
              </w:rPr>
              <w:t>Additional data under examination.</w:t>
            </w:r>
          </w:p>
        </w:tc>
      </w:tr>
      <w:tr w:rsidR="00747CAC" w:rsidRPr="005C084D" w14:paraId="409EBA6B" w14:textId="77777777" w:rsidTr="00772978">
        <w:trPr>
          <w:cantSplit/>
          <w:jc w:val="center"/>
        </w:trPr>
        <w:tc>
          <w:tcPr>
            <w:tcW w:w="1980" w:type="dxa"/>
            <w:vAlign w:val="center"/>
          </w:tcPr>
          <w:p w14:paraId="573A2239" w14:textId="77777777" w:rsidR="00747CAC" w:rsidRPr="00747CAC" w:rsidRDefault="00747CAC" w:rsidP="00747CAC">
            <w:pPr>
              <w:rPr>
                <w:b/>
                <w:lang w:val="en-GB"/>
              </w:rPr>
            </w:pPr>
            <w:r w:rsidRPr="00747CAC">
              <w:rPr>
                <w:b/>
                <w:lang w:val="en-GB"/>
              </w:rPr>
              <w:t>Un-assessable/ unclassifiable</w:t>
            </w:r>
          </w:p>
        </w:tc>
        <w:tc>
          <w:tcPr>
            <w:tcW w:w="7513" w:type="dxa"/>
          </w:tcPr>
          <w:p w14:paraId="6C3FC0CB" w14:textId="77777777" w:rsidR="00747CAC" w:rsidRPr="00747CAC" w:rsidRDefault="00747CAC" w:rsidP="00747CAC">
            <w:pPr>
              <w:numPr>
                <w:ilvl w:val="0"/>
                <w:numId w:val="1"/>
              </w:numPr>
              <w:rPr>
                <w:lang w:val="en-GB"/>
              </w:rPr>
            </w:pPr>
            <w:r w:rsidRPr="00747CAC">
              <w:rPr>
                <w:lang w:val="en-GB"/>
              </w:rPr>
              <w:t xml:space="preserve">Report suggesting an adverse reaction. </w:t>
            </w:r>
          </w:p>
          <w:p w14:paraId="64D40EA6" w14:textId="77777777" w:rsidR="00747CAC" w:rsidRPr="00747CAC" w:rsidRDefault="00747CAC" w:rsidP="00747CAC">
            <w:pPr>
              <w:numPr>
                <w:ilvl w:val="0"/>
                <w:numId w:val="1"/>
              </w:numPr>
              <w:rPr>
                <w:lang w:val="en-GB"/>
              </w:rPr>
            </w:pPr>
            <w:r w:rsidRPr="00747CAC">
              <w:rPr>
                <w:lang w:val="en-GB"/>
              </w:rPr>
              <w:t>Cannot be judged because information is insufficient or contradictory.</w:t>
            </w:r>
          </w:p>
          <w:p w14:paraId="3642ED84" w14:textId="77777777" w:rsidR="00747CAC" w:rsidRPr="00747CAC" w:rsidRDefault="00747CAC" w:rsidP="00747CAC">
            <w:pPr>
              <w:numPr>
                <w:ilvl w:val="0"/>
                <w:numId w:val="1"/>
              </w:numPr>
              <w:rPr>
                <w:lang w:val="en-GB"/>
              </w:rPr>
            </w:pPr>
            <w:r w:rsidRPr="00747CAC">
              <w:rPr>
                <w:lang w:val="en-GB"/>
              </w:rPr>
              <w:t>Data cannot be supplemented or verified.</w:t>
            </w:r>
          </w:p>
        </w:tc>
      </w:tr>
    </w:tbl>
    <w:p w14:paraId="24627011" w14:textId="77777777" w:rsidR="00747CAC" w:rsidRPr="00747CAC" w:rsidRDefault="00747CAC" w:rsidP="00747CAC">
      <w:pPr>
        <w:rPr>
          <w:lang w:val="en-GB"/>
        </w:rPr>
      </w:pPr>
    </w:p>
    <w:p w14:paraId="6F7203CE" w14:textId="77777777" w:rsidR="00747CAC" w:rsidRPr="00747CAC" w:rsidRDefault="00747CAC" w:rsidP="00747CAC">
      <w:pPr>
        <w:rPr>
          <w:b/>
          <w:bCs/>
          <w:lang w:val="en-GB"/>
        </w:rPr>
      </w:pPr>
    </w:p>
    <w:p w14:paraId="0408E88E" w14:textId="77777777" w:rsidR="00747CAC" w:rsidRPr="00747CAC" w:rsidRDefault="00747CAC" w:rsidP="00747CAC">
      <w:pPr>
        <w:rPr>
          <w:b/>
          <w:bCs/>
          <w:lang w:val="en-GB"/>
        </w:rPr>
      </w:pPr>
      <w:r w:rsidRPr="00747CAC">
        <w:rPr>
          <w:b/>
          <w:bCs/>
          <w:lang w:val="en-GB"/>
        </w:rPr>
        <w:t xml:space="preserve">Reporting </w:t>
      </w:r>
    </w:p>
    <w:p w14:paraId="64CE46A8" w14:textId="77777777" w:rsidR="00747CAC" w:rsidRPr="00747CAC" w:rsidRDefault="00747CAC" w:rsidP="00747CAC">
      <w:pPr>
        <w:rPr>
          <w:lang w:val="en-GB"/>
        </w:rPr>
      </w:pPr>
      <w:r w:rsidRPr="00747CAC">
        <w:rPr>
          <w:lang w:val="en-GB"/>
        </w:rPr>
        <w:t>SAEs, SARs, and SUSARs will be reported to the regional ethics committee in an expedited manner, and at the latest 7 days after the sponsor has received information about the event. SAEs, SARs, SUSARs will further be reported to the regional ethics committee in a yearly safety report.</w:t>
      </w:r>
    </w:p>
    <w:p w14:paraId="58798847" w14:textId="77777777" w:rsidR="00747CAC" w:rsidRPr="00747CAC" w:rsidRDefault="00747CAC" w:rsidP="00747CAC">
      <w:pPr>
        <w:rPr>
          <w:lang w:val="en-GB"/>
        </w:rPr>
      </w:pPr>
    </w:p>
    <w:p w14:paraId="496DDF30" w14:textId="77777777" w:rsidR="00747CAC" w:rsidRPr="00747CAC" w:rsidRDefault="00747CAC" w:rsidP="00747CAC">
      <w:pPr>
        <w:rPr>
          <w:lang w:val="en-GB"/>
        </w:rPr>
      </w:pPr>
      <w:r w:rsidRPr="00747CAC">
        <w:rPr>
          <w:lang w:val="en-GB"/>
        </w:rPr>
        <w:t>All SAEs (incl</w:t>
      </w:r>
      <w:r>
        <w:rPr>
          <w:lang w:val="en-GB"/>
        </w:rPr>
        <w:t>uding</w:t>
      </w:r>
      <w:r w:rsidRPr="00747CAC">
        <w:rPr>
          <w:lang w:val="en-GB"/>
        </w:rPr>
        <w:t xml:space="preserve"> SARs and SUSARs) will also be reported in the trial as an outcome. The NEQ that assesses negative effects related to the intervention will also be reported as an outcome in the trial. </w:t>
      </w:r>
    </w:p>
    <w:p w14:paraId="171814A6" w14:textId="77777777" w:rsidR="00747CAC" w:rsidRDefault="00747CAC" w:rsidP="00747CAC">
      <w:pPr>
        <w:rPr>
          <w:u w:val="single"/>
          <w:lang w:val="en-GB"/>
        </w:rPr>
      </w:pPr>
    </w:p>
    <w:p w14:paraId="11DCE07A" w14:textId="77777777" w:rsidR="00747CAC" w:rsidRPr="00747CAC" w:rsidRDefault="00747CAC" w:rsidP="00747CAC">
      <w:pPr>
        <w:rPr>
          <w:u w:val="single"/>
          <w:lang w:val="en-GB"/>
        </w:rPr>
      </w:pPr>
      <w:r w:rsidRPr="00747CAC">
        <w:rPr>
          <w:u w:val="single"/>
          <w:lang w:val="en-GB"/>
        </w:rPr>
        <w:t xml:space="preserve">Furthermore, the following definitions will be used: </w:t>
      </w:r>
    </w:p>
    <w:p w14:paraId="619C5653" w14:textId="77777777" w:rsidR="00747CAC" w:rsidRPr="00747CAC" w:rsidRDefault="00747CAC" w:rsidP="00747CAC">
      <w:pPr>
        <w:rPr>
          <w:lang w:val="en-GB"/>
        </w:rPr>
      </w:pPr>
      <w:r w:rsidRPr="00747CAC">
        <w:rPr>
          <w:lang w:val="en-GB"/>
        </w:rPr>
        <w:t xml:space="preserve">[Linden, M., </w:t>
      </w:r>
      <w:r w:rsidRPr="00747CAC">
        <w:rPr>
          <w:i/>
          <w:lang w:val="en-GB"/>
        </w:rPr>
        <w:t>How to define, find and classify side effects in psychotherapy: from unwanted events to adverse treatment reactions.</w:t>
      </w:r>
      <w:r w:rsidRPr="00747CAC">
        <w:rPr>
          <w:lang w:val="en-GB"/>
        </w:rPr>
        <w:t xml:space="preserve"> Clinical psychology &amp; psychotherapy, 2013. </w:t>
      </w:r>
      <w:r w:rsidRPr="00747CAC">
        <w:rPr>
          <w:b/>
          <w:lang w:val="en-GB"/>
        </w:rPr>
        <w:t>20</w:t>
      </w:r>
      <w:r w:rsidRPr="00747CAC">
        <w:rPr>
          <w:lang w:val="en-GB"/>
        </w:rPr>
        <w:t>(4): p. 286-296].</w:t>
      </w:r>
    </w:p>
    <w:p w14:paraId="45A89C39" w14:textId="77777777" w:rsidR="00747CAC" w:rsidRPr="00747CAC" w:rsidRDefault="00747CAC" w:rsidP="00747CAC">
      <w:pPr>
        <w:rPr>
          <w:lang w:val="en-GB"/>
        </w:rPr>
      </w:pPr>
      <w:r w:rsidRPr="00747CAC">
        <w:rPr>
          <w:b/>
          <w:lang w:val="en-GB"/>
        </w:rPr>
        <w:t>Unwanted/adverse events (UE)</w:t>
      </w:r>
      <w:r w:rsidRPr="00747CAC">
        <w:rPr>
          <w:lang w:val="en-GB"/>
        </w:rPr>
        <w:t>: all negative events that occur in parallel or in wake of treatment.</w:t>
      </w:r>
    </w:p>
    <w:p w14:paraId="707E0A06" w14:textId="77777777" w:rsidR="00747CAC" w:rsidRPr="00747CAC" w:rsidRDefault="00747CAC" w:rsidP="00747CAC">
      <w:pPr>
        <w:rPr>
          <w:lang w:val="en-GB"/>
        </w:rPr>
      </w:pPr>
      <w:r w:rsidRPr="00747CAC">
        <w:rPr>
          <w:b/>
          <w:lang w:val="en-GB"/>
        </w:rPr>
        <w:t xml:space="preserve">Treatment-emergent reactions: </w:t>
      </w:r>
      <w:r w:rsidRPr="00747CAC">
        <w:rPr>
          <w:lang w:val="en-GB"/>
        </w:rPr>
        <w:t>Any UE that is evaluated to be caused by treatment.</w:t>
      </w:r>
    </w:p>
    <w:p w14:paraId="2E5387C9" w14:textId="77777777" w:rsidR="00747CAC" w:rsidRPr="00747CAC" w:rsidRDefault="00747CAC" w:rsidP="00747CAC">
      <w:pPr>
        <w:rPr>
          <w:lang w:val="en-GB"/>
        </w:rPr>
      </w:pPr>
      <w:r w:rsidRPr="00747CAC">
        <w:rPr>
          <w:b/>
          <w:lang w:val="en-GB"/>
        </w:rPr>
        <w:t>Adverse treatment reactions:</w:t>
      </w:r>
      <w:r w:rsidRPr="00747CAC">
        <w:rPr>
          <w:lang w:val="en-GB"/>
        </w:rPr>
        <w:t xml:space="preserve"> Any UE that is probably caused by correct treatment. </w:t>
      </w:r>
    </w:p>
    <w:p w14:paraId="1A088C91" w14:textId="5D814534" w:rsidR="00747CAC" w:rsidRPr="00747CAC" w:rsidRDefault="00747CAC" w:rsidP="00747CAC">
      <w:pPr>
        <w:rPr>
          <w:lang w:val="en-GB"/>
        </w:rPr>
      </w:pPr>
      <w:r w:rsidRPr="00747CAC">
        <w:rPr>
          <w:b/>
          <w:lang w:val="en-GB"/>
        </w:rPr>
        <w:t>Malpractice reaction:</w:t>
      </w:r>
      <w:r w:rsidRPr="00747CAC">
        <w:rPr>
          <w:lang w:val="en-GB"/>
        </w:rPr>
        <w:t xml:space="preserve"> Any UE that is probably caused by incorrect or improperly applied treatment.</w:t>
      </w:r>
    </w:p>
    <w:p w14:paraId="55055DC8" w14:textId="77777777" w:rsidR="00747CAC" w:rsidRPr="00747CAC" w:rsidRDefault="00747CAC" w:rsidP="00747CAC">
      <w:pPr>
        <w:rPr>
          <w:b/>
          <w:lang w:val="en-GB"/>
        </w:rPr>
      </w:pPr>
    </w:p>
    <w:p w14:paraId="49EBA9F5" w14:textId="77777777" w:rsidR="00747CAC" w:rsidRDefault="00747CAC" w:rsidP="00747CAC">
      <w:pPr>
        <w:rPr>
          <w:b/>
          <w:lang w:val="en-GB"/>
        </w:rPr>
      </w:pPr>
    </w:p>
    <w:p w14:paraId="70E3EFD9" w14:textId="77777777" w:rsidR="00747CAC" w:rsidRDefault="00747CAC" w:rsidP="00747CAC">
      <w:pPr>
        <w:rPr>
          <w:b/>
          <w:lang w:val="en-GB"/>
        </w:rPr>
      </w:pPr>
    </w:p>
    <w:p w14:paraId="73753B7C" w14:textId="77777777" w:rsidR="00747CAC" w:rsidRDefault="00747CAC" w:rsidP="00747CAC">
      <w:pPr>
        <w:rPr>
          <w:b/>
          <w:lang w:val="en-GB"/>
        </w:rPr>
      </w:pPr>
    </w:p>
    <w:p w14:paraId="7377F45D" w14:textId="77777777" w:rsidR="00747CAC" w:rsidRDefault="00747CAC" w:rsidP="00747CAC">
      <w:pPr>
        <w:rPr>
          <w:b/>
          <w:lang w:val="en-GB"/>
        </w:rPr>
      </w:pPr>
    </w:p>
    <w:p w14:paraId="5BE6786A" w14:textId="77777777" w:rsidR="00747CAC" w:rsidRDefault="00747CAC" w:rsidP="00747CAC">
      <w:pPr>
        <w:rPr>
          <w:b/>
          <w:lang w:val="en-GB"/>
        </w:rPr>
      </w:pPr>
    </w:p>
    <w:p w14:paraId="33A65240" w14:textId="77777777" w:rsidR="00747CAC" w:rsidRDefault="00747CAC" w:rsidP="00747CAC">
      <w:pPr>
        <w:rPr>
          <w:b/>
          <w:lang w:val="en-GB"/>
        </w:rPr>
      </w:pPr>
    </w:p>
    <w:p w14:paraId="0EAE2FA1" w14:textId="77777777" w:rsidR="00747CAC" w:rsidRDefault="00747CAC" w:rsidP="00747CAC">
      <w:pPr>
        <w:rPr>
          <w:b/>
          <w:lang w:val="en-GB"/>
        </w:rPr>
      </w:pPr>
    </w:p>
    <w:p w14:paraId="4B65E6D0" w14:textId="77777777" w:rsidR="00747CAC" w:rsidRDefault="00747CAC" w:rsidP="00747CAC">
      <w:pPr>
        <w:rPr>
          <w:b/>
          <w:lang w:val="en-GB"/>
        </w:rPr>
      </w:pPr>
    </w:p>
    <w:p w14:paraId="1F54A3AA" w14:textId="77777777" w:rsidR="00747CAC" w:rsidRDefault="00747CAC" w:rsidP="00747CAC">
      <w:pPr>
        <w:rPr>
          <w:b/>
          <w:lang w:val="en-GB"/>
        </w:rPr>
      </w:pPr>
    </w:p>
    <w:p w14:paraId="0D176C08" w14:textId="77777777" w:rsidR="00747CAC" w:rsidRDefault="00747CAC" w:rsidP="00747CAC">
      <w:pPr>
        <w:rPr>
          <w:b/>
          <w:lang w:val="en-GB"/>
        </w:rPr>
      </w:pPr>
    </w:p>
    <w:p w14:paraId="56981605" w14:textId="77777777" w:rsidR="00747CAC" w:rsidRDefault="00747CAC" w:rsidP="00747CAC">
      <w:pPr>
        <w:rPr>
          <w:b/>
          <w:lang w:val="en-GB"/>
        </w:rPr>
      </w:pPr>
    </w:p>
    <w:p w14:paraId="2391909D" w14:textId="77777777" w:rsidR="00747CAC" w:rsidRDefault="00747CAC" w:rsidP="00747CAC">
      <w:pPr>
        <w:rPr>
          <w:b/>
          <w:lang w:val="en-GB"/>
        </w:rPr>
      </w:pPr>
    </w:p>
    <w:p w14:paraId="2265A5DD" w14:textId="77777777" w:rsidR="00747CAC" w:rsidRDefault="00747CAC" w:rsidP="00747CAC">
      <w:pPr>
        <w:rPr>
          <w:b/>
          <w:lang w:val="en-GB"/>
        </w:rPr>
      </w:pPr>
    </w:p>
    <w:p w14:paraId="3098C60F" w14:textId="77777777" w:rsidR="00747CAC" w:rsidRDefault="00747CAC" w:rsidP="00747CAC">
      <w:pPr>
        <w:rPr>
          <w:b/>
          <w:lang w:val="en-GB"/>
        </w:rPr>
      </w:pPr>
    </w:p>
    <w:p w14:paraId="6FF2FED2" w14:textId="77777777" w:rsidR="00747CAC" w:rsidRDefault="00747CAC" w:rsidP="00747CAC">
      <w:pPr>
        <w:rPr>
          <w:b/>
          <w:lang w:val="en-GB"/>
        </w:rPr>
      </w:pPr>
    </w:p>
    <w:p w14:paraId="5826A22B" w14:textId="77777777" w:rsidR="00747CAC" w:rsidRDefault="00747CAC" w:rsidP="00747CAC">
      <w:pPr>
        <w:rPr>
          <w:b/>
          <w:lang w:val="en-GB"/>
        </w:rPr>
      </w:pPr>
    </w:p>
    <w:p w14:paraId="5D282A67" w14:textId="77777777" w:rsidR="00747CAC" w:rsidRDefault="00747CAC" w:rsidP="00747CAC">
      <w:pPr>
        <w:rPr>
          <w:b/>
          <w:lang w:val="en-GB"/>
        </w:rPr>
      </w:pPr>
    </w:p>
    <w:p w14:paraId="3F88FEB0" w14:textId="77777777" w:rsidR="00A52659" w:rsidRPr="00747CAC" w:rsidRDefault="00A52659">
      <w:pPr>
        <w:rPr>
          <w:lang w:val="en-GB"/>
        </w:rPr>
      </w:pPr>
    </w:p>
    <w:sectPr w:rsidR="00A52659" w:rsidRPr="00747CAC">
      <w:headerReference w:type="default" r:id="rId7"/>
      <w:foot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A9DFE7" w14:textId="77777777" w:rsidR="007C748D" w:rsidRDefault="007C748D" w:rsidP="007C748D">
      <w:pPr>
        <w:spacing w:after="0" w:line="240" w:lineRule="auto"/>
      </w:pPr>
      <w:r>
        <w:separator/>
      </w:r>
    </w:p>
  </w:endnote>
  <w:endnote w:type="continuationSeparator" w:id="0">
    <w:p w14:paraId="4CD7D0C6" w14:textId="77777777" w:rsidR="007C748D" w:rsidRDefault="007C748D" w:rsidP="007C7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5068375"/>
      <w:docPartObj>
        <w:docPartGallery w:val="Page Numbers (Bottom of Page)"/>
        <w:docPartUnique/>
      </w:docPartObj>
    </w:sdtPr>
    <w:sdtContent>
      <w:p w14:paraId="2340845E" w14:textId="3D8E7E39" w:rsidR="007C748D" w:rsidRDefault="007C748D">
        <w:pPr>
          <w:pStyle w:val="Sidefod"/>
          <w:jc w:val="right"/>
        </w:pPr>
        <w:r>
          <w:fldChar w:fldCharType="begin"/>
        </w:r>
        <w:r>
          <w:instrText>PAGE   \* MERGEFORMAT</w:instrText>
        </w:r>
        <w:r>
          <w:fldChar w:fldCharType="separate"/>
        </w:r>
        <w:r>
          <w:t>2</w:t>
        </w:r>
        <w:r>
          <w:fldChar w:fldCharType="end"/>
        </w:r>
      </w:p>
    </w:sdtContent>
  </w:sdt>
  <w:p w14:paraId="02B5EC33" w14:textId="77777777" w:rsidR="007C748D" w:rsidRDefault="007C748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B73D80" w14:textId="77777777" w:rsidR="007C748D" w:rsidRDefault="007C748D" w:rsidP="007C748D">
      <w:pPr>
        <w:spacing w:after="0" w:line="240" w:lineRule="auto"/>
      </w:pPr>
      <w:r>
        <w:separator/>
      </w:r>
    </w:p>
  </w:footnote>
  <w:footnote w:type="continuationSeparator" w:id="0">
    <w:p w14:paraId="1E01A19A" w14:textId="77777777" w:rsidR="007C748D" w:rsidRDefault="007C748D" w:rsidP="007C74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3492B" w14:textId="3C614BEF" w:rsidR="007C748D" w:rsidRDefault="007C748D">
    <w:pPr>
      <w:pStyle w:val="Sidehoved"/>
    </w:pPr>
    <w:r w:rsidRPr="007C748D">
      <w:rPr>
        <w:lang w:val="en-US"/>
      </w:rPr>
      <w:t xml:space="preserve">Family-based cognitive behavioural </w:t>
    </w:r>
    <w:r w:rsidRPr="00027A29">
      <w:rPr>
        <w:lang w:val="en-US"/>
      </w:rPr>
      <w:t>therapy versus family-based relaxation therapy</w:t>
    </w:r>
    <w:r w:rsidRPr="007C748D">
      <w:rPr>
        <w:lang w:val="en-US"/>
      </w:rPr>
      <w:t xml:space="preserve"> </w:t>
    </w:r>
    <w:r w:rsidRPr="00027A29">
      <w:rPr>
        <w:lang w:val="en-US"/>
      </w:rPr>
      <w:t>for obsessive-compulsive disorder in children</w:t>
    </w:r>
    <w:r w:rsidRPr="007C748D">
      <w:rPr>
        <w:lang w:val="en-US"/>
      </w:rPr>
      <w:t xml:space="preserve"> </w:t>
    </w:r>
    <w:r w:rsidRPr="00027A29">
      <w:rPr>
        <w:lang w:val="en-US"/>
      </w:rPr>
      <w:t>and adolescents: protocol for a randomised</w:t>
    </w:r>
    <w:r w:rsidRPr="007C748D">
      <w:rPr>
        <w:lang w:val="en-US"/>
      </w:rPr>
      <w:t xml:space="preserve"> clinical trial (the TECTO trial) (Pagsberg et al). Supplementary file 5</w:t>
    </w:r>
  </w:p>
  <w:p w14:paraId="10597754" w14:textId="77777777" w:rsidR="007C748D" w:rsidRDefault="007C748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46"/>
      </v:shape>
    </w:pict>
  </w:numPicBullet>
  <w:abstractNum w:abstractNumId="0" w15:restartNumberingAfterBreak="0">
    <w:nsid w:val="034F2FE7"/>
    <w:multiLevelType w:val="hybridMultilevel"/>
    <w:tmpl w:val="1DA6D24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54B32FF"/>
    <w:multiLevelType w:val="hybridMultilevel"/>
    <w:tmpl w:val="3D4E499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54B3DB3"/>
    <w:multiLevelType w:val="hybridMultilevel"/>
    <w:tmpl w:val="A4C0E4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385744"/>
    <w:multiLevelType w:val="hybridMultilevel"/>
    <w:tmpl w:val="6126753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DD0C6D"/>
    <w:multiLevelType w:val="hybridMultilevel"/>
    <w:tmpl w:val="B6649C4E"/>
    <w:lvl w:ilvl="0" w:tplc="152EF76E">
      <w:start w:val="5"/>
      <w:numFmt w:val="decimal"/>
      <w:lvlText w:val="%1."/>
      <w:lvlJc w:val="left"/>
      <w:pPr>
        <w:tabs>
          <w:tab w:val="num" w:pos="360"/>
        </w:tabs>
        <w:ind w:left="360" w:hanging="360"/>
      </w:pPr>
      <w:rPr>
        <w:rFonts w:hint="default"/>
        <w:b/>
      </w:r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5" w15:restartNumberingAfterBreak="0">
    <w:nsid w:val="13637D0D"/>
    <w:multiLevelType w:val="hybridMultilevel"/>
    <w:tmpl w:val="BF8845E0"/>
    <w:lvl w:ilvl="0" w:tplc="0406000F">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7E55C7A"/>
    <w:multiLevelType w:val="hybridMultilevel"/>
    <w:tmpl w:val="A2BC83B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D4B7A6F"/>
    <w:multiLevelType w:val="hybridMultilevel"/>
    <w:tmpl w:val="EDD6D51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E136349"/>
    <w:multiLevelType w:val="hybridMultilevel"/>
    <w:tmpl w:val="853CE702"/>
    <w:lvl w:ilvl="0" w:tplc="3AB2379A">
      <w:numFmt w:val="bullet"/>
      <w:lvlText w:val="-"/>
      <w:lvlJc w:val="left"/>
      <w:pPr>
        <w:ind w:left="1080" w:hanging="360"/>
      </w:pPr>
      <w:rPr>
        <w:rFonts w:ascii="Calibri" w:eastAsiaTheme="minorEastAsia" w:hAnsi="Calibri" w:cstheme="minorBid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9" w15:restartNumberingAfterBreak="0">
    <w:nsid w:val="20163234"/>
    <w:multiLevelType w:val="hybridMultilevel"/>
    <w:tmpl w:val="522E0A7A"/>
    <w:lvl w:ilvl="0" w:tplc="0406000F">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5D51FFE"/>
    <w:multiLevelType w:val="hybridMultilevel"/>
    <w:tmpl w:val="9A007158"/>
    <w:lvl w:ilvl="0" w:tplc="9A80BD30">
      <w:start w:val="1"/>
      <w:numFmt w:val="decimal"/>
      <w:lvlText w:val="%1."/>
      <w:lvlJc w:val="left"/>
      <w:pPr>
        <w:tabs>
          <w:tab w:val="num" w:pos="720"/>
        </w:tabs>
        <w:ind w:left="720" w:hanging="360"/>
      </w:pPr>
      <w:rPr>
        <w:b/>
      </w:rPr>
    </w:lvl>
    <w:lvl w:ilvl="1" w:tplc="0414000F">
      <w:start w:val="1"/>
      <w:numFmt w:val="decimal"/>
      <w:lvlText w:val="%2."/>
      <w:lvlJc w:val="left"/>
      <w:pPr>
        <w:tabs>
          <w:tab w:val="num" w:pos="1440"/>
        </w:tabs>
        <w:ind w:left="1440" w:hanging="360"/>
      </w:pPr>
      <w:rPr>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7F2136"/>
    <w:multiLevelType w:val="hybridMultilevel"/>
    <w:tmpl w:val="5EC2B4A4"/>
    <w:lvl w:ilvl="0" w:tplc="E3DAE59E">
      <w:numFmt w:val="bullet"/>
      <w:lvlText w:val="-"/>
      <w:lvlJc w:val="left"/>
      <w:pPr>
        <w:ind w:left="1080" w:hanging="360"/>
      </w:pPr>
      <w:rPr>
        <w:rFonts w:ascii="Calibri" w:eastAsiaTheme="minorEastAsia" w:hAnsi="Calibri" w:cstheme="minorBid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26D43CE4"/>
    <w:multiLevelType w:val="hybridMultilevel"/>
    <w:tmpl w:val="9DCC1E96"/>
    <w:lvl w:ilvl="0" w:tplc="0406000F">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7483519"/>
    <w:multiLevelType w:val="hybridMultilevel"/>
    <w:tmpl w:val="A4C0E4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E04402"/>
    <w:multiLevelType w:val="hybridMultilevel"/>
    <w:tmpl w:val="A4C0E4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3209C8"/>
    <w:multiLevelType w:val="hybridMultilevel"/>
    <w:tmpl w:val="A46A1448"/>
    <w:lvl w:ilvl="0" w:tplc="D494F2A0">
      <w:start w:val="1"/>
      <w:numFmt w:val="bullet"/>
      <w:lvlText w:val="-"/>
      <w:lvlJc w:val="left"/>
      <w:pPr>
        <w:ind w:left="1080" w:hanging="360"/>
      </w:pPr>
      <w:rPr>
        <w:rFonts w:ascii="Calibri" w:eastAsiaTheme="minorEastAsia" w:hAnsi="Calibri" w:cstheme="minorBid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6" w15:restartNumberingAfterBreak="0">
    <w:nsid w:val="2C7C4AAD"/>
    <w:multiLevelType w:val="hybridMultilevel"/>
    <w:tmpl w:val="6E7C0C10"/>
    <w:lvl w:ilvl="0" w:tplc="0406000F">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2D153EA6"/>
    <w:multiLevelType w:val="hybridMultilevel"/>
    <w:tmpl w:val="A4C0E4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1F15BD"/>
    <w:multiLevelType w:val="hybridMultilevel"/>
    <w:tmpl w:val="F984CFDE"/>
    <w:lvl w:ilvl="0" w:tplc="0406000F">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2E4D707E"/>
    <w:multiLevelType w:val="hybridMultilevel"/>
    <w:tmpl w:val="A4C0E4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B27CCF"/>
    <w:multiLevelType w:val="hybridMultilevel"/>
    <w:tmpl w:val="A4C0E4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0F5728"/>
    <w:multiLevelType w:val="hybridMultilevel"/>
    <w:tmpl w:val="40821C58"/>
    <w:lvl w:ilvl="0" w:tplc="4FE6A4EA">
      <w:start w:val="4"/>
      <w:numFmt w:val="bullet"/>
      <w:lvlText w:val="-"/>
      <w:lvlJc w:val="left"/>
      <w:pPr>
        <w:ind w:left="1080" w:hanging="360"/>
      </w:pPr>
      <w:rPr>
        <w:rFonts w:ascii="Calibri" w:eastAsiaTheme="minorEastAsia" w:hAnsi="Calibri" w:cstheme="minorBid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2" w15:restartNumberingAfterBreak="0">
    <w:nsid w:val="34AE3BF4"/>
    <w:multiLevelType w:val="hybridMultilevel"/>
    <w:tmpl w:val="BCE8A17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389039CD"/>
    <w:multiLevelType w:val="hybridMultilevel"/>
    <w:tmpl w:val="41D8879C"/>
    <w:lvl w:ilvl="0" w:tplc="0406000F">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39872061"/>
    <w:multiLevelType w:val="hybridMultilevel"/>
    <w:tmpl w:val="2636302E"/>
    <w:lvl w:ilvl="0" w:tplc="0406000F">
      <w:start w:val="6"/>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3E23015F"/>
    <w:multiLevelType w:val="hybridMultilevel"/>
    <w:tmpl w:val="6E24B78E"/>
    <w:lvl w:ilvl="0" w:tplc="36F24E76">
      <w:start w:val="1"/>
      <w:numFmt w:val="bullet"/>
      <w:lvlText w:val="-"/>
      <w:lvlJc w:val="left"/>
      <w:pPr>
        <w:ind w:left="1080" w:hanging="360"/>
      </w:pPr>
      <w:rPr>
        <w:rFonts w:ascii="Calibri" w:eastAsiaTheme="minorEastAsia" w:hAnsi="Calibri" w:cstheme="minorBid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6" w15:restartNumberingAfterBreak="0">
    <w:nsid w:val="42806054"/>
    <w:multiLevelType w:val="hybridMultilevel"/>
    <w:tmpl w:val="A4C0E4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0D1177"/>
    <w:multiLevelType w:val="hybridMultilevel"/>
    <w:tmpl w:val="BB369552"/>
    <w:lvl w:ilvl="0" w:tplc="615463D0">
      <w:start w:val="1"/>
      <w:numFmt w:val="bullet"/>
      <w:lvlText w:val="-"/>
      <w:lvlJc w:val="left"/>
      <w:pPr>
        <w:ind w:left="1080" w:hanging="360"/>
      </w:pPr>
      <w:rPr>
        <w:rFonts w:ascii="Calibri" w:eastAsiaTheme="minorEastAsia" w:hAnsi="Calibri" w:cstheme="minorBid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8" w15:restartNumberingAfterBreak="0">
    <w:nsid w:val="4A9A3EF8"/>
    <w:multiLevelType w:val="hybridMultilevel"/>
    <w:tmpl w:val="4B5A433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BA36441"/>
    <w:multiLevelType w:val="hybridMultilevel"/>
    <w:tmpl w:val="A4C0E4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881D3F"/>
    <w:multiLevelType w:val="hybridMultilevel"/>
    <w:tmpl w:val="2CF2877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54940A89"/>
    <w:multiLevelType w:val="hybridMultilevel"/>
    <w:tmpl w:val="72D022F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56AB24E5"/>
    <w:multiLevelType w:val="hybridMultilevel"/>
    <w:tmpl w:val="20B40E96"/>
    <w:lvl w:ilvl="0" w:tplc="04140007">
      <w:start w:val="1"/>
      <w:numFmt w:val="bullet"/>
      <w:lvlText w:val=""/>
      <w:lvlPicBulletId w:val="0"/>
      <w:lvlJc w:val="left"/>
      <w:pPr>
        <w:tabs>
          <w:tab w:val="num" w:pos="360"/>
        </w:tabs>
        <w:ind w:left="360" w:hanging="360"/>
      </w:pPr>
      <w:rPr>
        <w:rFonts w:ascii="Symbol" w:hAnsi="Symbol" w:hint="default"/>
        <w:b/>
      </w:r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33" w15:restartNumberingAfterBreak="0">
    <w:nsid w:val="59537EC3"/>
    <w:multiLevelType w:val="hybridMultilevel"/>
    <w:tmpl w:val="7BE8D3C6"/>
    <w:lvl w:ilvl="0" w:tplc="0406000F">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59DC0B1C"/>
    <w:multiLevelType w:val="hybridMultilevel"/>
    <w:tmpl w:val="84402E9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5D0D03BF"/>
    <w:multiLevelType w:val="hybridMultilevel"/>
    <w:tmpl w:val="A4C0E4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2F0D04"/>
    <w:multiLevelType w:val="hybridMultilevel"/>
    <w:tmpl w:val="68FE2EDE"/>
    <w:lvl w:ilvl="0" w:tplc="0768864A">
      <w:start w:val="2"/>
      <w:numFmt w:val="bullet"/>
      <w:lvlText w:val="-"/>
      <w:lvlJc w:val="left"/>
      <w:pPr>
        <w:ind w:left="1080" w:hanging="360"/>
      </w:pPr>
      <w:rPr>
        <w:rFonts w:ascii="Calibri" w:eastAsiaTheme="minorEastAsia" w:hAnsi="Calibri" w:cstheme="minorBid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7" w15:restartNumberingAfterBreak="0">
    <w:nsid w:val="5F080258"/>
    <w:multiLevelType w:val="hybridMultilevel"/>
    <w:tmpl w:val="6D5863E0"/>
    <w:lvl w:ilvl="0" w:tplc="30080522">
      <w:start w:val="1"/>
      <w:numFmt w:val="bullet"/>
      <w:lvlText w:val="-"/>
      <w:lvlJc w:val="left"/>
      <w:pPr>
        <w:ind w:left="1080" w:hanging="360"/>
      </w:pPr>
      <w:rPr>
        <w:rFonts w:ascii="Calibri" w:eastAsiaTheme="minorEastAsia" w:hAnsi="Calibri" w:cstheme="minorBid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8" w15:restartNumberingAfterBreak="0">
    <w:nsid w:val="61652142"/>
    <w:multiLevelType w:val="hybridMultilevel"/>
    <w:tmpl w:val="A4C0E4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AC5E65"/>
    <w:multiLevelType w:val="hybridMultilevel"/>
    <w:tmpl w:val="A4C0E4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B708A4"/>
    <w:multiLevelType w:val="hybridMultilevel"/>
    <w:tmpl w:val="87089D2C"/>
    <w:lvl w:ilvl="0" w:tplc="0406000F">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64DD4E91"/>
    <w:multiLevelType w:val="hybridMultilevel"/>
    <w:tmpl w:val="A4C0E4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547A61"/>
    <w:multiLevelType w:val="hybridMultilevel"/>
    <w:tmpl w:val="5694D69C"/>
    <w:lvl w:ilvl="0" w:tplc="0406000F">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15:restartNumberingAfterBreak="0">
    <w:nsid w:val="6C0B405F"/>
    <w:multiLevelType w:val="hybridMultilevel"/>
    <w:tmpl w:val="DBB439C2"/>
    <w:lvl w:ilvl="0" w:tplc="22BABA34">
      <w:start w:val="2"/>
      <w:numFmt w:val="bullet"/>
      <w:lvlText w:val="-"/>
      <w:lvlJc w:val="left"/>
      <w:pPr>
        <w:ind w:left="1080" w:hanging="360"/>
      </w:pPr>
      <w:rPr>
        <w:rFonts w:ascii="Calibri" w:eastAsiaTheme="minorEastAsia" w:hAnsi="Calibri" w:cstheme="minorBid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4" w15:restartNumberingAfterBreak="0">
    <w:nsid w:val="6FF72F9D"/>
    <w:multiLevelType w:val="hybridMultilevel"/>
    <w:tmpl w:val="F326C1B8"/>
    <w:lvl w:ilvl="0" w:tplc="0406000F">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5" w15:restartNumberingAfterBreak="0">
    <w:nsid w:val="72405F85"/>
    <w:multiLevelType w:val="hybridMultilevel"/>
    <w:tmpl w:val="A4C0E4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A30DE5"/>
    <w:multiLevelType w:val="hybridMultilevel"/>
    <w:tmpl w:val="A4C0E4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5A1EA0"/>
    <w:multiLevelType w:val="hybridMultilevel"/>
    <w:tmpl w:val="B450074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8" w15:restartNumberingAfterBreak="0">
    <w:nsid w:val="77AB3C4E"/>
    <w:multiLevelType w:val="hybridMultilevel"/>
    <w:tmpl w:val="1E36600E"/>
    <w:lvl w:ilvl="0" w:tplc="4028BDA6">
      <w:start w:val="1"/>
      <w:numFmt w:val="bullet"/>
      <w:lvlText w:val="-"/>
      <w:lvlJc w:val="left"/>
      <w:pPr>
        <w:ind w:left="1080" w:hanging="360"/>
      </w:pPr>
      <w:rPr>
        <w:rFonts w:ascii="Calibri" w:eastAsiaTheme="minorEastAsia" w:hAnsi="Calibri" w:cstheme="minorBid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9" w15:restartNumberingAfterBreak="0">
    <w:nsid w:val="77DA3126"/>
    <w:multiLevelType w:val="hybridMultilevel"/>
    <w:tmpl w:val="69F8D07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0" w15:restartNumberingAfterBreak="0">
    <w:nsid w:val="780241B4"/>
    <w:multiLevelType w:val="hybridMultilevel"/>
    <w:tmpl w:val="2E3E784A"/>
    <w:lvl w:ilvl="0" w:tplc="0406000F">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1" w15:restartNumberingAfterBreak="0">
    <w:nsid w:val="79C96439"/>
    <w:multiLevelType w:val="hybridMultilevel"/>
    <w:tmpl w:val="94BC87BA"/>
    <w:lvl w:ilvl="0" w:tplc="0406000F">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2" w15:restartNumberingAfterBreak="0">
    <w:nsid w:val="79CB23C8"/>
    <w:multiLevelType w:val="hybridMultilevel"/>
    <w:tmpl w:val="6B18E10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3" w15:restartNumberingAfterBreak="0">
    <w:nsid w:val="7E9D2C1D"/>
    <w:multiLevelType w:val="hybridMultilevel"/>
    <w:tmpl w:val="9036D2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53"/>
  </w:num>
  <w:num w:numId="2">
    <w:abstractNumId w:val="32"/>
  </w:num>
  <w:num w:numId="3">
    <w:abstractNumId w:val="41"/>
  </w:num>
  <w:num w:numId="4">
    <w:abstractNumId w:val="10"/>
  </w:num>
  <w:num w:numId="5">
    <w:abstractNumId w:val="4"/>
  </w:num>
  <w:num w:numId="6">
    <w:abstractNumId w:val="19"/>
  </w:num>
  <w:num w:numId="7">
    <w:abstractNumId w:val="39"/>
  </w:num>
  <w:num w:numId="8">
    <w:abstractNumId w:val="2"/>
  </w:num>
  <w:num w:numId="9">
    <w:abstractNumId w:val="20"/>
  </w:num>
  <w:num w:numId="10">
    <w:abstractNumId w:val="35"/>
  </w:num>
  <w:num w:numId="11">
    <w:abstractNumId w:val="45"/>
  </w:num>
  <w:num w:numId="12">
    <w:abstractNumId w:val="17"/>
  </w:num>
  <w:num w:numId="13">
    <w:abstractNumId w:val="13"/>
  </w:num>
  <w:num w:numId="14">
    <w:abstractNumId w:val="29"/>
  </w:num>
  <w:num w:numId="15">
    <w:abstractNumId w:val="38"/>
  </w:num>
  <w:num w:numId="16">
    <w:abstractNumId w:val="14"/>
  </w:num>
  <w:num w:numId="17">
    <w:abstractNumId w:val="26"/>
  </w:num>
  <w:num w:numId="18">
    <w:abstractNumId w:val="8"/>
  </w:num>
  <w:num w:numId="19">
    <w:abstractNumId w:val="11"/>
  </w:num>
  <w:num w:numId="20">
    <w:abstractNumId w:val="3"/>
  </w:num>
  <w:num w:numId="21">
    <w:abstractNumId w:val="1"/>
  </w:num>
  <w:num w:numId="22">
    <w:abstractNumId w:val="25"/>
  </w:num>
  <w:num w:numId="23">
    <w:abstractNumId w:val="48"/>
  </w:num>
  <w:num w:numId="24">
    <w:abstractNumId w:val="37"/>
  </w:num>
  <w:num w:numId="25">
    <w:abstractNumId w:val="15"/>
  </w:num>
  <w:num w:numId="26">
    <w:abstractNumId w:val="27"/>
  </w:num>
  <w:num w:numId="27">
    <w:abstractNumId w:val="43"/>
  </w:num>
  <w:num w:numId="28">
    <w:abstractNumId w:val="9"/>
  </w:num>
  <w:num w:numId="29">
    <w:abstractNumId w:val="36"/>
  </w:num>
  <w:num w:numId="30">
    <w:abstractNumId w:val="46"/>
  </w:num>
  <w:num w:numId="31">
    <w:abstractNumId w:val="44"/>
  </w:num>
  <w:num w:numId="32">
    <w:abstractNumId w:val="16"/>
  </w:num>
  <w:num w:numId="33">
    <w:abstractNumId w:val="30"/>
  </w:num>
  <w:num w:numId="34">
    <w:abstractNumId w:val="34"/>
  </w:num>
  <w:num w:numId="35">
    <w:abstractNumId w:val="0"/>
  </w:num>
  <w:num w:numId="36">
    <w:abstractNumId w:val="23"/>
  </w:num>
  <w:num w:numId="37">
    <w:abstractNumId w:val="47"/>
  </w:num>
  <w:num w:numId="38">
    <w:abstractNumId w:val="6"/>
  </w:num>
  <w:num w:numId="39">
    <w:abstractNumId w:val="22"/>
  </w:num>
  <w:num w:numId="40">
    <w:abstractNumId w:val="49"/>
  </w:num>
  <w:num w:numId="41">
    <w:abstractNumId w:val="5"/>
  </w:num>
  <w:num w:numId="42">
    <w:abstractNumId w:val="7"/>
  </w:num>
  <w:num w:numId="43">
    <w:abstractNumId w:val="21"/>
  </w:num>
  <w:num w:numId="44">
    <w:abstractNumId w:val="28"/>
  </w:num>
  <w:num w:numId="45">
    <w:abstractNumId w:val="12"/>
  </w:num>
  <w:num w:numId="46">
    <w:abstractNumId w:val="31"/>
  </w:num>
  <w:num w:numId="47">
    <w:abstractNumId w:val="52"/>
  </w:num>
  <w:num w:numId="48">
    <w:abstractNumId w:val="51"/>
  </w:num>
  <w:num w:numId="49">
    <w:abstractNumId w:val="24"/>
  </w:num>
  <w:num w:numId="50">
    <w:abstractNumId w:val="42"/>
  </w:num>
  <w:num w:numId="51">
    <w:abstractNumId w:val="40"/>
  </w:num>
  <w:num w:numId="52">
    <w:abstractNumId w:val="50"/>
  </w:num>
  <w:num w:numId="53">
    <w:abstractNumId w:val="33"/>
  </w:num>
  <w:num w:numId="54">
    <w:abstractNumId w:val="1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CAC"/>
    <w:rsid w:val="000E0D46"/>
    <w:rsid w:val="00371372"/>
    <w:rsid w:val="003F4AB3"/>
    <w:rsid w:val="00431DBF"/>
    <w:rsid w:val="004F1B42"/>
    <w:rsid w:val="005C084D"/>
    <w:rsid w:val="00747CAC"/>
    <w:rsid w:val="007C748D"/>
    <w:rsid w:val="00A5265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04C76D6"/>
  <w15:chartTrackingRefBased/>
  <w15:docId w15:val="{281C4A1C-15DA-43FB-A2F5-65A04A02D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CAC"/>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uiPriority w:val="99"/>
    <w:unhideWhenUsed/>
    <w:rsid w:val="00747CAC"/>
    <w:pPr>
      <w:spacing w:line="240" w:lineRule="auto"/>
    </w:pPr>
    <w:rPr>
      <w:sz w:val="20"/>
      <w:szCs w:val="20"/>
    </w:rPr>
  </w:style>
  <w:style w:type="character" w:customStyle="1" w:styleId="KommentartekstTegn">
    <w:name w:val="Kommentartekst Tegn"/>
    <w:basedOn w:val="Standardskrifttypeiafsnit"/>
    <w:link w:val="Kommentartekst"/>
    <w:uiPriority w:val="99"/>
    <w:rsid w:val="00747CAC"/>
    <w:rPr>
      <w:sz w:val="20"/>
      <w:szCs w:val="20"/>
    </w:rPr>
  </w:style>
  <w:style w:type="character" w:styleId="Kommentarhenvisning">
    <w:name w:val="annotation reference"/>
    <w:uiPriority w:val="99"/>
    <w:semiHidden/>
    <w:unhideWhenUsed/>
    <w:rsid w:val="00747CAC"/>
    <w:rPr>
      <w:rFonts w:cs="Times New Roman"/>
      <w:sz w:val="18"/>
    </w:rPr>
  </w:style>
  <w:style w:type="paragraph" w:styleId="Markeringsbobletekst">
    <w:name w:val="Balloon Text"/>
    <w:basedOn w:val="Normal"/>
    <w:link w:val="MarkeringsbobletekstTegn"/>
    <w:uiPriority w:val="99"/>
    <w:semiHidden/>
    <w:unhideWhenUsed/>
    <w:rsid w:val="00747CAC"/>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7CAC"/>
    <w:rPr>
      <w:rFonts w:ascii="Segoe UI" w:hAnsi="Segoe UI" w:cs="Segoe UI"/>
      <w:sz w:val="18"/>
      <w:szCs w:val="18"/>
    </w:rPr>
  </w:style>
  <w:style w:type="paragraph" w:styleId="Listeafsnit">
    <w:name w:val="List Paragraph"/>
    <w:basedOn w:val="Normal"/>
    <w:uiPriority w:val="34"/>
    <w:qFormat/>
    <w:rsid w:val="00747CAC"/>
    <w:pPr>
      <w:ind w:left="720"/>
      <w:contextualSpacing/>
    </w:pPr>
  </w:style>
  <w:style w:type="numbering" w:customStyle="1" w:styleId="Ingenoversigt1">
    <w:name w:val="Ingen oversigt1"/>
    <w:next w:val="Ingenoversigt"/>
    <w:uiPriority w:val="99"/>
    <w:semiHidden/>
    <w:unhideWhenUsed/>
    <w:rsid w:val="00747CAC"/>
  </w:style>
  <w:style w:type="table" w:customStyle="1" w:styleId="Tabel-Gitter1">
    <w:name w:val="Tabel - Gitter1"/>
    <w:basedOn w:val="Tabel-Normal"/>
    <w:next w:val="Tabel-Gitter"/>
    <w:uiPriority w:val="59"/>
    <w:rsid w:val="00747CAC"/>
    <w:pPr>
      <w:spacing w:after="0" w:line="240" w:lineRule="auto"/>
    </w:pPr>
    <w:rPr>
      <w:rFonts w:eastAsia="Times New Roman"/>
      <w:sz w:val="24"/>
      <w:szCs w:val="24"/>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dehoved1">
    <w:name w:val="Sidehoved1"/>
    <w:basedOn w:val="Normal"/>
    <w:next w:val="Sidehoved"/>
    <w:link w:val="SidehovedTegn"/>
    <w:uiPriority w:val="99"/>
    <w:unhideWhenUsed/>
    <w:rsid w:val="00747CAC"/>
    <w:pPr>
      <w:tabs>
        <w:tab w:val="center" w:pos="4819"/>
        <w:tab w:val="right" w:pos="9638"/>
      </w:tabs>
      <w:spacing w:after="0" w:line="240" w:lineRule="auto"/>
    </w:pPr>
    <w:rPr>
      <w:rFonts w:eastAsia="Times New Roman"/>
      <w:sz w:val="24"/>
      <w:szCs w:val="24"/>
      <w:lang w:eastAsia="da-DK"/>
    </w:rPr>
  </w:style>
  <w:style w:type="character" w:customStyle="1" w:styleId="SidehovedTegn">
    <w:name w:val="Sidehoved Tegn"/>
    <w:basedOn w:val="Standardskrifttypeiafsnit"/>
    <w:link w:val="Sidehoved1"/>
    <w:uiPriority w:val="99"/>
    <w:rsid w:val="00747CAC"/>
    <w:rPr>
      <w:rFonts w:eastAsia="Times New Roman"/>
      <w:sz w:val="24"/>
      <w:szCs w:val="24"/>
      <w:lang w:eastAsia="da-DK"/>
    </w:rPr>
  </w:style>
  <w:style w:type="paragraph" w:customStyle="1" w:styleId="Sidefod1">
    <w:name w:val="Sidefod1"/>
    <w:basedOn w:val="Normal"/>
    <w:next w:val="Sidefod"/>
    <w:link w:val="SidefodTegn"/>
    <w:uiPriority w:val="99"/>
    <w:unhideWhenUsed/>
    <w:rsid w:val="00747CAC"/>
    <w:pPr>
      <w:tabs>
        <w:tab w:val="center" w:pos="4819"/>
        <w:tab w:val="right" w:pos="9638"/>
      </w:tabs>
      <w:spacing w:after="0" w:line="240" w:lineRule="auto"/>
    </w:pPr>
    <w:rPr>
      <w:rFonts w:eastAsia="Times New Roman"/>
      <w:sz w:val="24"/>
      <w:szCs w:val="24"/>
      <w:lang w:eastAsia="da-DK"/>
    </w:rPr>
  </w:style>
  <w:style w:type="character" w:customStyle="1" w:styleId="SidefodTegn">
    <w:name w:val="Sidefod Tegn"/>
    <w:basedOn w:val="Standardskrifttypeiafsnit"/>
    <w:link w:val="Sidefod1"/>
    <w:uiPriority w:val="99"/>
    <w:rsid w:val="00747CAC"/>
    <w:rPr>
      <w:rFonts w:eastAsia="Times New Roman"/>
      <w:sz w:val="24"/>
      <w:szCs w:val="24"/>
      <w:lang w:eastAsia="da-DK"/>
    </w:rPr>
  </w:style>
  <w:style w:type="character" w:styleId="Sidetal">
    <w:name w:val="page number"/>
    <w:basedOn w:val="Standardskrifttypeiafsnit"/>
    <w:uiPriority w:val="99"/>
    <w:semiHidden/>
    <w:unhideWhenUsed/>
    <w:rsid w:val="00747CAC"/>
  </w:style>
  <w:style w:type="paragraph" w:customStyle="1" w:styleId="Kommentaremne1">
    <w:name w:val="Kommentaremne1"/>
    <w:basedOn w:val="Kommentartekst"/>
    <w:next w:val="Kommentartekst"/>
    <w:uiPriority w:val="99"/>
    <w:semiHidden/>
    <w:unhideWhenUsed/>
    <w:rsid w:val="00747CAC"/>
    <w:pPr>
      <w:spacing w:after="0"/>
    </w:pPr>
    <w:rPr>
      <w:rFonts w:eastAsia="Times New Roman"/>
      <w:b/>
      <w:bCs/>
      <w:lang w:eastAsia="da-DK"/>
    </w:rPr>
  </w:style>
  <w:style w:type="character" w:customStyle="1" w:styleId="KommentaremneTegn">
    <w:name w:val="Kommentaremne Tegn"/>
    <w:basedOn w:val="KommentartekstTegn"/>
    <w:link w:val="Kommentaremne"/>
    <w:uiPriority w:val="99"/>
    <w:semiHidden/>
    <w:rsid w:val="00747CAC"/>
    <w:rPr>
      <w:rFonts w:eastAsia="Times New Roman"/>
      <w:b/>
      <w:bCs/>
      <w:sz w:val="20"/>
      <w:szCs w:val="20"/>
      <w:lang w:eastAsia="da-DK"/>
    </w:rPr>
  </w:style>
  <w:style w:type="table" w:styleId="Tabel-Gitter">
    <w:name w:val="Table Grid"/>
    <w:basedOn w:val="Tabel-Normal"/>
    <w:uiPriority w:val="39"/>
    <w:rsid w:val="00747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1"/>
    <w:uiPriority w:val="99"/>
    <w:unhideWhenUsed/>
    <w:rsid w:val="00747CAC"/>
    <w:pPr>
      <w:tabs>
        <w:tab w:val="center" w:pos="4819"/>
        <w:tab w:val="right" w:pos="9638"/>
      </w:tabs>
      <w:spacing w:after="0" w:line="240" w:lineRule="auto"/>
    </w:pPr>
  </w:style>
  <w:style w:type="character" w:customStyle="1" w:styleId="SidehovedTegn1">
    <w:name w:val="Sidehoved Tegn1"/>
    <w:basedOn w:val="Standardskrifttypeiafsnit"/>
    <w:link w:val="Sidehoved"/>
    <w:uiPriority w:val="99"/>
    <w:rsid w:val="00747CAC"/>
  </w:style>
  <w:style w:type="paragraph" w:styleId="Sidefod">
    <w:name w:val="footer"/>
    <w:basedOn w:val="Normal"/>
    <w:link w:val="SidefodTegn1"/>
    <w:uiPriority w:val="99"/>
    <w:unhideWhenUsed/>
    <w:rsid w:val="00747CAC"/>
    <w:pPr>
      <w:tabs>
        <w:tab w:val="center" w:pos="4819"/>
        <w:tab w:val="right" w:pos="9638"/>
      </w:tabs>
      <w:spacing w:after="0" w:line="240" w:lineRule="auto"/>
    </w:pPr>
  </w:style>
  <w:style w:type="character" w:customStyle="1" w:styleId="SidefodTegn1">
    <w:name w:val="Sidefod Tegn1"/>
    <w:basedOn w:val="Standardskrifttypeiafsnit"/>
    <w:link w:val="Sidefod"/>
    <w:uiPriority w:val="99"/>
    <w:rsid w:val="00747CAC"/>
  </w:style>
  <w:style w:type="paragraph" w:styleId="Kommentaremne">
    <w:name w:val="annotation subject"/>
    <w:basedOn w:val="Kommentartekst"/>
    <w:next w:val="Kommentartekst"/>
    <w:link w:val="KommentaremneTegn"/>
    <w:uiPriority w:val="99"/>
    <w:semiHidden/>
    <w:unhideWhenUsed/>
    <w:rsid w:val="00747CAC"/>
    <w:rPr>
      <w:rFonts w:eastAsia="Times New Roman"/>
      <w:b/>
      <w:bCs/>
      <w:lang w:eastAsia="da-DK"/>
    </w:rPr>
  </w:style>
  <w:style w:type="character" w:customStyle="1" w:styleId="KommentaremneTegn1">
    <w:name w:val="Kommentaremne Tegn1"/>
    <w:basedOn w:val="KommentartekstTegn"/>
    <w:uiPriority w:val="99"/>
    <w:semiHidden/>
    <w:rsid w:val="00747C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651</Words>
  <Characters>3973</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Katrine Pagsberg</dc:creator>
  <cp:keywords/>
  <dc:description/>
  <cp:lastModifiedBy>Anne Katrine Pagsberg</cp:lastModifiedBy>
  <cp:revision>2</cp:revision>
  <dcterms:created xsi:type="dcterms:W3CDTF">2022-01-30T10:47:00Z</dcterms:created>
  <dcterms:modified xsi:type="dcterms:W3CDTF">2022-01-30T10:47:00Z</dcterms:modified>
</cp:coreProperties>
</file>