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3AFAA" w14:textId="77777777" w:rsidR="00535483" w:rsidRPr="00C94ECA" w:rsidRDefault="00535483" w:rsidP="00535483">
      <w:pPr>
        <w:jc w:val="center"/>
        <w:rPr>
          <w:rFonts w:cs="Times New Roman"/>
          <w:b/>
          <w:sz w:val="24"/>
          <w:szCs w:val="24"/>
        </w:rPr>
      </w:pPr>
      <w:r w:rsidRPr="00C94ECA">
        <w:rPr>
          <w:rFonts w:cs="Times New Roman"/>
          <w:b/>
          <w:sz w:val="24"/>
          <w:szCs w:val="24"/>
        </w:rPr>
        <w:t>Supplementary Materials for</w:t>
      </w:r>
    </w:p>
    <w:p w14:paraId="692703BE" w14:textId="77777777" w:rsidR="00535483" w:rsidRPr="00C94ECA" w:rsidRDefault="00535483" w:rsidP="00535483">
      <w:pPr>
        <w:rPr>
          <w:rFonts w:cs="Times New Roman"/>
          <w:b/>
          <w:sz w:val="24"/>
          <w:szCs w:val="24"/>
        </w:rPr>
      </w:pPr>
    </w:p>
    <w:p w14:paraId="69F291A7" w14:textId="77777777" w:rsidR="007B4C9E" w:rsidRPr="00C94ECA" w:rsidRDefault="007B4C9E" w:rsidP="007B4C9E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C94ECA">
        <w:rPr>
          <w:rFonts w:ascii="Times New Roman" w:hAnsi="Times New Roman" w:cs="Times New Roman" w:hint="eastAsia"/>
          <w:b/>
          <w:kern w:val="0"/>
          <w:sz w:val="24"/>
          <w:szCs w:val="24"/>
        </w:rPr>
        <w:t>N</w:t>
      </w:r>
      <w:r w:rsidRPr="00C94ECA">
        <w:rPr>
          <w:rFonts w:ascii="Times New Roman" w:hAnsi="Times New Roman" w:cs="Times New Roman"/>
          <w:b/>
          <w:kern w:val="0"/>
          <w:sz w:val="24"/>
          <w:szCs w:val="24"/>
        </w:rPr>
        <w:t>eurological soft signs and structural network changes: A longitudinal analysis in first-episode schizophrenia</w:t>
      </w:r>
    </w:p>
    <w:p w14:paraId="490B7AD2" w14:textId="77777777" w:rsidR="00535483" w:rsidRPr="00C94ECA" w:rsidRDefault="00535483" w:rsidP="007B4C9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A997369" w14:textId="370D29DF" w:rsidR="00D41174" w:rsidRPr="00C94ECA" w:rsidRDefault="00D41174" w:rsidP="00D41174">
      <w:pPr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94ECA">
        <w:rPr>
          <w:rFonts w:ascii="Times New Roman" w:hAnsi="Times New Roman" w:cs="Times New Roman" w:hint="eastAsia"/>
          <w:sz w:val="24"/>
          <w:szCs w:val="24"/>
        </w:rPr>
        <w:t>There</w:t>
      </w:r>
      <w:r w:rsidRPr="00C94ECA">
        <w:rPr>
          <w:rFonts w:ascii="Times New Roman" w:hAnsi="Times New Roman" w:cs="Times New Roman"/>
          <w:sz w:val="24"/>
          <w:szCs w:val="24"/>
        </w:rPr>
        <w:t xml:space="preserve"> </w:t>
      </w:r>
      <w:r w:rsidR="0074667F">
        <w:rPr>
          <w:rFonts w:ascii="Times New Roman" w:hAnsi="Times New Roman" w:cs="Times New Roman" w:hint="eastAsia"/>
          <w:sz w:val="24"/>
          <w:szCs w:val="24"/>
        </w:rPr>
        <w:t>were</w:t>
      </w:r>
      <w:r w:rsidRPr="00C94ECA">
        <w:rPr>
          <w:rFonts w:ascii="Times New Roman" w:hAnsi="Times New Roman" w:cs="Times New Roman"/>
          <w:sz w:val="24"/>
          <w:szCs w:val="24"/>
        </w:rPr>
        <w:t xml:space="preserve"> no significant differences in globa</w:t>
      </w:r>
      <w:r w:rsidRPr="00C94ECA">
        <w:rPr>
          <w:rFonts w:ascii="Times New Roman" w:hAnsi="Times New Roman" w:cs="Times New Roman" w:hint="eastAsia"/>
          <w:sz w:val="24"/>
          <w:szCs w:val="24"/>
        </w:rPr>
        <w:t>l</w:t>
      </w:r>
      <w:r w:rsidRPr="00C94ECA">
        <w:rPr>
          <w:rFonts w:ascii="Times New Roman" w:hAnsi="Times New Roman" w:cs="Times New Roman"/>
          <w:sz w:val="24"/>
          <w:szCs w:val="24"/>
        </w:rPr>
        <w:t xml:space="preserve"> network measures including clustering coefficient (p=0.84), characteristic path length (p=0.27) and small-world index (p=0.73) between </w:t>
      </w:r>
      <w:r w:rsidR="0074667F">
        <w:rPr>
          <w:rFonts w:ascii="Times New Roman" w:hAnsi="Times New Roman" w:cs="Times New Roman"/>
          <w:sz w:val="24"/>
          <w:szCs w:val="24"/>
        </w:rPr>
        <w:t xml:space="preserve">patients with </w:t>
      </w:r>
      <w:r w:rsidRPr="00C94ECA">
        <w:rPr>
          <w:rFonts w:ascii="Times New Roman" w:hAnsi="Times New Roman" w:cs="Times New Roman"/>
          <w:sz w:val="24"/>
          <w:szCs w:val="24"/>
        </w:rPr>
        <w:t xml:space="preserve">schizophrenia and healthy controls at baseline. </w:t>
      </w:r>
    </w:p>
    <w:p w14:paraId="0BED533F" w14:textId="190C463A" w:rsidR="00D41174" w:rsidRPr="00C94ECA" w:rsidRDefault="00D41174" w:rsidP="00D41174">
      <w:pPr>
        <w:spacing w:line="360" w:lineRule="auto"/>
        <w:ind w:firstLineChars="15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94ECA">
        <w:rPr>
          <w:rFonts w:ascii="Times New Roman" w:hAnsi="Times New Roman" w:cs="Times New Roman"/>
          <w:sz w:val="24"/>
          <w:szCs w:val="24"/>
        </w:rPr>
        <w:t>AUC analysis showed that compared with</w:t>
      </w:r>
      <w:r w:rsidR="0020463C">
        <w:rPr>
          <w:rFonts w:ascii="Times New Roman" w:hAnsi="Times New Roman" w:cs="Times New Roman"/>
          <w:sz w:val="24"/>
          <w:szCs w:val="24"/>
        </w:rPr>
        <w:t xml:space="preserve"> healthy</w:t>
      </w:r>
      <w:r w:rsidRPr="00C94ECA">
        <w:rPr>
          <w:rFonts w:ascii="Times New Roman" w:hAnsi="Times New Roman" w:cs="Times New Roman"/>
          <w:sz w:val="24"/>
          <w:szCs w:val="24"/>
        </w:rPr>
        <w:t xml:space="preserve"> controls at baseline, patients demonstrated smaller betweenness mainly involving right orbital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superior frontal cortex, right inferior temporal cortex,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 xml:space="preserve">right </w:t>
      </w:r>
      <w:proofErr w:type="spellStart"/>
      <w:r w:rsidRPr="00C94ECA">
        <w:rPr>
          <w:rFonts w:ascii="Times New Roman" w:hAnsi="Times New Roman" w:cs="Times New Roman"/>
          <w:sz w:val="24"/>
          <w:szCs w:val="24"/>
        </w:rPr>
        <w:t>parahippocampal</w:t>
      </w:r>
      <w:proofErr w:type="spellEnd"/>
      <w:r w:rsidRPr="00C94ECA">
        <w:rPr>
          <w:rFonts w:ascii="Times New Roman" w:hAnsi="Times New Roman" w:cs="Times New Roman"/>
          <w:sz w:val="24"/>
          <w:szCs w:val="24"/>
        </w:rPr>
        <w:t xml:space="preserve"> cortex,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right inferior occipital cortex, left superior parietal cortex and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 xml:space="preserve">right cerebellum, while betweenness was larger </w:t>
      </w:r>
      <w:r w:rsidR="0074667F">
        <w:rPr>
          <w:rFonts w:ascii="Times New Roman" w:hAnsi="Times New Roman" w:cs="Times New Roman"/>
          <w:sz w:val="24"/>
          <w:szCs w:val="24"/>
        </w:rPr>
        <w:t>in</w:t>
      </w:r>
      <w:r w:rsidRPr="00C94ECA">
        <w:rPr>
          <w:rFonts w:ascii="Times New Roman" w:hAnsi="Times New Roman" w:cs="Times New Roman"/>
          <w:sz w:val="24"/>
          <w:szCs w:val="24"/>
        </w:rPr>
        <w:t xml:space="preserve"> left medial superior frontal cortex, right superior frontal cortex,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left fusiform, left middle occipital cortex,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bilateral caudate,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 xml:space="preserve">right putamen and cerebellum (Figure </w:t>
      </w:r>
      <w:r w:rsidR="00E84FDA" w:rsidRPr="00C94ECA">
        <w:rPr>
          <w:rFonts w:ascii="Times New Roman" w:hAnsi="Times New Roman" w:cs="Times New Roman"/>
          <w:sz w:val="24"/>
          <w:szCs w:val="24"/>
        </w:rPr>
        <w:t>S</w:t>
      </w:r>
      <w:r w:rsidRPr="00C94ECA">
        <w:rPr>
          <w:rFonts w:ascii="Times New Roman" w:hAnsi="Times New Roman" w:cs="Times New Roman"/>
          <w:sz w:val="24"/>
          <w:szCs w:val="24"/>
        </w:rPr>
        <w:t>1). However, only differences in right orbital superior frontal cortex and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right inferior occipital cortex remained significant after correction for multiple comparisons (p&lt;0.05, FDR corrected).</w:t>
      </w:r>
    </w:p>
    <w:p w14:paraId="2A9F5208" w14:textId="06168E6E" w:rsidR="00D41174" w:rsidRPr="00C94ECA" w:rsidRDefault="00D41174" w:rsidP="00D41174">
      <w:pPr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94ECA">
        <w:rPr>
          <w:rFonts w:ascii="Times New Roman" w:hAnsi="Times New Roman" w:cs="Times New Roman" w:hint="eastAsia"/>
          <w:sz w:val="24"/>
          <w:szCs w:val="24"/>
        </w:rPr>
        <w:t>N</w:t>
      </w:r>
      <w:r w:rsidRPr="00C94ECA">
        <w:rPr>
          <w:rFonts w:ascii="Times New Roman" w:hAnsi="Times New Roman" w:cs="Times New Roman"/>
          <w:sz w:val="24"/>
          <w:szCs w:val="24"/>
        </w:rPr>
        <w:t xml:space="preserve">etwork hubs of the </w:t>
      </w:r>
      <w:r w:rsidRPr="00C94ECA">
        <w:rPr>
          <w:rFonts w:ascii="Times New Roman" w:hAnsi="Times New Roman" w:cs="Times New Roman" w:hint="eastAsia"/>
          <w:sz w:val="24"/>
          <w:szCs w:val="24"/>
        </w:rPr>
        <w:t>h</w:t>
      </w:r>
      <w:r w:rsidRPr="00C94ECA">
        <w:rPr>
          <w:rFonts w:ascii="Times New Roman" w:hAnsi="Times New Roman" w:cs="Times New Roman"/>
          <w:sz w:val="24"/>
          <w:szCs w:val="24"/>
        </w:rPr>
        <w:t>ealthy controls based on nodal betweenness w</w:t>
      </w:r>
      <w:r w:rsidR="00CD019C">
        <w:rPr>
          <w:rFonts w:ascii="Times New Roman" w:hAnsi="Times New Roman" w:cs="Times New Roman"/>
          <w:sz w:val="24"/>
          <w:szCs w:val="24"/>
        </w:rPr>
        <w:t>ere</w:t>
      </w:r>
      <w:r w:rsidRPr="00C94ECA">
        <w:rPr>
          <w:rFonts w:ascii="Times New Roman" w:hAnsi="Times New Roman" w:cs="Times New Roman"/>
          <w:sz w:val="24"/>
          <w:szCs w:val="24"/>
        </w:rPr>
        <w:t xml:space="preserve"> identified </w:t>
      </w:r>
      <w:r w:rsidR="00CD019C">
        <w:rPr>
          <w:rFonts w:ascii="Times New Roman" w:hAnsi="Times New Roman" w:cs="Times New Roman"/>
          <w:sz w:val="24"/>
          <w:szCs w:val="24"/>
        </w:rPr>
        <w:t>in</w:t>
      </w:r>
      <w:r w:rsidRPr="00C94ECA">
        <w:rPr>
          <w:rFonts w:ascii="Times New Roman" w:hAnsi="Times New Roman" w:cs="Times New Roman"/>
          <w:sz w:val="24"/>
          <w:szCs w:val="24"/>
        </w:rPr>
        <w:t xml:space="preserve"> right amygdala, right orbital superior frontal cortex,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right middle and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inferior temporal cortices, left superior parietal cortex and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left cerebellum. In patients with schizophrenia at baseline network hubs were observed in right caudate,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left medial superior frontal cortex, right middle temporal cortex,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left postcentral cortex,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>left fusiform,</w:t>
      </w:r>
      <w:r w:rsidR="00C94ECA">
        <w:rPr>
          <w:rFonts w:ascii="Times New Roman" w:hAnsi="Times New Roman" w:cs="Times New Roman"/>
          <w:sz w:val="24"/>
          <w:szCs w:val="24"/>
        </w:rPr>
        <w:t xml:space="preserve"> </w:t>
      </w:r>
      <w:r w:rsidRPr="00C94ECA">
        <w:rPr>
          <w:rFonts w:ascii="Times New Roman" w:hAnsi="Times New Roman" w:cs="Times New Roman"/>
          <w:sz w:val="24"/>
          <w:szCs w:val="24"/>
        </w:rPr>
        <w:t xml:space="preserve">left middle occipital cortex and right cerebellum (Figure </w:t>
      </w:r>
      <w:r w:rsidR="00E84FDA" w:rsidRPr="00C94ECA">
        <w:rPr>
          <w:rFonts w:ascii="Times New Roman" w:hAnsi="Times New Roman" w:cs="Times New Roman"/>
          <w:sz w:val="24"/>
          <w:szCs w:val="24"/>
        </w:rPr>
        <w:t>S</w:t>
      </w:r>
      <w:r w:rsidRPr="00C94ECA">
        <w:rPr>
          <w:rFonts w:ascii="Times New Roman" w:hAnsi="Times New Roman" w:cs="Times New Roman"/>
          <w:sz w:val="24"/>
          <w:szCs w:val="24"/>
        </w:rPr>
        <w:t xml:space="preserve">2). </w:t>
      </w:r>
    </w:p>
    <w:p w14:paraId="6734CD0F" w14:textId="406CCE26" w:rsidR="00BE2018" w:rsidRDefault="00BE2018"/>
    <w:p w14:paraId="292D70A2" w14:textId="4F46AEBF" w:rsidR="0020463C" w:rsidRDefault="0020463C"/>
    <w:p w14:paraId="65AAC28E" w14:textId="62F6B460" w:rsidR="0020463C" w:rsidRDefault="0020463C"/>
    <w:p w14:paraId="2D72AB35" w14:textId="231ECC0C" w:rsidR="0020463C" w:rsidRDefault="0020463C"/>
    <w:p w14:paraId="6F86C03F" w14:textId="1F8A3390" w:rsidR="0020463C" w:rsidRDefault="0020463C"/>
    <w:p w14:paraId="13E8ECC3" w14:textId="69CFB952" w:rsidR="0020463C" w:rsidRDefault="0020463C"/>
    <w:p w14:paraId="61057FBD" w14:textId="2B0266A7" w:rsidR="0020463C" w:rsidRDefault="0020463C"/>
    <w:p w14:paraId="1628EB37" w14:textId="3AD44897" w:rsidR="0020463C" w:rsidRDefault="0020463C"/>
    <w:p w14:paraId="7CF197C0" w14:textId="5B57AB37" w:rsidR="0020463C" w:rsidRDefault="0020463C"/>
    <w:p w14:paraId="4D505098" w14:textId="1D30BB7A" w:rsidR="0020463C" w:rsidRDefault="0020463C"/>
    <w:p w14:paraId="7194EC24" w14:textId="38DA84B5" w:rsidR="0020463C" w:rsidRDefault="0020463C">
      <w:r>
        <w:rPr>
          <w:noProof/>
        </w:rPr>
        <w:lastRenderedPageBreak/>
        <w:drawing>
          <wp:inline distT="0" distB="0" distL="0" distR="0" wp14:anchorId="2B8E1AF2" wp14:editId="70FD7A4B">
            <wp:extent cx="5274310" cy="3950794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0F513" w14:textId="3706D54F" w:rsidR="0020463C" w:rsidRDefault="0020463C"/>
    <w:p w14:paraId="1C3217C3" w14:textId="17C6DCDC" w:rsidR="0020463C" w:rsidRDefault="0020463C">
      <w:r>
        <w:rPr>
          <w:rFonts w:hint="eastAsia"/>
        </w:rPr>
        <w:t>F</w:t>
      </w:r>
      <w:r>
        <w:t>igure S1 Group differences of patients with schizophrenia</w:t>
      </w:r>
      <w:r w:rsidR="00BF51F6">
        <w:t xml:space="preserve"> </w:t>
      </w:r>
      <w:r w:rsidR="00BF51F6">
        <w:rPr>
          <w:rFonts w:hint="eastAsia"/>
        </w:rPr>
        <w:t>and</w:t>
      </w:r>
      <w:r w:rsidR="00BF51F6">
        <w:t xml:space="preserve"> healthy controls</w:t>
      </w:r>
      <w:r w:rsidR="001B4F5D">
        <w:t>. Significantly increased (hot color) and reduced (cold color) nodal betweenness were observed in patients with schizophrenia. The results were obtained from AUC analysis</w:t>
      </w:r>
      <w:r w:rsidR="0028026A">
        <w:t>.</w:t>
      </w:r>
    </w:p>
    <w:p w14:paraId="78E18926" w14:textId="645FAA3A" w:rsidR="0020463C" w:rsidRDefault="0020463C"/>
    <w:p w14:paraId="451267E2" w14:textId="6E2829C2" w:rsidR="00BC354A" w:rsidRDefault="00BC354A"/>
    <w:p w14:paraId="15D6DD75" w14:textId="6EFA8D38" w:rsidR="00BC354A" w:rsidRDefault="00BC354A"/>
    <w:p w14:paraId="1D0894A2" w14:textId="6D3AC4EB" w:rsidR="00BC354A" w:rsidRDefault="00BC354A"/>
    <w:p w14:paraId="02A162D0" w14:textId="0458675C" w:rsidR="00BC354A" w:rsidRDefault="00BC354A"/>
    <w:p w14:paraId="4E81E4D4" w14:textId="68347085" w:rsidR="00BC354A" w:rsidRDefault="00BC354A"/>
    <w:p w14:paraId="3ECD953A" w14:textId="6FE2B606" w:rsidR="00BC354A" w:rsidRDefault="00BC354A"/>
    <w:p w14:paraId="676DE9DB" w14:textId="7EB16320" w:rsidR="00BC354A" w:rsidRDefault="00BC354A"/>
    <w:p w14:paraId="7634CA64" w14:textId="624563A0" w:rsidR="00BC354A" w:rsidRDefault="00BC354A"/>
    <w:p w14:paraId="1B0BD05D" w14:textId="2F452E18" w:rsidR="00BC354A" w:rsidRDefault="00BC354A"/>
    <w:p w14:paraId="0C060BF0" w14:textId="5F04B906" w:rsidR="00BC354A" w:rsidRDefault="00BC354A"/>
    <w:p w14:paraId="533AF5EB" w14:textId="17F910F0" w:rsidR="00BC354A" w:rsidRDefault="00BC354A"/>
    <w:p w14:paraId="490B957D" w14:textId="5C72AF21" w:rsidR="00BC354A" w:rsidRDefault="00BC354A"/>
    <w:p w14:paraId="36B57335" w14:textId="6A119982" w:rsidR="00BC354A" w:rsidRDefault="00BC354A"/>
    <w:p w14:paraId="403B0796" w14:textId="339EECE5" w:rsidR="00BC354A" w:rsidRDefault="00BC354A"/>
    <w:p w14:paraId="72F2DA24" w14:textId="69A785D2" w:rsidR="00BC354A" w:rsidRDefault="00BC354A"/>
    <w:p w14:paraId="5AC5B51C" w14:textId="6DC1DB9F" w:rsidR="00BC354A" w:rsidRDefault="00BC354A"/>
    <w:p w14:paraId="4113448B" w14:textId="1B3963FC" w:rsidR="00BC354A" w:rsidRDefault="00BC354A"/>
    <w:p w14:paraId="03BD8C13" w14:textId="19B359FF" w:rsidR="00BC354A" w:rsidRDefault="00BC354A"/>
    <w:p w14:paraId="10903BBE" w14:textId="0850B308" w:rsidR="00BC354A" w:rsidRDefault="00BC354A"/>
    <w:p w14:paraId="1AF0E691" w14:textId="2DD6266E" w:rsidR="00BC354A" w:rsidRDefault="00BC354A">
      <w:r>
        <w:rPr>
          <w:noProof/>
        </w:rPr>
        <w:lastRenderedPageBreak/>
        <w:drawing>
          <wp:inline distT="0" distB="0" distL="0" distR="0" wp14:anchorId="0D5EEF6B" wp14:editId="0C1074A9">
            <wp:extent cx="4701540" cy="3846715"/>
            <wp:effectExtent l="0" t="0" r="381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069" cy="385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6A4C5" w14:textId="29FBEC10" w:rsidR="00BC354A" w:rsidRDefault="00BC354A"/>
    <w:p w14:paraId="409BFB21" w14:textId="3FA61023" w:rsidR="00BC354A" w:rsidRDefault="00BC354A">
      <w:r>
        <w:rPr>
          <w:rFonts w:hint="eastAsia"/>
        </w:rPr>
        <w:t>F</w:t>
      </w:r>
      <w:r>
        <w:t xml:space="preserve">igure S2 </w:t>
      </w:r>
      <w:r w:rsidR="007A4D3F">
        <w:t>Network hubs for patients with schizophrenia and healthy controls. Network hubs were labeled (2SD larger than</w:t>
      </w:r>
      <w:r w:rsidR="00CD019C">
        <w:t xml:space="preserve"> the</w:t>
      </w:r>
      <w:r w:rsidR="007A4D3F">
        <w:t xml:space="preserve"> mean betweenness). The size of the sphere means the betweenness of the corresponding region. Red color </w:t>
      </w:r>
      <w:r w:rsidR="00CD019C">
        <w:t>refers to the healthy controls. Green color refers to patients with schizophrenia.</w:t>
      </w:r>
      <w:r w:rsidR="00316806">
        <w:rPr>
          <w:rFonts w:hint="eastAsia"/>
        </w:rPr>
        <w:t xml:space="preserve"> </w:t>
      </w:r>
      <w:r w:rsidR="007A4D3F">
        <w:t>The results were obtained from AUC analysis.</w:t>
      </w:r>
      <w:r w:rsidR="00F918ED">
        <w:t xml:space="preserve"> HC: Healthy controls; SCH: </w:t>
      </w:r>
      <w:r w:rsidR="00316806">
        <w:t xml:space="preserve">patients with </w:t>
      </w:r>
      <w:r w:rsidR="00F918ED">
        <w:t>schizophrenia</w:t>
      </w:r>
    </w:p>
    <w:p w14:paraId="39C388C3" w14:textId="1D626C72" w:rsidR="00BC354A" w:rsidRDefault="00BC354A"/>
    <w:p w14:paraId="63E70F74" w14:textId="3248BE44" w:rsidR="00BC354A" w:rsidRDefault="00BC354A"/>
    <w:p w14:paraId="2BB80A79" w14:textId="4E76A0A5" w:rsidR="00BC354A" w:rsidRDefault="00BC354A"/>
    <w:p w14:paraId="37FDA7DE" w14:textId="191DC5E5" w:rsidR="00BC354A" w:rsidRDefault="00BC354A"/>
    <w:p w14:paraId="263D984B" w14:textId="24082E45" w:rsidR="00BC354A" w:rsidRDefault="00BC354A">
      <w:bookmarkStart w:id="0" w:name="_GoBack"/>
      <w:bookmarkEnd w:id="0"/>
    </w:p>
    <w:p w14:paraId="68E3C94E" w14:textId="05AEB70A" w:rsidR="00BC354A" w:rsidRDefault="00BC354A"/>
    <w:p w14:paraId="1AB0BE39" w14:textId="097E3E0B" w:rsidR="00BC354A" w:rsidRDefault="00BC354A"/>
    <w:p w14:paraId="4B1EDB5A" w14:textId="79D1DDBD" w:rsidR="00BC354A" w:rsidRDefault="00BC354A"/>
    <w:p w14:paraId="033497E5" w14:textId="13B3E5F7" w:rsidR="00BC354A" w:rsidRDefault="00BC354A"/>
    <w:p w14:paraId="7789E9EE" w14:textId="52C6231C" w:rsidR="00BC354A" w:rsidRDefault="00BC354A"/>
    <w:p w14:paraId="163DD5D2" w14:textId="5D40A9B0" w:rsidR="006F4AC7" w:rsidRDefault="006F4AC7"/>
    <w:p w14:paraId="14BA9AF5" w14:textId="55D7708F" w:rsidR="006F4AC7" w:rsidRDefault="006F4AC7"/>
    <w:sectPr w:rsidR="006F4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D3FE0" w14:textId="77777777" w:rsidR="00951D2E" w:rsidRDefault="00951D2E" w:rsidP="00D41174">
      <w:r>
        <w:separator/>
      </w:r>
    </w:p>
  </w:endnote>
  <w:endnote w:type="continuationSeparator" w:id="0">
    <w:p w14:paraId="07872FB0" w14:textId="77777777" w:rsidR="00951D2E" w:rsidRDefault="00951D2E" w:rsidP="00D4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93CA5" w14:textId="77777777" w:rsidR="00951D2E" w:rsidRDefault="00951D2E" w:rsidP="00D41174">
      <w:r>
        <w:separator/>
      </w:r>
    </w:p>
  </w:footnote>
  <w:footnote w:type="continuationSeparator" w:id="0">
    <w:p w14:paraId="7DD0C89D" w14:textId="77777777" w:rsidR="00951D2E" w:rsidRDefault="00951D2E" w:rsidP="00D41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BA"/>
    <w:rsid w:val="001B4F5D"/>
    <w:rsid w:val="0020463C"/>
    <w:rsid w:val="0028026A"/>
    <w:rsid w:val="00286061"/>
    <w:rsid w:val="00316806"/>
    <w:rsid w:val="00435609"/>
    <w:rsid w:val="00535483"/>
    <w:rsid w:val="00676B9B"/>
    <w:rsid w:val="006F4AC7"/>
    <w:rsid w:val="0074667F"/>
    <w:rsid w:val="007A4D3F"/>
    <w:rsid w:val="007B4C9E"/>
    <w:rsid w:val="00911B62"/>
    <w:rsid w:val="0093303E"/>
    <w:rsid w:val="00951D2E"/>
    <w:rsid w:val="00AA29BA"/>
    <w:rsid w:val="00BC354A"/>
    <w:rsid w:val="00BD3C05"/>
    <w:rsid w:val="00BE2018"/>
    <w:rsid w:val="00BF51F6"/>
    <w:rsid w:val="00C24869"/>
    <w:rsid w:val="00C94ECA"/>
    <w:rsid w:val="00CD019C"/>
    <w:rsid w:val="00D41174"/>
    <w:rsid w:val="00E84FDA"/>
    <w:rsid w:val="00EF5024"/>
    <w:rsid w:val="00F9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F5499"/>
  <w15:chartTrackingRefBased/>
  <w15:docId w15:val="{84CD44D1-5141-4397-9E88-AC0559C6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11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1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1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1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LiKong</dc:creator>
  <cp:keywords/>
  <dc:description/>
  <cp:lastModifiedBy>LiKong</cp:lastModifiedBy>
  <cp:revision>10</cp:revision>
  <dcterms:created xsi:type="dcterms:W3CDTF">2022-05-20T03:29:00Z</dcterms:created>
  <dcterms:modified xsi:type="dcterms:W3CDTF">2022-07-14T02:57:00Z</dcterms:modified>
</cp:coreProperties>
</file>