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51E" w:rsidRDefault="00CA751E" w:rsidP="00CA751E">
      <w:pPr>
        <w:rPr>
          <w:rFonts w:ascii="Times New Roman" w:hAnsi="Times New Roman" w:cs="Times New Roman"/>
          <w:b/>
          <w:lang w:val="en-GB"/>
        </w:rPr>
      </w:pPr>
      <w:r w:rsidRPr="00C317D9">
        <w:rPr>
          <w:rFonts w:ascii="Times New Roman" w:hAnsi="Times New Roman" w:cs="Times New Roman"/>
          <w:b/>
          <w:lang w:val="en-GB"/>
        </w:rPr>
        <w:t xml:space="preserve">S8. Full paper PICOS screening 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W w:w="15305" w:type="dxa"/>
        <w:tblLayout w:type="fixed"/>
        <w:tblLook w:val="04A0" w:firstRow="1" w:lastRow="0" w:firstColumn="1" w:lastColumn="0" w:noHBand="0" w:noVBand="1"/>
      </w:tblPr>
      <w:tblGrid>
        <w:gridCol w:w="3114"/>
        <w:gridCol w:w="731"/>
        <w:gridCol w:w="975"/>
        <w:gridCol w:w="786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935"/>
        <w:gridCol w:w="915"/>
      </w:tblGrid>
      <w:tr w:rsidR="00CA751E" w:rsidRPr="0091469E" w:rsidTr="00E4058E">
        <w:trPr>
          <w:trHeight w:val="271"/>
        </w:trPr>
        <w:tc>
          <w:tcPr>
            <w:tcW w:w="3114" w:type="dxa"/>
            <w:vMerge w:val="restart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11276" w:type="dxa"/>
            <w:gridSpan w:val="13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Inclusion/Exclusion Criteria</w:t>
            </w:r>
          </w:p>
        </w:tc>
        <w:tc>
          <w:tcPr>
            <w:tcW w:w="915" w:type="dxa"/>
            <w:vMerge w:val="restart"/>
            <w:tcBorders>
              <w:right w:val="nil"/>
            </w:tcBorders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Include/Exclude</w:t>
            </w:r>
          </w:p>
        </w:tc>
      </w:tr>
      <w:tr w:rsidR="00CA751E" w:rsidRPr="0091469E" w:rsidTr="00E4058E">
        <w:trPr>
          <w:trHeight w:val="1410"/>
        </w:trPr>
        <w:tc>
          <w:tcPr>
            <w:tcW w:w="3114" w:type="dxa"/>
            <w:vMerge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Adult women</w:t>
            </w:r>
          </w:p>
        </w:tc>
        <w:tc>
          <w:tcPr>
            <w:tcW w:w="975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Pregnant or postpartum</w:t>
            </w:r>
          </w:p>
        </w:tc>
        <w:tc>
          <w:tcPr>
            <w:tcW w:w="786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Peripartum onset</w:t>
            </w:r>
          </w:p>
        </w:tc>
        <w:tc>
          <w:tcPr>
            <w:tcW w:w="873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Exec: Other MD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Exclusion: Prevention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CBT, BA or PS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Targeting PPD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Control condition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Primary outcome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Outcome quality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RCT design</w:t>
            </w:r>
          </w:p>
        </w:tc>
        <w:tc>
          <w:tcPr>
            <w:tcW w:w="872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Exec:-Random sequence</w:t>
            </w:r>
          </w:p>
        </w:tc>
        <w:tc>
          <w:tcPr>
            <w:tcW w:w="935" w:type="dxa"/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Exec: Allocation  concealment</w:t>
            </w:r>
          </w:p>
        </w:tc>
        <w:tc>
          <w:tcPr>
            <w:tcW w:w="915" w:type="dxa"/>
            <w:vMerge/>
            <w:tcBorders>
              <w:right w:val="nil"/>
            </w:tcBorders>
            <w:textDirection w:val="tbRl"/>
            <w:vAlign w:val="center"/>
          </w:tcPr>
          <w:p w:rsidR="00CA751E" w:rsidRPr="0091469E" w:rsidRDefault="00CA751E" w:rsidP="00E405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A751E" w:rsidRPr="00104825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Alhusen et al., (2021) </w:t>
            </w:r>
          </w:p>
        </w:tc>
        <w:tc>
          <w:tcPr>
            <w:tcW w:w="731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A751E" w:rsidRPr="00104825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Ammerman et al. (2013)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Anton and David (2015)</w:t>
            </w:r>
          </w:p>
        </w:tc>
        <w:tc>
          <w:tcPr>
            <w:tcW w:w="731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Appleby et al. (1997)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Araújo et al. (2016)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Asghari et al. (2016)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Austin et al. (2008)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Beattie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Bernard et al. (2011)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Bhat et al. (2018)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Bittner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Brugha et al. (2000)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Brugha et al. (2011)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0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Burns et al. (2013)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Carta et al.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Chabrol et al. (2002)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Chibanda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 et al. (2008)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Cinciripini et al. (2010)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514EDA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14ED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Cooper et al. (2003)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514EDA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14ED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Dafei</w:t>
            </w:r>
            <w:proofErr w:type="spellEnd"/>
            <w:r w:rsidRPr="00514ED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 xml:space="preserve"> et al. (2021)</w:t>
            </w:r>
          </w:p>
        </w:tc>
        <w:tc>
          <w:tcPr>
            <w:tcW w:w="731" w:type="dxa"/>
            <w:shd w:val="clear" w:color="auto" w:fill="FFFF00"/>
            <w:vAlign w:val="center"/>
          </w:tcPr>
          <w:p w:rsidR="00CA751E" w:rsidRPr="00514EDA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magenta"/>
              </w:rPr>
            </w:pPr>
            <w:r w:rsidRPr="00C03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</w:tcPr>
          <w:p w:rsidR="00CA751E" w:rsidRPr="00514EDA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magenta"/>
              </w:rPr>
            </w:pPr>
            <w:r w:rsidRPr="00C03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</w:tcPr>
          <w:p w:rsidR="00CA751E" w:rsidRPr="00C038C6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</w:tcPr>
          <w:p w:rsidR="00CA751E" w:rsidRPr="00C038C6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C038C6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8C6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Danaher et al. (2013)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Dennis (2003)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Dimidjian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Duffecy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Fonseca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Forsell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Fuhr et al. (2019)</w:t>
            </w:r>
          </w:p>
        </w:tc>
        <w:tc>
          <w:tcPr>
            <w:tcW w:w="731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Futterman et al. (2010)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George et al. (2020)</w:t>
            </w:r>
          </w:p>
        </w:tc>
        <w:tc>
          <w:tcPr>
            <w:tcW w:w="731" w:type="dxa"/>
            <w:shd w:val="clear" w:color="auto" w:fill="FFFF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Ginsburg et al. (2012)</w:t>
            </w:r>
          </w:p>
        </w:tc>
        <w:tc>
          <w:tcPr>
            <w:tcW w:w="731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Goodman et al. (2015)</w:t>
            </w:r>
          </w:p>
        </w:tc>
        <w:tc>
          <w:tcPr>
            <w:tcW w:w="731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Gureje et al. (2019)</w:t>
            </w:r>
          </w:p>
        </w:tc>
        <w:tc>
          <w:tcPr>
            <w:tcW w:w="731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60017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Haga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Heller et al. (2020)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Honey et al. (2002)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Howell et al. (2012)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Howell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Hughes et al.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Husain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Husain et al. (2021)</w:t>
            </w:r>
          </w:p>
        </w:tc>
        <w:tc>
          <w:tcPr>
            <w:tcW w:w="731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2C77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975" w:type="dxa"/>
            <w:shd w:val="clear" w:color="auto" w:fill="24FC86"/>
            <w:vAlign w:val="center"/>
          </w:tcPr>
          <w:p w:rsidR="00CA751E" w:rsidRPr="002C7703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2C7703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6C5397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6C53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24FC8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24FC8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Jannati et al. (2020)*</w:t>
            </w:r>
          </w:p>
        </w:tc>
        <w:tc>
          <w:tcPr>
            <w:tcW w:w="731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Jesse et al.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Jiang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Kaaya et al. (2013)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Khamesh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Kim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Kingston et al. (2014)</w:t>
            </w:r>
          </w:p>
        </w:tc>
        <w:tc>
          <w:tcPr>
            <w:tcW w:w="731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Kozinsky et al. (2012)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 et al. (2011)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Leung and Lam (2012)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Leung et al. (2013)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Leung et al. (2016)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Liu et al. (2021)</w:t>
            </w:r>
          </w:p>
        </w:tc>
        <w:tc>
          <w:tcPr>
            <w:tcW w:w="731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60017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60017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Loughnan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Lowndes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104825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Lund et al., (2020)</w:t>
            </w:r>
          </w:p>
        </w:tc>
        <w:tc>
          <w:tcPr>
            <w:tcW w:w="731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A751E" w:rsidRPr="00104825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Mao et al. (2012)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104825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McKee et al. (2006)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104825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Meager and Milgrom (1996)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Mehri et al. (2019)</w:t>
            </w:r>
          </w:p>
        </w:tc>
        <w:tc>
          <w:tcPr>
            <w:tcW w:w="731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Milgrom et al. (2011a)</w:t>
            </w:r>
          </w:p>
        </w:tc>
        <w:tc>
          <w:tcPr>
            <w:tcW w:w="731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FF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Milgrom et al. (2011b)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Milgrom et al. (2015a)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Milgrom et al. (2015b)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Milgrom et al. (2016)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Milgrom et al. (2005)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Misri et al. (2004)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Morrell et al. (2009)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Muñoz et al. (2007)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Mureşan-Madar and Băban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Murray et al. (2003)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Nasiri et al.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Nasiri et al. (2018)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Ngai et al.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Ngai et al. (2020)</w:t>
            </w:r>
          </w:p>
        </w:tc>
        <w:tc>
          <w:tcPr>
            <w:tcW w:w="731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60017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60017"/>
            <w:vAlign w:val="center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O’Mahen et al. (2013a)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O’Mahen et al. (2013b)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O’Mahen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Ortiz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Pinheiro et al. (2014)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Prendergast and Austin (2001)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Puckering et al. (2010)</w:t>
            </w:r>
          </w:p>
        </w:tc>
        <w:tc>
          <w:tcPr>
            <w:tcW w:w="731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Pugh et al. (2016)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Rahman et al. (2008)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Ramezani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Rees et al. (1993)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Rojas et al. (2007)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Sanders and McFarland (2000)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Sandner et al. (2018)</w:t>
            </w:r>
          </w:p>
        </w:tc>
        <w:tc>
          <w:tcPr>
            <w:tcW w:w="731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Shamshiri Milani et al. (2015)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Sheeber et al. (2012)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Sikander et al. (2019)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Silverstein et al. (2011)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Silverstein et al. (2018)</w:t>
            </w:r>
          </w:p>
        </w:tc>
        <w:tc>
          <w:tcPr>
            <w:tcW w:w="731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7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786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Stein et al. (2018)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Surkan et al. (2012)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Tandon et al. (2014)</w:t>
            </w:r>
          </w:p>
        </w:tc>
        <w:tc>
          <w:tcPr>
            <w:tcW w:w="731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Tandon et al. (2011)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Tandon et al. (2018)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Trevillon et al. (2020) </w:t>
            </w:r>
          </w:p>
        </w:tc>
        <w:tc>
          <w:tcPr>
            <w:tcW w:w="731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914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Ugarriza and Schmidt (2006)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  <w:hideMark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Ugarriza (2004)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A00EC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A00ECE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Van Lieshout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935" w:type="dxa"/>
            <w:shd w:val="clear" w:color="auto" w:fill="FF0000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</w:p>
        </w:tc>
      </w:tr>
      <w:tr w:rsidR="00CA751E" w:rsidRPr="00A00ECE" w:rsidTr="00E4058E">
        <w:trPr>
          <w:trHeight w:val="242"/>
        </w:trPr>
        <w:tc>
          <w:tcPr>
            <w:tcW w:w="3114" w:type="dxa"/>
            <w:tcBorders>
              <w:left w:val="nil"/>
            </w:tcBorders>
          </w:tcPr>
          <w:p w:rsidR="00CA751E" w:rsidRPr="00A00ECE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  <w:sz w:val="24"/>
                <w:szCs w:val="24"/>
              </w:rPr>
              <w:t>Van Lieshout et al. (2020)</w:t>
            </w:r>
          </w:p>
        </w:tc>
        <w:tc>
          <w:tcPr>
            <w:tcW w:w="731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786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3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2" w:type="dxa"/>
            <w:shd w:val="clear" w:color="auto" w:fill="FF0000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872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2" w:type="dxa"/>
            <w:shd w:val="clear" w:color="auto" w:fill="66FF66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872" w:type="dxa"/>
            <w:shd w:val="clear" w:color="auto" w:fill="FF0000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872" w:type="dxa"/>
            <w:shd w:val="clear" w:color="auto" w:fill="FF0000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935" w:type="dxa"/>
            <w:shd w:val="clear" w:color="auto" w:fill="FF0000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00ECE">
              <w:rPr>
                <w:rFonts w:asciiTheme="majorBidi" w:hAnsiTheme="majorBidi" w:cstheme="majorBidi"/>
              </w:rPr>
              <w:t>E</w:t>
            </w:r>
          </w:p>
        </w:tc>
      </w:tr>
      <w:tr w:rsidR="00CA751E" w:rsidRPr="0091469E" w:rsidTr="00E4058E">
        <w:trPr>
          <w:trHeight w:val="242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A00ECE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Van Lieshout et al. (2021)</w:t>
            </w:r>
          </w:p>
        </w:tc>
        <w:tc>
          <w:tcPr>
            <w:tcW w:w="731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975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786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3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872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935" w:type="dxa"/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15FF7F"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highlight w:val="green"/>
              </w:rPr>
            </w:pPr>
            <w:r w:rsidRPr="00A00ECE">
              <w:rPr>
                <w:rFonts w:asciiTheme="majorBidi" w:hAnsiTheme="majorBidi" w:cstheme="majorBidi"/>
                <w:highlight w:val="green"/>
              </w:rPr>
              <w:t>I</w:t>
            </w:r>
          </w:p>
        </w:tc>
      </w:tr>
      <w:tr w:rsidR="00CA751E" w:rsidRPr="0091469E" w:rsidTr="00E4058E">
        <w:trPr>
          <w:trHeight w:val="242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A00ECE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Van Ravesteyn et al. (2018)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FFFF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A00ECE" w:rsidRDefault="00CA751E" w:rsidP="00E4058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Wiklund et al. (2010)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A00ECE" w:rsidRDefault="00CA751E" w:rsidP="00E4058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00E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Wozney et al. (2017)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CA751E" w:rsidRPr="0091469E" w:rsidTr="00E4058E">
        <w:trPr>
          <w:trHeight w:val="227"/>
        </w:trPr>
        <w:tc>
          <w:tcPr>
            <w:tcW w:w="3114" w:type="dxa"/>
            <w:tcBorders>
              <w:left w:val="nil"/>
            </w:tcBorders>
            <w:vAlign w:val="center"/>
          </w:tcPr>
          <w:p w:rsidR="00CA751E" w:rsidRPr="00DE288F" w:rsidRDefault="00CA751E" w:rsidP="00E405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Yazdanimehr et al. (2016)</w:t>
            </w:r>
          </w:p>
        </w:tc>
        <w:tc>
          <w:tcPr>
            <w:tcW w:w="731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7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786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3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72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35" w:type="dxa"/>
            <w:shd w:val="clear" w:color="auto" w:fill="66FF66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right w:val="nil"/>
            </w:tcBorders>
            <w:shd w:val="clear" w:color="auto" w:fill="FF0000"/>
            <w:vAlign w:val="center"/>
            <w:hideMark/>
          </w:tcPr>
          <w:p w:rsidR="00CA751E" w:rsidRPr="0091469E" w:rsidRDefault="00CA751E" w:rsidP="00E405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9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CA751E" w:rsidRDefault="00CA751E" w:rsidP="00CA751E">
      <w:pPr>
        <w:tabs>
          <w:tab w:val="left" w:pos="2400"/>
        </w:tabs>
        <w:rPr>
          <w:rFonts w:ascii="Times New Roman" w:hAnsi="Times New Roman" w:cs="Times New Roman"/>
        </w:rPr>
      </w:pPr>
      <w:r w:rsidRPr="00C42A66">
        <w:rPr>
          <w:rFonts w:ascii="Times New Roman" w:hAnsi="Times New Roman" w:cs="Times New Roman"/>
          <w:b/>
          <w:lang w:val="sv-SE"/>
        </w:rPr>
        <w:tab/>
      </w:r>
    </w:p>
    <w:p w:rsidR="00CA751E" w:rsidRPr="005B3175" w:rsidRDefault="00CA751E" w:rsidP="00CA751E">
      <w:pPr>
        <w:rPr>
          <w:rFonts w:ascii="Times New Roman" w:hAnsi="Times New Roman" w:cs="Times New Roman"/>
        </w:rPr>
        <w:sectPr w:rsidR="00CA751E" w:rsidRPr="005B3175" w:rsidSect="009E003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5B3175">
        <w:rPr>
          <w:rFonts w:ascii="Times New Roman" w:hAnsi="Times New Roman" w:cs="Times New Roman"/>
          <w:i/>
        </w:rPr>
        <w:t>Note.:</w:t>
      </w:r>
      <w:r w:rsidRPr="005B3175">
        <w:rPr>
          <w:rFonts w:ascii="Times New Roman" w:hAnsi="Times New Roman" w:cs="Times New Roman"/>
        </w:rPr>
        <w:t xml:space="preserve"> Abbreviations: E:  Exclude; I: Include; n/a; criteria does not apply (e.g. if an outcome measure was excluded the quality criteria does not apply); U; Unclear (information either missing or unclear form the paper, if no </w:t>
      </w:r>
      <w:r w:rsidRPr="00D669DA">
        <w:rPr>
          <w:rFonts w:ascii="Times New Roman" w:hAnsi="Times New Roman" w:cs="Times New Roman"/>
        </w:rPr>
        <w:t xml:space="preserve">other exclusion criteria applied authors where contacted in order to clarify further and in cases where other exclusion criteria </w:t>
      </w:r>
      <w:proofErr w:type="gramStart"/>
      <w:r w:rsidRPr="00D669DA">
        <w:rPr>
          <w:rFonts w:ascii="Times New Roman" w:hAnsi="Times New Roman" w:cs="Times New Roman"/>
        </w:rPr>
        <w:t>applied  no</w:t>
      </w:r>
      <w:proofErr w:type="gramEnd"/>
      <w:r w:rsidRPr="00D669DA">
        <w:rPr>
          <w:rFonts w:ascii="Times New Roman" w:hAnsi="Times New Roman" w:cs="Times New Roman"/>
        </w:rPr>
        <w:t xml:space="preserve"> further information was sought). *Excluded due to data irregularity</w:t>
      </w:r>
      <w:r>
        <w:t xml:space="preserve"> </w:t>
      </w:r>
    </w:p>
    <w:p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02010"/>
    <w:multiLevelType w:val="hybridMultilevel"/>
    <w:tmpl w:val="91F6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A43FC"/>
    <w:multiLevelType w:val="hybridMultilevel"/>
    <w:tmpl w:val="98F8C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039FE"/>
    <w:multiLevelType w:val="multilevel"/>
    <w:tmpl w:val="EBAE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00EE7"/>
    <w:multiLevelType w:val="hybridMultilevel"/>
    <w:tmpl w:val="DB32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A3851"/>
    <w:multiLevelType w:val="hybridMultilevel"/>
    <w:tmpl w:val="6DEA2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51F55"/>
    <w:multiLevelType w:val="multilevel"/>
    <w:tmpl w:val="54AA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3025C"/>
    <w:multiLevelType w:val="hybridMultilevel"/>
    <w:tmpl w:val="F80EC1C2"/>
    <w:lvl w:ilvl="0" w:tplc="D7AA5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1E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003F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A751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10E3C-E322-4E6A-B96E-CF1EA707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51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5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A7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51E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75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5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1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51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A751E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">
    <w:name w:val="Tabellrutnät1"/>
    <w:basedOn w:val="TableNormal"/>
    <w:next w:val="TableGrid"/>
    <w:uiPriority w:val="59"/>
    <w:rsid w:val="00CA751E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CA751E"/>
  </w:style>
  <w:style w:type="paragraph" w:styleId="Footer">
    <w:name w:val="footer"/>
    <w:basedOn w:val="Normal"/>
    <w:link w:val="FooterChar"/>
    <w:uiPriority w:val="99"/>
    <w:unhideWhenUsed/>
    <w:rsid w:val="00CA751E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CA751E"/>
    <w:rPr>
      <w:lang w:val="en-CA"/>
    </w:rPr>
  </w:style>
  <w:style w:type="paragraph" w:styleId="BodyText">
    <w:name w:val="Body Text"/>
    <w:basedOn w:val="Normal"/>
    <w:link w:val="BodyTextChar"/>
    <w:uiPriority w:val="1"/>
    <w:qFormat/>
    <w:rsid w:val="00CA751E"/>
    <w:pPr>
      <w:spacing w:after="120"/>
    </w:pPr>
    <w:rPr>
      <w:rFonts w:eastAsiaTheme="minorEastAsia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A751E"/>
    <w:rPr>
      <w:rFonts w:eastAsiaTheme="minorEastAsia"/>
      <w:lang w:bidi="en-US"/>
    </w:rPr>
  </w:style>
  <w:style w:type="paragraph" w:customStyle="1" w:styleId="TableParagraph">
    <w:name w:val="Table Paragraph"/>
    <w:basedOn w:val="Normal"/>
    <w:uiPriority w:val="1"/>
    <w:qFormat/>
    <w:rsid w:val="00CA751E"/>
    <w:pPr>
      <w:widowControl w:val="0"/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CA751E"/>
  </w:style>
  <w:style w:type="paragraph" w:styleId="Header">
    <w:name w:val="header"/>
    <w:basedOn w:val="Normal"/>
    <w:link w:val="HeaderChar"/>
    <w:uiPriority w:val="99"/>
    <w:unhideWhenUsed/>
    <w:rsid w:val="00CA75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1E"/>
  </w:style>
  <w:style w:type="paragraph" w:styleId="NormalWeb">
    <w:name w:val="Normal (Web)"/>
    <w:basedOn w:val="Normal"/>
    <w:uiPriority w:val="99"/>
    <w:unhideWhenUsed/>
    <w:rsid w:val="00CA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A751E"/>
    <w:pPr>
      <w:spacing w:after="160" w:line="259" w:lineRule="auto"/>
      <w:ind w:left="720"/>
      <w:contextualSpacing/>
    </w:pPr>
    <w:rPr>
      <w:lang w:val="sv-SE"/>
    </w:rPr>
  </w:style>
  <w:style w:type="character" w:styleId="Emphasis">
    <w:name w:val="Emphasis"/>
    <w:basedOn w:val="DefaultParagraphFont"/>
    <w:uiPriority w:val="20"/>
    <w:qFormat/>
    <w:rsid w:val="00CA751E"/>
    <w:rPr>
      <w:i/>
      <w:iCs/>
    </w:rPr>
  </w:style>
  <w:style w:type="character" w:customStyle="1" w:styleId="authors">
    <w:name w:val="authors"/>
    <w:basedOn w:val="DefaultParagraphFont"/>
    <w:rsid w:val="00CA751E"/>
  </w:style>
  <w:style w:type="character" w:customStyle="1" w:styleId="Datum1">
    <w:name w:val="Datum1"/>
    <w:basedOn w:val="DefaultParagraphFont"/>
    <w:rsid w:val="00CA751E"/>
  </w:style>
  <w:style w:type="character" w:customStyle="1" w:styleId="arttitle">
    <w:name w:val="art_title"/>
    <w:basedOn w:val="DefaultParagraphFont"/>
    <w:rsid w:val="00CA751E"/>
  </w:style>
  <w:style w:type="character" w:customStyle="1" w:styleId="serialtitle">
    <w:name w:val="serial_title"/>
    <w:basedOn w:val="DefaultParagraphFont"/>
    <w:rsid w:val="00CA751E"/>
  </w:style>
  <w:style w:type="character" w:customStyle="1" w:styleId="volumeissue">
    <w:name w:val="volume_issue"/>
    <w:basedOn w:val="DefaultParagraphFont"/>
    <w:rsid w:val="00CA751E"/>
  </w:style>
  <w:style w:type="character" w:customStyle="1" w:styleId="pagerange">
    <w:name w:val="page_range"/>
    <w:basedOn w:val="DefaultParagraphFont"/>
    <w:rsid w:val="00CA751E"/>
  </w:style>
  <w:style w:type="character" w:customStyle="1" w:styleId="doilink">
    <w:name w:val="doi_link"/>
    <w:basedOn w:val="DefaultParagraphFont"/>
    <w:rsid w:val="00CA751E"/>
  </w:style>
  <w:style w:type="paragraph" w:styleId="Revision">
    <w:name w:val="Revision"/>
    <w:hidden/>
    <w:uiPriority w:val="99"/>
    <w:semiHidden/>
    <w:rsid w:val="00CA751E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A75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75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751E"/>
    <w:rPr>
      <w:vertAlign w:val="superscript"/>
    </w:rPr>
  </w:style>
  <w:style w:type="paragraph" w:customStyle="1" w:styleId="Default">
    <w:name w:val="Default"/>
    <w:rsid w:val="00CA75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CA751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7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1018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2023-03-21T09:16:00Z</dcterms:created>
  <dcterms:modified xsi:type="dcterms:W3CDTF">2023-03-21T09:16:00Z</dcterms:modified>
</cp:coreProperties>
</file>