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3E04" w14:textId="676DD11B" w:rsidR="009069C0" w:rsidRPr="00767B09" w:rsidRDefault="009A3BD9" w:rsidP="009069C0">
      <w:pPr>
        <w:spacing w:line="480" w:lineRule="auto"/>
        <w:rPr>
          <w:rFonts w:cs="Times New Roman"/>
        </w:rPr>
      </w:pPr>
      <w:r w:rsidRPr="009A3BD9">
        <w:rPr>
          <w:rFonts w:eastAsia="等线" w:cs="Times New Roman"/>
          <w:b/>
          <w:bCs/>
          <w:color w:val="000000"/>
          <w:kern w:val="0"/>
          <w:szCs w:val="21"/>
          <w:lang w:bidi="ar"/>
        </w:rPr>
        <w:t xml:space="preserve">Supplementary </w:t>
      </w:r>
      <w:r w:rsidR="00F43AB7">
        <w:rPr>
          <w:rFonts w:eastAsia="等线" w:cs="Times New Roman"/>
          <w:b/>
          <w:bCs/>
          <w:color w:val="000000"/>
          <w:kern w:val="0"/>
          <w:szCs w:val="21"/>
          <w:lang w:bidi="ar"/>
        </w:rPr>
        <w:t>M</w:t>
      </w:r>
      <w:r w:rsidRPr="009A3BD9">
        <w:rPr>
          <w:rFonts w:eastAsia="等线" w:cs="Times New Roman"/>
          <w:b/>
          <w:bCs/>
          <w:color w:val="000000"/>
          <w:kern w:val="0"/>
          <w:szCs w:val="21"/>
          <w:lang w:bidi="ar"/>
        </w:rPr>
        <w:t>aterial 1</w:t>
      </w:r>
      <w:r>
        <w:rPr>
          <w:rFonts w:eastAsia="等线" w:cs="Times New Roman" w:hint="eastAsia"/>
          <w:b/>
          <w:bCs/>
          <w:color w:val="000000"/>
          <w:kern w:val="0"/>
          <w:szCs w:val="21"/>
          <w:lang w:bidi="ar"/>
        </w:rPr>
        <w:t>.</w:t>
      </w:r>
      <w:r w:rsidR="009069C0" w:rsidRPr="00767B09">
        <w:rPr>
          <w:rFonts w:eastAsia="等线" w:cs="Times New Roman"/>
          <w:b/>
          <w:bCs/>
          <w:color w:val="000000"/>
          <w:kern w:val="0"/>
          <w:szCs w:val="21"/>
          <w:lang w:bidi="ar"/>
        </w:rPr>
        <w:t xml:space="preserve"> </w:t>
      </w:r>
      <w:r w:rsidR="009069C0">
        <w:rPr>
          <w:rFonts w:eastAsia="等线" w:cs="Times New Roman"/>
          <w:b/>
          <w:bCs/>
          <w:color w:val="000000"/>
          <w:kern w:val="0"/>
          <w:szCs w:val="21"/>
          <w:lang w:bidi="ar"/>
        </w:rPr>
        <w:t>S</w:t>
      </w:r>
      <w:r w:rsidR="009069C0">
        <w:rPr>
          <w:rFonts w:eastAsia="等线" w:cs="Times New Roman" w:hint="eastAsia"/>
          <w:b/>
          <w:bCs/>
          <w:color w:val="000000"/>
          <w:kern w:val="0"/>
          <w:szCs w:val="21"/>
          <w:lang w:bidi="ar"/>
        </w:rPr>
        <w:t>ensitivity</w:t>
      </w:r>
      <w:r w:rsidR="009069C0">
        <w:rPr>
          <w:rFonts w:eastAsia="等线" w:cs="Times New Roman"/>
          <w:b/>
          <w:bCs/>
          <w:color w:val="000000"/>
          <w:kern w:val="0"/>
          <w:szCs w:val="21"/>
          <w:lang w:bidi="ar"/>
        </w:rPr>
        <w:t xml:space="preserve"> A</w:t>
      </w:r>
      <w:r w:rsidR="009069C0">
        <w:rPr>
          <w:rFonts w:eastAsia="等线" w:cs="Times New Roman" w:hint="eastAsia"/>
          <w:b/>
          <w:bCs/>
          <w:color w:val="000000"/>
          <w:kern w:val="0"/>
          <w:szCs w:val="21"/>
          <w:lang w:bidi="ar"/>
        </w:rPr>
        <w:t>nalyses</w:t>
      </w:r>
      <w:r w:rsidR="009069C0">
        <w:rPr>
          <w:rFonts w:eastAsia="等线" w:cs="Times New Roman"/>
          <w:b/>
          <w:bCs/>
          <w:color w:val="000000"/>
          <w:kern w:val="0"/>
          <w:szCs w:val="21"/>
          <w:lang w:bidi="ar"/>
        </w:rPr>
        <w:t xml:space="preserve"> </w:t>
      </w:r>
      <w:r w:rsidR="009069C0">
        <w:rPr>
          <w:rFonts w:eastAsia="等线" w:cs="Times New Roman" w:hint="eastAsia"/>
          <w:b/>
          <w:bCs/>
          <w:color w:val="000000"/>
          <w:kern w:val="0"/>
          <w:szCs w:val="21"/>
          <w:lang w:bidi="ar"/>
        </w:rPr>
        <w:t>for</w:t>
      </w:r>
      <w:r w:rsidR="009069C0">
        <w:rPr>
          <w:rFonts w:eastAsia="等线" w:cs="Times New Roman"/>
          <w:b/>
          <w:bCs/>
          <w:color w:val="000000"/>
          <w:kern w:val="0"/>
          <w:szCs w:val="21"/>
          <w:lang w:bidi="ar"/>
        </w:rPr>
        <w:t xml:space="preserve"> </w:t>
      </w:r>
      <w:r w:rsidR="009069C0">
        <w:rPr>
          <w:rFonts w:eastAsia="等线" w:cs="Times New Roman" w:hint="eastAsia"/>
          <w:b/>
          <w:bCs/>
          <w:color w:val="000000"/>
          <w:kern w:val="0"/>
          <w:szCs w:val="21"/>
          <w:lang w:bidi="ar"/>
        </w:rPr>
        <w:t>a</w:t>
      </w:r>
      <w:r w:rsidR="009069C0" w:rsidRPr="00767B09">
        <w:rPr>
          <w:rFonts w:eastAsia="等线" w:cs="Times New Roman"/>
          <w:b/>
          <w:bCs/>
          <w:color w:val="000000"/>
          <w:kern w:val="0"/>
          <w:szCs w:val="21"/>
          <w:lang w:bidi="ar"/>
        </w:rPr>
        <w:t>ssociations between Sedentary behavior and Depression</w:t>
      </w:r>
      <w:r w:rsidR="009069C0" w:rsidRPr="00767B09">
        <w:rPr>
          <w:rFonts w:cs="Times New Roman"/>
          <w:sz w:val="15"/>
          <w:szCs w:val="15"/>
        </w:rPr>
        <w:t xml:space="preserve"> </w:t>
      </w:r>
      <w:r w:rsidR="009069C0" w:rsidRPr="00767B09">
        <w:rPr>
          <w:rFonts w:eastAsia="等线" w:cs="Times New Roman"/>
          <w:b/>
          <w:bCs/>
          <w:color w:val="000000"/>
          <w:kern w:val="0"/>
          <w:szCs w:val="21"/>
          <w:lang w:bidi="ar"/>
        </w:rPr>
        <w:t>by binary logistic regression (weighted).</w:t>
      </w:r>
    </w:p>
    <w:tbl>
      <w:tblPr>
        <w:tblStyle w:val="a7"/>
        <w:tblW w:w="1006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"/>
        <w:gridCol w:w="733"/>
        <w:gridCol w:w="1266"/>
        <w:gridCol w:w="1276"/>
        <w:gridCol w:w="1276"/>
        <w:gridCol w:w="1275"/>
        <w:gridCol w:w="1418"/>
        <w:gridCol w:w="1276"/>
      </w:tblGrid>
      <w:tr w:rsidR="00E40774" w:rsidRPr="000D22A9" w14:paraId="4721983A" w14:textId="77777777" w:rsidTr="00575D92">
        <w:trPr>
          <w:trHeight w:val="158"/>
          <w:jc w:val="center"/>
        </w:trPr>
        <w:tc>
          <w:tcPr>
            <w:tcW w:w="1545" w:type="dxa"/>
            <w:vMerge w:val="restart"/>
          </w:tcPr>
          <w:p w14:paraId="2D12FE6F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4CB7A77D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3CA144F8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Variable</w:t>
            </w:r>
          </w:p>
        </w:tc>
        <w:tc>
          <w:tcPr>
            <w:tcW w:w="733" w:type="dxa"/>
            <w:vMerge w:val="restart"/>
          </w:tcPr>
          <w:p w14:paraId="11DFC0C7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4FF34E3C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440D39A0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No. of subjects</w:t>
            </w:r>
          </w:p>
        </w:tc>
        <w:tc>
          <w:tcPr>
            <w:tcW w:w="7787" w:type="dxa"/>
            <w:gridSpan w:val="6"/>
            <w:tcBorders>
              <w:bottom w:val="single" w:sz="12" w:space="0" w:color="auto"/>
            </w:tcBorders>
            <w:hideMark/>
          </w:tcPr>
          <w:p w14:paraId="4A688332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Depression</w:t>
            </w:r>
          </w:p>
          <w:p w14:paraId="267DE75D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Results from logistic regression analysis</w:t>
            </w:r>
          </w:p>
        </w:tc>
      </w:tr>
      <w:tr w:rsidR="00E40774" w:rsidRPr="000D22A9" w14:paraId="3FA05889" w14:textId="77777777" w:rsidTr="00575D92">
        <w:trPr>
          <w:trHeight w:val="1000"/>
          <w:jc w:val="center"/>
        </w:trPr>
        <w:tc>
          <w:tcPr>
            <w:tcW w:w="1545" w:type="dxa"/>
            <w:vMerge/>
            <w:vAlign w:val="center"/>
            <w:hideMark/>
          </w:tcPr>
          <w:p w14:paraId="6ED9C0CF" w14:textId="77777777" w:rsidR="00E40774" w:rsidRPr="000D22A9" w:rsidRDefault="00E40774" w:rsidP="00575D92">
            <w:pPr>
              <w:widowControl/>
              <w:jc w:val="left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733" w:type="dxa"/>
            <w:vMerge/>
            <w:vAlign w:val="center"/>
            <w:hideMark/>
          </w:tcPr>
          <w:p w14:paraId="32C6B9F0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1266" w:type="dxa"/>
            <w:tcBorders>
              <w:top w:val="single" w:sz="12" w:space="0" w:color="auto"/>
              <w:bottom w:val="nil"/>
            </w:tcBorders>
          </w:tcPr>
          <w:p w14:paraId="0CD80608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566C0C37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 xml:space="preserve">Raw data </w:t>
            </w:r>
          </w:p>
          <w:p w14:paraId="0A1D7360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OR, 95% CI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14:paraId="26DFD1BD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737E0B69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 xml:space="preserve">Group 1 </w:t>
            </w:r>
          </w:p>
          <w:p w14:paraId="4588AD7C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OR, 95% CI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14:paraId="27744F15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340A94B9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 xml:space="preserve">Group 2 </w:t>
            </w:r>
          </w:p>
          <w:p w14:paraId="14F84A9C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OR, 95% CI</w:t>
            </w:r>
          </w:p>
        </w:tc>
        <w:tc>
          <w:tcPr>
            <w:tcW w:w="1275" w:type="dxa"/>
            <w:tcBorders>
              <w:top w:val="single" w:sz="12" w:space="0" w:color="auto"/>
              <w:bottom w:val="nil"/>
            </w:tcBorders>
          </w:tcPr>
          <w:p w14:paraId="14530E81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51601772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 xml:space="preserve">Group 3 </w:t>
            </w:r>
          </w:p>
          <w:p w14:paraId="6E704D2C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OR, 95% CI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</w:tcPr>
          <w:p w14:paraId="654D8C3D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6B09F8B8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Group 4</w:t>
            </w:r>
          </w:p>
          <w:p w14:paraId="78978EA5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OR, 95% CI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14:paraId="69484E0B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</w:p>
          <w:p w14:paraId="15E6F0D0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Group 5</w:t>
            </w:r>
          </w:p>
          <w:p w14:paraId="57B115DB" w14:textId="77777777" w:rsidR="00E40774" w:rsidRPr="000D22A9" w:rsidRDefault="00E40774" w:rsidP="000D22A9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OR, 95% CI</w:t>
            </w:r>
          </w:p>
        </w:tc>
      </w:tr>
      <w:tr w:rsidR="00E40774" w:rsidRPr="000D22A9" w14:paraId="2B607A2D" w14:textId="77777777" w:rsidTr="00575D92">
        <w:trPr>
          <w:trHeight w:val="702"/>
          <w:jc w:val="center"/>
        </w:trPr>
        <w:tc>
          <w:tcPr>
            <w:tcW w:w="1545" w:type="dxa"/>
            <w:hideMark/>
          </w:tcPr>
          <w:p w14:paraId="057161C8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Sedentary behavior (min/day)</w:t>
            </w:r>
          </w:p>
        </w:tc>
        <w:tc>
          <w:tcPr>
            <w:tcW w:w="733" w:type="dxa"/>
          </w:tcPr>
          <w:p w14:paraId="69C0D93F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  <w:p w14:paraId="265B2A71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5205</w:t>
            </w:r>
          </w:p>
        </w:tc>
        <w:tc>
          <w:tcPr>
            <w:tcW w:w="1266" w:type="dxa"/>
            <w:tcBorders>
              <w:top w:val="nil"/>
            </w:tcBorders>
          </w:tcPr>
          <w:p w14:paraId="127801C0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  <w:p w14:paraId="20E7EE48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2.29 (0.99, 5.30)</w:t>
            </w:r>
          </w:p>
        </w:tc>
        <w:tc>
          <w:tcPr>
            <w:tcW w:w="1276" w:type="dxa"/>
            <w:tcBorders>
              <w:top w:val="nil"/>
            </w:tcBorders>
          </w:tcPr>
          <w:p w14:paraId="7CACF73A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  <w:p w14:paraId="12955952" w14:textId="77777777" w:rsidR="00E40774" w:rsidRPr="000D22A9" w:rsidRDefault="00E40774" w:rsidP="00575D92">
            <w:pPr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2.54 (1.43, 4.49)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6904BFA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  <w:p w14:paraId="68BF573C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2.44 (1.37, 4.36)</w:t>
            </w:r>
          </w:p>
        </w:tc>
        <w:tc>
          <w:tcPr>
            <w:tcW w:w="1275" w:type="dxa"/>
            <w:tcBorders>
              <w:top w:val="nil"/>
            </w:tcBorders>
          </w:tcPr>
          <w:p w14:paraId="0F829974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  <w:p w14:paraId="2045A5E6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2.52 (1.41, 4.50)</w:t>
            </w:r>
          </w:p>
        </w:tc>
        <w:tc>
          <w:tcPr>
            <w:tcW w:w="1418" w:type="dxa"/>
            <w:tcBorders>
              <w:top w:val="nil"/>
            </w:tcBorders>
          </w:tcPr>
          <w:p w14:paraId="2AFA2938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  <w:p w14:paraId="5A0C19D1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2.49 (1.41, 4.41)</w:t>
            </w:r>
          </w:p>
        </w:tc>
        <w:tc>
          <w:tcPr>
            <w:tcW w:w="1276" w:type="dxa"/>
            <w:tcBorders>
              <w:top w:val="nil"/>
            </w:tcBorders>
          </w:tcPr>
          <w:p w14:paraId="1D4743EA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  <w:p w14:paraId="52052B71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2.57 (1.44, 4.61)</w:t>
            </w:r>
          </w:p>
        </w:tc>
      </w:tr>
      <w:tr w:rsidR="00E40774" w:rsidRPr="00767B09" w14:paraId="77187A93" w14:textId="77777777" w:rsidTr="00575D92">
        <w:trPr>
          <w:jc w:val="center"/>
        </w:trPr>
        <w:tc>
          <w:tcPr>
            <w:tcW w:w="1545" w:type="dxa"/>
            <w:hideMark/>
          </w:tcPr>
          <w:p w14:paraId="2F3BC7F2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bookmarkStart w:id="0" w:name="_Hlk110534902"/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Sedentary behavior sub-group (min/day)</w:t>
            </w:r>
            <w:bookmarkEnd w:id="0"/>
          </w:p>
        </w:tc>
        <w:tc>
          <w:tcPr>
            <w:tcW w:w="733" w:type="dxa"/>
          </w:tcPr>
          <w:p w14:paraId="23726037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1266" w:type="dxa"/>
          </w:tcPr>
          <w:p w14:paraId="75E1D486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1276" w:type="dxa"/>
          </w:tcPr>
          <w:p w14:paraId="73A321DF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1276" w:type="dxa"/>
          </w:tcPr>
          <w:p w14:paraId="54575854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1275" w:type="dxa"/>
          </w:tcPr>
          <w:p w14:paraId="35E47325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1418" w:type="dxa"/>
          </w:tcPr>
          <w:p w14:paraId="18222A1C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</w:tc>
        <w:tc>
          <w:tcPr>
            <w:tcW w:w="1276" w:type="dxa"/>
          </w:tcPr>
          <w:p w14:paraId="71B63B93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</w:p>
        </w:tc>
      </w:tr>
      <w:tr w:rsidR="00E40774" w:rsidRPr="00767B09" w14:paraId="7555F3E6" w14:textId="77777777" w:rsidTr="00575D92">
        <w:trPr>
          <w:jc w:val="center"/>
        </w:trPr>
        <w:tc>
          <w:tcPr>
            <w:tcW w:w="1545" w:type="dxa"/>
            <w:hideMark/>
          </w:tcPr>
          <w:p w14:paraId="01234321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90-270</w:t>
            </w:r>
          </w:p>
        </w:tc>
        <w:tc>
          <w:tcPr>
            <w:tcW w:w="733" w:type="dxa"/>
            <w:hideMark/>
          </w:tcPr>
          <w:p w14:paraId="40D307DA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1718</w:t>
            </w:r>
          </w:p>
        </w:tc>
        <w:tc>
          <w:tcPr>
            <w:tcW w:w="1266" w:type="dxa"/>
            <w:vAlign w:val="center"/>
            <w:hideMark/>
          </w:tcPr>
          <w:p w14:paraId="7AE11F3E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Ref.</w:t>
            </w:r>
          </w:p>
        </w:tc>
        <w:tc>
          <w:tcPr>
            <w:tcW w:w="1276" w:type="dxa"/>
            <w:vAlign w:val="center"/>
            <w:hideMark/>
          </w:tcPr>
          <w:p w14:paraId="29788C27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Ref.</w:t>
            </w:r>
          </w:p>
        </w:tc>
        <w:tc>
          <w:tcPr>
            <w:tcW w:w="1276" w:type="dxa"/>
            <w:vAlign w:val="center"/>
            <w:hideMark/>
          </w:tcPr>
          <w:p w14:paraId="10A58D1C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Ref.</w:t>
            </w:r>
          </w:p>
        </w:tc>
        <w:tc>
          <w:tcPr>
            <w:tcW w:w="1275" w:type="dxa"/>
            <w:vAlign w:val="center"/>
            <w:hideMark/>
          </w:tcPr>
          <w:p w14:paraId="3A2335F3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Ref.</w:t>
            </w:r>
          </w:p>
        </w:tc>
        <w:tc>
          <w:tcPr>
            <w:tcW w:w="1418" w:type="dxa"/>
            <w:vAlign w:val="center"/>
            <w:hideMark/>
          </w:tcPr>
          <w:p w14:paraId="73D98FC1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Ref.</w:t>
            </w:r>
          </w:p>
        </w:tc>
        <w:tc>
          <w:tcPr>
            <w:tcW w:w="1276" w:type="dxa"/>
            <w:vAlign w:val="center"/>
          </w:tcPr>
          <w:p w14:paraId="7C6CCF34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Ref.</w:t>
            </w:r>
          </w:p>
        </w:tc>
      </w:tr>
      <w:tr w:rsidR="00E40774" w:rsidRPr="00767B09" w14:paraId="205112B6" w14:textId="77777777" w:rsidTr="00575D92">
        <w:trPr>
          <w:jc w:val="center"/>
        </w:trPr>
        <w:tc>
          <w:tcPr>
            <w:tcW w:w="1545" w:type="dxa"/>
            <w:hideMark/>
          </w:tcPr>
          <w:p w14:paraId="7D7AC20D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300-420</w:t>
            </w:r>
          </w:p>
        </w:tc>
        <w:tc>
          <w:tcPr>
            <w:tcW w:w="733" w:type="dxa"/>
            <w:hideMark/>
          </w:tcPr>
          <w:p w14:paraId="69736488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1540</w:t>
            </w:r>
          </w:p>
        </w:tc>
        <w:tc>
          <w:tcPr>
            <w:tcW w:w="1266" w:type="dxa"/>
            <w:vAlign w:val="center"/>
            <w:hideMark/>
          </w:tcPr>
          <w:p w14:paraId="0AE4A055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1.11 (0.70, 1.77)</w:t>
            </w:r>
          </w:p>
        </w:tc>
        <w:tc>
          <w:tcPr>
            <w:tcW w:w="1276" w:type="dxa"/>
            <w:vAlign w:val="center"/>
            <w:hideMark/>
          </w:tcPr>
          <w:p w14:paraId="7FE79812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1.25 (0.92, 1.70)</w:t>
            </w:r>
          </w:p>
        </w:tc>
        <w:tc>
          <w:tcPr>
            <w:tcW w:w="1276" w:type="dxa"/>
            <w:vAlign w:val="center"/>
            <w:hideMark/>
          </w:tcPr>
          <w:p w14:paraId="72C1D768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1.24 (0.91, 1.69)</w:t>
            </w:r>
          </w:p>
        </w:tc>
        <w:tc>
          <w:tcPr>
            <w:tcW w:w="1275" w:type="dxa"/>
            <w:vAlign w:val="center"/>
            <w:hideMark/>
          </w:tcPr>
          <w:p w14:paraId="1171AE24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 xml:space="preserve">1.25 (0.91, 1.70) </w:t>
            </w:r>
          </w:p>
        </w:tc>
        <w:tc>
          <w:tcPr>
            <w:tcW w:w="1418" w:type="dxa"/>
            <w:vAlign w:val="center"/>
            <w:hideMark/>
          </w:tcPr>
          <w:p w14:paraId="51324A35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 xml:space="preserve">1.23 (0.90, 1.68) </w:t>
            </w:r>
          </w:p>
        </w:tc>
        <w:tc>
          <w:tcPr>
            <w:tcW w:w="1276" w:type="dxa"/>
            <w:vAlign w:val="center"/>
          </w:tcPr>
          <w:p w14:paraId="1155B6C3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 xml:space="preserve">1.25 (0.92, 1.70) </w:t>
            </w:r>
          </w:p>
        </w:tc>
      </w:tr>
      <w:tr w:rsidR="00E40774" w:rsidRPr="00767B09" w14:paraId="7B34EB8B" w14:textId="77777777" w:rsidTr="00575D92">
        <w:trPr>
          <w:jc w:val="center"/>
        </w:trPr>
        <w:tc>
          <w:tcPr>
            <w:tcW w:w="1545" w:type="dxa"/>
            <w:hideMark/>
          </w:tcPr>
          <w:p w14:paraId="6147889D" w14:textId="77777777" w:rsidR="00E40774" w:rsidRPr="000D22A9" w:rsidRDefault="00E40774" w:rsidP="00575D92">
            <w:pPr>
              <w:jc w:val="center"/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b/>
                <w:bCs/>
                <w:color w:val="333333"/>
                <w:kern w:val="0"/>
                <w:sz w:val="15"/>
                <w:szCs w:val="15"/>
              </w:rPr>
              <w:t>480-1320</w:t>
            </w:r>
          </w:p>
        </w:tc>
        <w:tc>
          <w:tcPr>
            <w:tcW w:w="733" w:type="dxa"/>
            <w:hideMark/>
          </w:tcPr>
          <w:p w14:paraId="1050C73B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1947</w:t>
            </w:r>
          </w:p>
        </w:tc>
        <w:tc>
          <w:tcPr>
            <w:tcW w:w="1266" w:type="dxa"/>
            <w:vAlign w:val="center"/>
            <w:hideMark/>
          </w:tcPr>
          <w:p w14:paraId="05F7CDE5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1.65 (1.07, 2.52)</w:t>
            </w:r>
          </w:p>
        </w:tc>
        <w:tc>
          <w:tcPr>
            <w:tcW w:w="1276" w:type="dxa"/>
            <w:vAlign w:val="center"/>
            <w:hideMark/>
          </w:tcPr>
          <w:p w14:paraId="0EA28B28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1.71 (1.27, 2.30)</w:t>
            </w:r>
          </w:p>
        </w:tc>
        <w:tc>
          <w:tcPr>
            <w:tcW w:w="1276" w:type="dxa"/>
            <w:vAlign w:val="center"/>
            <w:hideMark/>
          </w:tcPr>
          <w:p w14:paraId="0CC14385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1.71 (1.26, 2.31)</w:t>
            </w:r>
          </w:p>
        </w:tc>
        <w:tc>
          <w:tcPr>
            <w:tcW w:w="1275" w:type="dxa"/>
            <w:vAlign w:val="center"/>
            <w:hideMark/>
          </w:tcPr>
          <w:p w14:paraId="6D47EB74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1.72 (1.27, 2.32)</w:t>
            </w:r>
          </w:p>
        </w:tc>
        <w:tc>
          <w:tcPr>
            <w:tcW w:w="1418" w:type="dxa"/>
            <w:vAlign w:val="center"/>
            <w:hideMark/>
          </w:tcPr>
          <w:p w14:paraId="7B20AC6F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1.69 (1.26, 2.27)</w:t>
            </w:r>
          </w:p>
        </w:tc>
        <w:tc>
          <w:tcPr>
            <w:tcW w:w="1276" w:type="dxa"/>
            <w:vAlign w:val="center"/>
          </w:tcPr>
          <w:p w14:paraId="2F8422B9" w14:textId="77777777" w:rsidR="00E40774" w:rsidRPr="000D22A9" w:rsidRDefault="00E40774" w:rsidP="00575D92">
            <w:pPr>
              <w:jc w:val="center"/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</w:pPr>
            <w:r w:rsidRPr="000D22A9">
              <w:rPr>
                <w:rFonts w:eastAsia="宋体" w:cs="Times New Roman"/>
                <w:color w:val="333333"/>
                <w:kern w:val="0"/>
                <w:sz w:val="15"/>
                <w:szCs w:val="15"/>
              </w:rPr>
              <w:t>1.72 (1.27, 2.32)</w:t>
            </w:r>
          </w:p>
        </w:tc>
      </w:tr>
    </w:tbl>
    <w:p w14:paraId="7FDD41AD" w14:textId="22D7A3FB" w:rsidR="00D61429" w:rsidRPr="00081523" w:rsidRDefault="00D61429" w:rsidP="00D61429">
      <w:pPr>
        <w:spacing w:line="480" w:lineRule="auto"/>
        <w:rPr>
          <w:rFonts w:eastAsia="宋体" w:cs="Times New Roman"/>
          <w:color w:val="333333"/>
          <w:kern w:val="0"/>
          <w:sz w:val="18"/>
          <w:szCs w:val="18"/>
        </w:rPr>
      </w:pPr>
      <w:r w:rsidRPr="00081523">
        <w:rPr>
          <w:rFonts w:cs="Times New Roman"/>
          <w:sz w:val="18"/>
          <w:szCs w:val="18"/>
        </w:rPr>
        <w:t>Note: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 xml:space="preserve"> Ref, reference. OR, Odds ratio. 95% CI</w:t>
      </w:r>
      <w:r>
        <w:rPr>
          <w:rFonts w:eastAsia="宋体" w:cs="Times New Roman"/>
          <w:color w:val="333333"/>
          <w:kern w:val="0"/>
          <w:sz w:val="18"/>
          <w:szCs w:val="18"/>
        </w:rPr>
        <w:t>,</w:t>
      </w:r>
      <w:r>
        <w:rPr>
          <w:rFonts w:eastAsia="宋体" w:cs="Times New Roman" w:hint="eastAsia"/>
          <w:color w:val="333333"/>
          <w:kern w:val="0"/>
          <w:sz w:val="18"/>
          <w:szCs w:val="18"/>
        </w:rPr>
        <w:t xml:space="preserve"> 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95% confidence interval</w:t>
      </w:r>
      <w:r w:rsidRPr="00081523">
        <w:rPr>
          <w:rFonts w:eastAsia="宋体" w:cs="Times New Roman"/>
          <w:b/>
          <w:bCs/>
          <w:color w:val="333333"/>
          <w:kern w:val="0"/>
          <w:sz w:val="15"/>
          <w:szCs w:val="15"/>
        </w:rPr>
        <w:t xml:space="preserve">. 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 xml:space="preserve">Data in </w:t>
      </w:r>
      <w:r w:rsidR="00EF39B3">
        <w:rPr>
          <w:rFonts w:eastAsia="宋体" w:cs="Times New Roman"/>
          <w:color w:val="333333"/>
          <w:kern w:val="0"/>
          <w:sz w:val="18"/>
          <w:szCs w:val="18"/>
        </w:rPr>
        <w:t xml:space="preserve">the 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 xml:space="preserve">model </w:t>
      </w:r>
      <w:r>
        <w:rPr>
          <w:rFonts w:eastAsia="宋体" w:cs="Times New Roman"/>
          <w:color w:val="333333"/>
          <w:kern w:val="0"/>
          <w:sz w:val="18"/>
          <w:szCs w:val="18"/>
        </w:rPr>
        <w:t xml:space="preserve">was adjusted for age, 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sex, race, education, marital status, poverty index ratio, smoking status, alcohol consumption status, employment status</w:t>
      </w:r>
      <w:r>
        <w:rPr>
          <w:rFonts w:eastAsia="宋体" w:cs="Times New Roman"/>
          <w:color w:val="333333"/>
          <w:kern w:val="0"/>
          <w:sz w:val="18"/>
          <w:szCs w:val="18"/>
        </w:rPr>
        <w:t>, BMI (Kg/m</w:t>
      </w:r>
      <w:r w:rsidRPr="00EF7C2E">
        <w:rPr>
          <w:rFonts w:eastAsia="宋体" w:cs="Times New Roman"/>
          <w:color w:val="333333"/>
          <w:kern w:val="0"/>
          <w:sz w:val="18"/>
          <w:szCs w:val="18"/>
          <w:vertAlign w:val="superscript"/>
        </w:rPr>
        <w:t>2</w:t>
      </w:r>
      <w:r>
        <w:rPr>
          <w:rFonts w:eastAsia="宋体" w:cs="Times New Roman"/>
          <w:color w:val="333333"/>
          <w:kern w:val="0"/>
          <w:sz w:val="18"/>
          <w:szCs w:val="18"/>
        </w:rPr>
        <w:t>), eGFR</w:t>
      </w:r>
      <w:r w:rsidRPr="00081523">
        <w:rPr>
          <w:rFonts w:eastAsia="宋体" w:cs="Times New Roman" w:hint="eastAsia"/>
          <w:color w:val="333333"/>
          <w:kern w:val="0"/>
          <w:sz w:val="18"/>
          <w:szCs w:val="18"/>
        </w:rPr>
        <w:t xml:space="preserve"> (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ml/min</w:t>
      </w:r>
      <w:r w:rsidR="00465803">
        <w:rPr>
          <w:rFonts w:eastAsia="宋体" w:cs="Times New Roman"/>
          <w:color w:val="333333"/>
          <w:kern w:val="0"/>
          <w:sz w:val="18"/>
          <w:szCs w:val="18"/>
        </w:rPr>
        <w:t>)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 xml:space="preserve">, </w:t>
      </w:r>
      <w:r>
        <w:rPr>
          <w:rFonts w:eastAsia="宋体" w:cs="Times New Roman"/>
          <w:color w:val="333333"/>
          <w:kern w:val="0"/>
          <w:sz w:val="18"/>
          <w:szCs w:val="18"/>
        </w:rPr>
        <w:t>U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ACR</w:t>
      </w:r>
      <w:r w:rsidRPr="00081523">
        <w:rPr>
          <w:rFonts w:eastAsia="宋体" w:cs="Times New Roman" w:hint="eastAsia"/>
          <w:color w:val="333333"/>
          <w:kern w:val="0"/>
          <w:sz w:val="18"/>
          <w:szCs w:val="18"/>
        </w:rPr>
        <w:t xml:space="preserve"> (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mg/g</w:t>
      </w:r>
      <w:r w:rsidRPr="00081523">
        <w:rPr>
          <w:rFonts w:eastAsia="宋体" w:cs="Times New Roman" w:hint="eastAsia"/>
          <w:color w:val="333333"/>
          <w:kern w:val="0"/>
          <w:sz w:val="18"/>
          <w:szCs w:val="18"/>
        </w:rPr>
        <w:t>)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, hypertension,</w:t>
      </w:r>
      <w:r w:rsidR="009A0839">
        <w:rPr>
          <w:rFonts w:eastAsia="宋体" w:cs="Times New Roman"/>
          <w:color w:val="333333"/>
          <w:kern w:val="0"/>
          <w:sz w:val="18"/>
          <w:szCs w:val="18"/>
        </w:rPr>
        <w:t xml:space="preserve"> 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diabetes, walk</w:t>
      </w:r>
      <w:r>
        <w:rPr>
          <w:rFonts w:eastAsia="宋体" w:cs="Times New Roman"/>
          <w:color w:val="333333"/>
          <w:kern w:val="0"/>
          <w:sz w:val="18"/>
          <w:szCs w:val="18"/>
        </w:rPr>
        <w:t xml:space="preserve">ing or 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cycling for transportation</w:t>
      </w:r>
      <w:r w:rsidR="00465803">
        <w:rPr>
          <w:rFonts w:eastAsia="宋体" w:cs="Times New Roman"/>
          <w:color w:val="333333"/>
          <w:kern w:val="0"/>
          <w:sz w:val="18"/>
          <w:szCs w:val="18"/>
        </w:rPr>
        <w:t>(min/week),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 xml:space="preserve"> work activity(min/week), </w:t>
      </w:r>
      <w:r>
        <w:rPr>
          <w:rFonts w:eastAsia="宋体" w:cs="Times New Roman"/>
          <w:color w:val="333333"/>
          <w:kern w:val="0"/>
          <w:sz w:val="18"/>
          <w:szCs w:val="18"/>
        </w:rPr>
        <w:t>and recreational activity(min/week)</w:t>
      </w:r>
      <w:r w:rsidRPr="00081523">
        <w:rPr>
          <w:rFonts w:eastAsia="宋体" w:cs="Times New Roman"/>
          <w:color w:val="333333"/>
          <w:kern w:val="0"/>
          <w:sz w:val="18"/>
          <w:szCs w:val="18"/>
        </w:rPr>
        <w:t>.</w:t>
      </w:r>
    </w:p>
    <w:p w14:paraId="66256BEF" w14:textId="6AB6BF7E" w:rsidR="00C7632F" w:rsidRPr="00D61429" w:rsidRDefault="00C7632F" w:rsidP="00D61429"/>
    <w:sectPr w:rsidR="00C7632F" w:rsidRPr="00D614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B9F0D" w14:textId="77777777" w:rsidR="00517AAF" w:rsidRDefault="00517AAF" w:rsidP="00D3189C">
      <w:r>
        <w:separator/>
      </w:r>
    </w:p>
  </w:endnote>
  <w:endnote w:type="continuationSeparator" w:id="0">
    <w:p w14:paraId="59F019A5" w14:textId="77777777" w:rsidR="00517AAF" w:rsidRDefault="00517AAF" w:rsidP="00D31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6DE2E" w14:textId="77777777" w:rsidR="00517AAF" w:rsidRDefault="00517AAF" w:rsidP="00D3189C">
      <w:r>
        <w:separator/>
      </w:r>
    </w:p>
  </w:footnote>
  <w:footnote w:type="continuationSeparator" w:id="0">
    <w:p w14:paraId="310DE177" w14:textId="77777777" w:rsidR="00517AAF" w:rsidRDefault="00517AAF" w:rsidP="00D31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40"/>
    <w:rsid w:val="000D22A9"/>
    <w:rsid w:val="00125E4F"/>
    <w:rsid w:val="00150E1C"/>
    <w:rsid w:val="002D139C"/>
    <w:rsid w:val="00465803"/>
    <w:rsid w:val="00517AAF"/>
    <w:rsid w:val="00523B05"/>
    <w:rsid w:val="00582D71"/>
    <w:rsid w:val="009069C0"/>
    <w:rsid w:val="009A0839"/>
    <w:rsid w:val="009A3BD9"/>
    <w:rsid w:val="00AA6040"/>
    <w:rsid w:val="00BA2A73"/>
    <w:rsid w:val="00C03001"/>
    <w:rsid w:val="00C7632F"/>
    <w:rsid w:val="00D3189C"/>
    <w:rsid w:val="00D61429"/>
    <w:rsid w:val="00E40774"/>
    <w:rsid w:val="00EF39B3"/>
    <w:rsid w:val="00F4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4D79E"/>
  <w15:chartTrackingRefBased/>
  <w15:docId w15:val="{8A261008-F9AB-4063-AF28-9E21D796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89C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18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189C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189C"/>
    <w:rPr>
      <w:sz w:val="18"/>
      <w:szCs w:val="18"/>
    </w:rPr>
  </w:style>
  <w:style w:type="table" w:styleId="a7">
    <w:name w:val="Table Grid"/>
    <w:basedOn w:val="a1"/>
    <w:uiPriority w:val="39"/>
    <w:rsid w:val="00D31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lin</dc:creator>
  <cp:keywords/>
  <dc:description/>
  <cp:lastModifiedBy>liu lin</cp:lastModifiedBy>
  <cp:revision>10</cp:revision>
  <dcterms:created xsi:type="dcterms:W3CDTF">2023-02-11T15:03:00Z</dcterms:created>
  <dcterms:modified xsi:type="dcterms:W3CDTF">2023-03-07T09:51:00Z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d15c250726588af711dd115e5e90314409bc2364e42123619505e15235926e5e</vt:lpwstr>
  </property>
</Properties>
</file>