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8FB4C" w14:textId="3B508506" w:rsidR="00B4671D" w:rsidRPr="009F08A4" w:rsidRDefault="00B4671D" w:rsidP="00B4671D">
      <w:pPr>
        <w:rPr>
          <w:b/>
          <w:bCs/>
          <w:u w:val="single"/>
        </w:rPr>
      </w:pPr>
      <w:r w:rsidRPr="009F08A4">
        <w:rPr>
          <w:b/>
          <w:bCs/>
          <w:u w:val="single"/>
        </w:rPr>
        <w:t>Data summary of 25 aetiology studies</w:t>
      </w:r>
    </w:p>
    <w:tbl>
      <w:tblPr>
        <w:tblStyle w:val="TableGrid"/>
        <w:tblW w:w="976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502"/>
        <w:gridCol w:w="1502"/>
        <w:gridCol w:w="3644"/>
        <w:gridCol w:w="2126"/>
        <w:gridCol w:w="992"/>
      </w:tblGrid>
      <w:tr w:rsidR="00B4671D" w14:paraId="3F27DADD" w14:textId="77777777" w:rsidTr="00CD45B8">
        <w:tc>
          <w:tcPr>
            <w:tcW w:w="1502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111D7358" w14:textId="77777777" w:rsidR="00B4671D" w:rsidRPr="00961360" w:rsidRDefault="00B4671D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61360">
              <w:rPr>
                <w:rFonts w:cstheme="minorHAnsi"/>
                <w:b/>
                <w:bCs/>
                <w:sz w:val="18"/>
                <w:szCs w:val="18"/>
              </w:rPr>
              <w:t>Author &amp; Year</w:t>
            </w:r>
          </w:p>
        </w:tc>
        <w:tc>
          <w:tcPr>
            <w:tcW w:w="1502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31DEBD8D" w14:textId="77777777" w:rsidR="00B4671D" w:rsidRPr="00961360" w:rsidRDefault="00B4671D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61360">
              <w:rPr>
                <w:rFonts w:cstheme="minorHAnsi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3644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491AA81C" w14:textId="77777777" w:rsidR="00B4671D" w:rsidRPr="00961360" w:rsidRDefault="00B4671D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61360">
              <w:rPr>
                <w:rFonts w:cstheme="minorHAnsi"/>
                <w:b/>
                <w:bCs/>
                <w:sz w:val="18"/>
                <w:szCs w:val="18"/>
              </w:rPr>
              <w:t>Data type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presented</w:t>
            </w:r>
            <w:r w:rsidRPr="00961360">
              <w:rPr>
                <w:rFonts w:cstheme="minorHAnsi"/>
                <w:b/>
                <w:bCs/>
                <w:sz w:val="18"/>
                <w:szCs w:val="18"/>
              </w:rPr>
              <w:t xml:space="preserve"> &amp; collection method</w:t>
            </w:r>
          </w:p>
        </w:tc>
        <w:tc>
          <w:tcPr>
            <w:tcW w:w="2126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1EB00481" w14:textId="77777777" w:rsidR="00B4671D" w:rsidRPr="00961360" w:rsidRDefault="00B4671D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61360">
              <w:rPr>
                <w:rFonts w:cstheme="minorHAnsi"/>
                <w:b/>
                <w:bCs/>
                <w:sz w:val="18"/>
                <w:szCs w:val="18"/>
              </w:rPr>
              <w:t>D</w:t>
            </w:r>
            <w:r>
              <w:rPr>
                <w:rFonts w:cstheme="minorHAnsi"/>
                <w:b/>
                <w:bCs/>
                <w:sz w:val="18"/>
                <w:szCs w:val="18"/>
              </w:rPr>
              <w:t>rug-related problem</w:t>
            </w:r>
          </w:p>
        </w:tc>
        <w:tc>
          <w:tcPr>
            <w:tcW w:w="992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shd w:val="clear" w:color="auto" w:fill="000000" w:themeFill="text1"/>
            <w:vAlign w:val="center"/>
          </w:tcPr>
          <w:p w14:paraId="61A98388" w14:textId="77777777" w:rsidR="00B4671D" w:rsidRPr="00961360" w:rsidRDefault="00B4671D" w:rsidP="00CD45B8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961360">
              <w:rPr>
                <w:rFonts w:cstheme="minorHAnsi"/>
                <w:b/>
                <w:bCs/>
                <w:sz w:val="18"/>
                <w:szCs w:val="18"/>
              </w:rPr>
              <w:t>Aetiology data type</w:t>
            </w:r>
          </w:p>
        </w:tc>
      </w:tr>
      <w:tr w:rsidR="00B4671D" w14:paraId="43F29BC0" w14:textId="77777777" w:rsidTr="00CD45B8">
        <w:tc>
          <w:tcPr>
            <w:tcW w:w="1502" w:type="dxa"/>
            <w:tcBorders>
              <w:top w:val="single" w:sz="12" w:space="0" w:color="FFFFFF" w:themeColor="background1"/>
            </w:tcBorders>
            <w:vAlign w:val="center"/>
          </w:tcPr>
          <w:p w14:paraId="77041DA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D. Wucherer et al. (2017)</w:t>
            </w:r>
          </w:p>
        </w:tc>
        <w:tc>
          <w:tcPr>
            <w:tcW w:w="1502" w:type="dxa"/>
            <w:tcBorders>
              <w:top w:val="single" w:sz="12" w:space="0" w:color="FFFFFF" w:themeColor="background1"/>
            </w:tcBorders>
            <w:vAlign w:val="center"/>
          </w:tcPr>
          <w:p w14:paraId="73F3B4C3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3644" w:type="dxa"/>
            <w:tcBorders>
              <w:top w:val="single" w:sz="12" w:space="0" w:color="FFFFFF" w:themeColor="background1"/>
            </w:tcBorders>
            <w:vAlign w:val="center"/>
          </w:tcPr>
          <w:p w14:paraId="676A9626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Quantitative – medication review</w:t>
            </w:r>
          </w:p>
        </w:tc>
        <w:tc>
          <w:tcPr>
            <w:tcW w:w="2126" w:type="dxa"/>
            <w:tcBorders>
              <w:top w:val="single" w:sz="12" w:space="0" w:color="FFFFFF" w:themeColor="background1"/>
            </w:tcBorders>
            <w:vAlign w:val="center"/>
          </w:tcPr>
          <w:p w14:paraId="7F0F0CA3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961360">
              <w:rPr>
                <w:rFonts w:cstheme="minorHAnsi"/>
                <w:sz w:val="18"/>
                <w:szCs w:val="18"/>
              </w:rPr>
              <w:t>ADE</w:t>
            </w:r>
          </w:p>
          <w:p w14:paraId="7F64CB7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961360">
              <w:rPr>
                <w:rFonts w:cstheme="minorHAnsi"/>
                <w:sz w:val="18"/>
                <w:szCs w:val="18"/>
              </w:rPr>
              <w:t>ME (DDI)</w:t>
            </w:r>
          </w:p>
        </w:tc>
        <w:tc>
          <w:tcPr>
            <w:tcW w:w="992" w:type="dxa"/>
            <w:tcBorders>
              <w:top w:val="single" w:sz="12" w:space="0" w:color="FFFFFF" w:themeColor="background1"/>
            </w:tcBorders>
            <w:vAlign w:val="center"/>
          </w:tcPr>
          <w:p w14:paraId="58DD7C33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Risk factor</w:t>
            </w:r>
          </w:p>
        </w:tc>
      </w:tr>
      <w:tr w:rsidR="00B4671D" w14:paraId="34930F69" w14:textId="77777777" w:rsidTr="00CD45B8">
        <w:tc>
          <w:tcPr>
            <w:tcW w:w="1502" w:type="dxa"/>
            <w:vAlign w:val="center"/>
          </w:tcPr>
          <w:p w14:paraId="4D4DEBD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S. C. Woodward et al. (2016)</w:t>
            </w:r>
          </w:p>
        </w:tc>
        <w:tc>
          <w:tcPr>
            <w:tcW w:w="1502" w:type="dxa"/>
            <w:vAlign w:val="center"/>
          </w:tcPr>
          <w:p w14:paraId="415C8D5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Australia</w:t>
            </w:r>
          </w:p>
        </w:tc>
        <w:tc>
          <w:tcPr>
            <w:tcW w:w="3644" w:type="dxa"/>
            <w:vAlign w:val="center"/>
          </w:tcPr>
          <w:p w14:paraId="16A60E7B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Quantitative – online survey</w:t>
            </w:r>
          </w:p>
        </w:tc>
        <w:tc>
          <w:tcPr>
            <w:tcW w:w="2126" w:type="dxa"/>
            <w:vAlign w:val="center"/>
          </w:tcPr>
          <w:p w14:paraId="7B86450B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6913B852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2EAB93BF" w14:textId="77777777" w:rsidTr="00CD45B8">
        <w:tc>
          <w:tcPr>
            <w:tcW w:w="1502" w:type="dxa"/>
            <w:vAlign w:val="center"/>
          </w:tcPr>
          <w:p w14:paraId="08C2FF06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M. Jaffray et al. (2014)</w:t>
            </w:r>
          </w:p>
        </w:tc>
        <w:tc>
          <w:tcPr>
            <w:tcW w:w="1502" w:type="dxa"/>
            <w:vAlign w:val="center"/>
          </w:tcPr>
          <w:p w14:paraId="3BBE2E6B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Scotland (UK)</w:t>
            </w:r>
          </w:p>
        </w:tc>
        <w:tc>
          <w:tcPr>
            <w:tcW w:w="3644" w:type="dxa"/>
            <w:vAlign w:val="center"/>
          </w:tcPr>
          <w:p w14:paraId="0A07A34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Qualitative – interview</w:t>
            </w:r>
          </w:p>
        </w:tc>
        <w:tc>
          <w:tcPr>
            <w:tcW w:w="2126" w:type="dxa"/>
            <w:vAlign w:val="center"/>
          </w:tcPr>
          <w:p w14:paraId="620F9D8D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0C1C245C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74E47472" w14:textId="77777777" w:rsidTr="00CD45B8">
        <w:tc>
          <w:tcPr>
            <w:tcW w:w="1502" w:type="dxa"/>
            <w:vAlign w:val="center"/>
          </w:tcPr>
          <w:p w14:paraId="074FD45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K. Demyttenaere et al. (2001)</w:t>
            </w:r>
          </w:p>
        </w:tc>
        <w:tc>
          <w:tcPr>
            <w:tcW w:w="1502" w:type="dxa"/>
            <w:vAlign w:val="center"/>
          </w:tcPr>
          <w:p w14:paraId="1C90D74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Belgium</w:t>
            </w:r>
          </w:p>
        </w:tc>
        <w:tc>
          <w:tcPr>
            <w:tcW w:w="3644" w:type="dxa"/>
            <w:vAlign w:val="center"/>
          </w:tcPr>
          <w:p w14:paraId="7BA0A7CB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Mixed – questionnaire</w:t>
            </w:r>
            <w:r>
              <w:rPr>
                <w:rFonts w:cstheme="minorHAnsi"/>
                <w:sz w:val="18"/>
                <w:szCs w:val="18"/>
              </w:rPr>
              <w:t xml:space="preserve"> &amp; </w:t>
            </w:r>
            <w:r w:rsidRPr="00961360">
              <w:rPr>
                <w:rFonts w:cstheme="minorHAnsi"/>
                <w:sz w:val="18"/>
                <w:szCs w:val="18"/>
              </w:rPr>
              <w:t>telephone interview</w:t>
            </w:r>
          </w:p>
        </w:tc>
        <w:tc>
          <w:tcPr>
            <w:tcW w:w="2126" w:type="dxa"/>
            <w:vAlign w:val="center"/>
          </w:tcPr>
          <w:p w14:paraId="5D521C7E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321BF075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0F71EC96" w14:textId="77777777" w:rsidTr="00CD45B8">
        <w:tc>
          <w:tcPr>
            <w:tcW w:w="1502" w:type="dxa"/>
            <w:vAlign w:val="center"/>
          </w:tcPr>
          <w:p w14:paraId="7B541F3D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L. Guillaumie et al. (2015)</w:t>
            </w:r>
          </w:p>
        </w:tc>
        <w:tc>
          <w:tcPr>
            <w:tcW w:w="1502" w:type="dxa"/>
            <w:vAlign w:val="center"/>
          </w:tcPr>
          <w:p w14:paraId="653F61AA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Canada</w:t>
            </w:r>
          </w:p>
        </w:tc>
        <w:tc>
          <w:tcPr>
            <w:tcW w:w="3644" w:type="dxa"/>
            <w:vAlign w:val="center"/>
          </w:tcPr>
          <w:p w14:paraId="4B92B65C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Qualitative – focus group</w:t>
            </w:r>
          </w:p>
        </w:tc>
        <w:tc>
          <w:tcPr>
            <w:tcW w:w="2126" w:type="dxa"/>
            <w:vAlign w:val="center"/>
          </w:tcPr>
          <w:p w14:paraId="566ACE13" w14:textId="77777777" w:rsidR="00B4671D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 w:rsidRPr="00961360">
              <w:rPr>
                <w:rFonts w:cstheme="minorHAnsi"/>
                <w:sz w:val="18"/>
                <w:szCs w:val="18"/>
              </w:rPr>
              <w:t>Non-adherence</w:t>
            </w:r>
          </w:p>
          <w:p w14:paraId="5A7082E5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CF62E6">
              <w:rPr>
                <w:rFonts w:cstheme="minorHAnsi"/>
                <w:color w:val="000000"/>
                <w:sz w:val="18"/>
                <w:szCs w:val="18"/>
              </w:rPr>
              <w:t>●</w:t>
            </w:r>
            <w:r>
              <w:rPr>
                <w:rFonts w:cstheme="minorHAnsi"/>
                <w:sz w:val="18"/>
                <w:szCs w:val="18"/>
              </w:rPr>
              <w:t>ME (Monitoring)</w:t>
            </w:r>
          </w:p>
        </w:tc>
        <w:tc>
          <w:tcPr>
            <w:tcW w:w="992" w:type="dxa"/>
            <w:vAlign w:val="center"/>
          </w:tcPr>
          <w:p w14:paraId="295A7CC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61F10FAF" w14:textId="77777777" w:rsidTr="00CD45B8">
        <w:tc>
          <w:tcPr>
            <w:tcW w:w="1502" w:type="dxa"/>
            <w:vAlign w:val="center"/>
          </w:tcPr>
          <w:p w14:paraId="208DE77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L. Kalimashe et al. (2021)</w:t>
            </w:r>
          </w:p>
        </w:tc>
        <w:tc>
          <w:tcPr>
            <w:tcW w:w="1502" w:type="dxa"/>
            <w:vAlign w:val="center"/>
          </w:tcPr>
          <w:p w14:paraId="7EF6C508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South Africa</w:t>
            </w:r>
          </w:p>
        </w:tc>
        <w:tc>
          <w:tcPr>
            <w:tcW w:w="3644" w:type="dxa"/>
            <w:vAlign w:val="center"/>
          </w:tcPr>
          <w:p w14:paraId="5BF1B233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Quantitative – questionnaire</w:t>
            </w:r>
          </w:p>
        </w:tc>
        <w:tc>
          <w:tcPr>
            <w:tcW w:w="2126" w:type="dxa"/>
            <w:vAlign w:val="center"/>
          </w:tcPr>
          <w:p w14:paraId="624E36C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6D9756FD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2C0213B5" w14:textId="77777777" w:rsidTr="00CD45B8">
        <w:tc>
          <w:tcPr>
            <w:tcW w:w="1502" w:type="dxa"/>
            <w:vAlign w:val="center"/>
          </w:tcPr>
          <w:p w14:paraId="77F39C7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P. Saini et al. (2018)</w:t>
            </w:r>
          </w:p>
        </w:tc>
        <w:tc>
          <w:tcPr>
            <w:tcW w:w="1502" w:type="dxa"/>
            <w:vAlign w:val="center"/>
          </w:tcPr>
          <w:p w14:paraId="57C57C28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</w:t>
            </w:r>
          </w:p>
        </w:tc>
        <w:tc>
          <w:tcPr>
            <w:tcW w:w="3644" w:type="dxa"/>
            <w:vAlign w:val="center"/>
          </w:tcPr>
          <w:p w14:paraId="4E38F3F4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 xml:space="preserve">Qualitative – </w:t>
            </w:r>
            <w:r>
              <w:rPr>
                <w:rFonts w:cstheme="minorHAnsi"/>
                <w:sz w:val="18"/>
                <w:szCs w:val="18"/>
              </w:rPr>
              <w:t xml:space="preserve">medical records &amp; </w:t>
            </w:r>
            <w:r w:rsidRPr="00961360">
              <w:rPr>
                <w:rFonts w:cstheme="minorHAnsi"/>
                <w:sz w:val="18"/>
                <w:szCs w:val="18"/>
              </w:rPr>
              <w:t>interview</w:t>
            </w:r>
          </w:p>
        </w:tc>
        <w:tc>
          <w:tcPr>
            <w:tcW w:w="2126" w:type="dxa"/>
            <w:vAlign w:val="center"/>
          </w:tcPr>
          <w:p w14:paraId="79F3C748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183107B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037E221B" w14:textId="77777777" w:rsidTr="00CD45B8">
        <w:tc>
          <w:tcPr>
            <w:tcW w:w="1502" w:type="dxa"/>
            <w:vAlign w:val="center"/>
          </w:tcPr>
          <w:p w14:paraId="66BAD5E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I. D. Maidment et al. (2017)</w:t>
            </w:r>
          </w:p>
        </w:tc>
        <w:tc>
          <w:tcPr>
            <w:tcW w:w="1502" w:type="dxa"/>
            <w:vAlign w:val="center"/>
          </w:tcPr>
          <w:p w14:paraId="28ABEB63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</w:t>
            </w:r>
          </w:p>
        </w:tc>
        <w:tc>
          <w:tcPr>
            <w:tcW w:w="3644" w:type="dxa"/>
            <w:vAlign w:val="center"/>
          </w:tcPr>
          <w:p w14:paraId="6671F5DA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Qualitative – interview</w:t>
            </w:r>
          </w:p>
        </w:tc>
        <w:tc>
          <w:tcPr>
            <w:tcW w:w="2126" w:type="dxa"/>
            <w:vAlign w:val="center"/>
          </w:tcPr>
          <w:p w14:paraId="3CF19193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1A6A850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630AE4F3" w14:textId="77777777" w:rsidTr="00CD45B8">
        <w:tc>
          <w:tcPr>
            <w:tcW w:w="1502" w:type="dxa"/>
            <w:vAlign w:val="center"/>
          </w:tcPr>
          <w:p w14:paraId="18EF210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J. C. Fortney et al. (2011)</w:t>
            </w:r>
          </w:p>
        </w:tc>
        <w:tc>
          <w:tcPr>
            <w:tcW w:w="1502" w:type="dxa"/>
            <w:vAlign w:val="center"/>
          </w:tcPr>
          <w:p w14:paraId="28D1E9D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1805E6EE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Mixed – pharmacy records &amp; interview</w:t>
            </w:r>
          </w:p>
        </w:tc>
        <w:tc>
          <w:tcPr>
            <w:tcW w:w="2126" w:type="dxa"/>
            <w:vAlign w:val="center"/>
          </w:tcPr>
          <w:p w14:paraId="357906E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7F0AF94C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37A3107D" w14:textId="77777777" w:rsidTr="00CD45B8">
        <w:tc>
          <w:tcPr>
            <w:tcW w:w="1502" w:type="dxa"/>
            <w:vAlign w:val="center"/>
          </w:tcPr>
          <w:p w14:paraId="33FE205C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J. E. Aikens et al. (2005)</w:t>
            </w:r>
          </w:p>
        </w:tc>
        <w:tc>
          <w:tcPr>
            <w:tcW w:w="1502" w:type="dxa"/>
            <w:vAlign w:val="center"/>
          </w:tcPr>
          <w:p w14:paraId="372C3A58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36C7226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 xml:space="preserve">Quantitative - </w:t>
            </w:r>
            <w:r>
              <w:rPr>
                <w:rFonts w:cstheme="minorHAnsi"/>
                <w:color w:val="000000"/>
                <w:sz w:val="18"/>
                <w:szCs w:val="18"/>
              </w:rPr>
              <w:t>questionnaire</w:t>
            </w:r>
          </w:p>
        </w:tc>
        <w:tc>
          <w:tcPr>
            <w:tcW w:w="2126" w:type="dxa"/>
            <w:vAlign w:val="center"/>
          </w:tcPr>
          <w:p w14:paraId="107F9A7E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0A569BC8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Risk factor</w:t>
            </w:r>
          </w:p>
        </w:tc>
      </w:tr>
      <w:tr w:rsidR="00B4671D" w14:paraId="1D8D2617" w14:textId="77777777" w:rsidTr="00CD45B8">
        <w:tc>
          <w:tcPr>
            <w:tcW w:w="1502" w:type="dxa"/>
            <w:vAlign w:val="center"/>
          </w:tcPr>
          <w:p w14:paraId="05BC542B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P. H. Noel et al. (2005)</w:t>
            </w:r>
          </w:p>
        </w:tc>
        <w:tc>
          <w:tcPr>
            <w:tcW w:w="1502" w:type="dxa"/>
            <w:vAlign w:val="center"/>
          </w:tcPr>
          <w:p w14:paraId="24F5B76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0189FD0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Quantitative - questionnaire</w:t>
            </w:r>
          </w:p>
        </w:tc>
        <w:tc>
          <w:tcPr>
            <w:tcW w:w="2126" w:type="dxa"/>
            <w:vAlign w:val="center"/>
          </w:tcPr>
          <w:p w14:paraId="25BDC79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7C9FE7D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Risk factor</w:t>
            </w:r>
          </w:p>
        </w:tc>
      </w:tr>
      <w:tr w:rsidR="00B4671D" w14:paraId="2B34226D" w14:textId="77777777" w:rsidTr="00CD45B8">
        <w:tc>
          <w:tcPr>
            <w:tcW w:w="1502" w:type="dxa"/>
            <w:vAlign w:val="center"/>
          </w:tcPr>
          <w:p w14:paraId="4AFB047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M. B. Tamburrino et al. (2009)</w:t>
            </w:r>
          </w:p>
        </w:tc>
        <w:tc>
          <w:tcPr>
            <w:tcW w:w="1502" w:type="dxa"/>
            <w:vAlign w:val="center"/>
          </w:tcPr>
          <w:p w14:paraId="1AE72758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30DD13D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 xml:space="preserve">Quantitative - </w:t>
            </w:r>
            <w:r>
              <w:rPr>
                <w:rFonts w:cstheme="minorHAnsi"/>
                <w:color w:val="000000"/>
                <w:sz w:val="18"/>
                <w:szCs w:val="18"/>
              </w:rPr>
              <w:t>questionnaire</w:t>
            </w:r>
          </w:p>
        </w:tc>
        <w:tc>
          <w:tcPr>
            <w:tcW w:w="2126" w:type="dxa"/>
            <w:vAlign w:val="center"/>
          </w:tcPr>
          <w:p w14:paraId="2C4EF3C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6BEAD682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36D99492" w14:textId="77777777" w:rsidTr="00CD45B8">
        <w:tc>
          <w:tcPr>
            <w:tcW w:w="1502" w:type="dxa"/>
            <w:vAlign w:val="center"/>
          </w:tcPr>
          <w:p w14:paraId="0A198A5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J. A. Bates et al. (2010)</w:t>
            </w:r>
          </w:p>
        </w:tc>
        <w:tc>
          <w:tcPr>
            <w:tcW w:w="1502" w:type="dxa"/>
            <w:vAlign w:val="center"/>
          </w:tcPr>
          <w:p w14:paraId="10DCDDD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04361C8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 xml:space="preserve">Quantitative - </w:t>
            </w:r>
            <w:r>
              <w:rPr>
                <w:rFonts w:cstheme="minorHAnsi"/>
                <w:color w:val="000000"/>
                <w:sz w:val="18"/>
                <w:szCs w:val="18"/>
              </w:rPr>
              <w:t>questionnaire</w:t>
            </w:r>
          </w:p>
        </w:tc>
        <w:tc>
          <w:tcPr>
            <w:tcW w:w="2126" w:type="dxa"/>
            <w:vAlign w:val="center"/>
          </w:tcPr>
          <w:p w14:paraId="2AF02D3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5B03AB9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Risk factor</w:t>
            </w:r>
          </w:p>
        </w:tc>
      </w:tr>
      <w:tr w:rsidR="00B4671D" w14:paraId="4C0AD058" w14:textId="77777777" w:rsidTr="00CD45B8">
        <w:tc>
          <w:tcPr>
            <w:tcW w:w="1502" w:type="dxa"/>
            <w:vAlign w:val="center"/>
          </w:tcPr>
          <w:p w14:paraId="5425760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D. C. Bultman et al. (2000)</w:t>
            </w:r>
          </w:p>
        </w:tc>
        <w:tc>
          <w:tcPr>
            <w:tcW w:w="1502" w:type="dxa"/>
            <w:vAlign w:val="center"/>
          </w:tcPr>
          <w:p w14:paraId="3C2E1EAC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505B796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Qua</w:t>
            </w:r>
            <w:r>
              <w:rPr>
                <w:rFonts w:cstheme="minorHAnsi"/>
                <w:color w:val="000000"/>
                <w:sz w:val="18"/>
                <w:szCs w:val="18"/>
              </w:rPr>
              <w:t>litative</w:t>
            </w:r>
            <w:r w:rsidRPr="00961360">
              <w:rPr>
                <w:rFonts w:cstheme="minorHAnsi"/>
                <w:color w:val="000000"/>
                <w:sz w:val="18"/>
                <w:szCs w:val="18"/>
              </w:rPr>
              <w:t xml:space="preserve"> - interview</w:t>
            </w:r>
          </w:p>
        </w:tc>
        <w:tc>
          <w:tcPr>
            <w:tcW w:w="2126" w:type="dxa"/>
            <w:vAlign w:val="center"/>
          </w:tcPr>
          <w:p w14:paraId="604E861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3F7A25D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29B3D16F" w14:textId="77777777" w:rsidTr="00CD45B8">
        <w:tc>
          <w:tcPr>
            <w:tcW w:w="1502" w:type="dxa"/>
            <w:vAlign w:val="center"/>
          </w:tcPr>
          <w:p w14:paraId="55E7A9FE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S. Bhat et al. (2018)</w:t>
            </w:r>
          </w:p>
        </w:tc>
        <w:tc>
          <w:tcPr>
            <w:tcW w:w="1502" w:type="dxa"/>
            <w:vAlign w:val="center"/>
          </w:tcPr>
          <w:p w14:paraId="33714FF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1D147BC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 xml:space="preserve">Quantitative – </w:t>
            </w:r>
            <w:r>
              <w:rPr>
                <w:rFonts w:cstheme="minorHAnsi"/>
                <w:color w:val="000000"/>
                <w:sz w:val="18"/>
                <w:szCs w:val="18"/>
              </w:rPr>
              <w:t>medication review</w:t>
            </w:r>
          </w:p>
        </w:tc>
        <w:tc>
          <w:tcPr>
            <w:tcW w:w="2126" w:type="dxa"/>
            <w:vAlign w:val="center"/>
          </w:tcPr>
          <w:p w14:paraId="35DDA07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1260E166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67A7D79D" w14:textId="77777777" w:rsidTr="00CD45B8">
        <w:tc>
          <w:tcPr>
            <w:tcW w:w="1502" w:type="dxa"/>
            <w:vAlign w:val="center"/>
          </w:tcPr>
          <w:p w14:paraId="72765ED2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M. Spoont et al. (2005)</w:t>
            </w:r>
          </w:p>
        </w:tc>
        <w:tc>
          <w:tcPr>
            <w:tcW w:w="1502" w:type="dxa"/>
            <w:vAlign w:val="center"/>
          </w:tcPr>
          <w:p w14:paraId="422093C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76D20BF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Quantitative - questionnaire</w:t>
            </w:r>
          </w:p>
        </w:tc>
        <w:tc>
          <w:tcPr>
            <w:tcW w:w="2126" w:type="dxa"/>
            <w:vAlign w:val="center"/>
          </w:tcPr>
          <w:p w14:paraId="7320DD7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4EDBF73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Risk factor</w:t>
            </w:r>
          </w:p>
        </w:tc>
      </w:tr>
      <w:tr w:rsidR="00B4671D" w14:paraId="4ACB48A3" w14:textId="77777777" w:rsidTr="00CD45B8">
        <w:tc>
          <w:tcPr>
            <w:tcW w:w="1502" w:type="dxa"/>
            <w:vAlign w:val="center"/>
          </w:tcPr>
          <w:p w14:paraId="2D078BA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S. L. Toomey et al. (2012)</w:t>
            </w:r>
          </w:p>
        </w:tc>
        <w:tc>
          <w:tcPr>
            <w:tcW w:w="1502" w:type="dxa"/>
            <w:vAlign w:val="center"/>
          </w:tcPr>
          <w:p w14:paraId="158696C3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675276AD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Qua</w:t>
            </w:r>
            <w:r>
              <w:rPr>
                <w:rFonts w:cstheme="minorHAnsi"/>
                <w:sz w:val="18"/>
                <w:szCs w:val="18"/>
              </w:rPr>
              <w:t>litative</w:t>
            </w:r>
            <w:r w:rsidRPr="0096136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–</w:t>
            </w:r>
            <w:r w:rsidRPr="00961360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telephone interview</w:t>
            </w:r>
          </w:p>
        </w:tc>
        <w:tc>
          <w:tcPr>
            <w:tcW w:w="2126" w:type="dxa"/>
            <w:vAlign w:val="center"/>
          </w:tcPr>
          <w:p w14:paraId="619FC1C2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48D9136E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07AE70E0" w14:textId="77777777" w:rsidTr="00CD45B8">
        <w:tc>
          <w:tcPr>
            <w:tcW w:w="1502" w:type="dxa"/>
            <w:vAlign w:val="center"/>
          </w:tcPr>
          <w:p w14:paraId="73AE81B5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M. Dibonaventura et al. (2012)</w:t>
            </w:r>
          </w:p>
        </w:tc>
        <w:tc>
          <w:tcPr>
            <w:tcW w:w="1502" w:type="dxa"/>
            <w:vAlign w:val="center"/>
          </w:tcPr>
          <w:p w14:paraId="08B2FD8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55B613B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 xml:space="preserve">Quantitative </w:t>
            </w:r>
            <w:r>
              <w:rPr>
                <w:rFonts w:cstheme="minorHAnsi"/>
                <w:color w:val="000000"/>
                <w:sz w:val="18"/>
                <w:szCs w:val="18"/>
              </w:rPr>
              <w:t>–</w:t>
            </w:r>
            <w:r w:rsidRPr="0096136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questionnaire &amp; interview</w:t>
            </w:r>
          </w:p>
        </w:tc>
        <w:tc>
          <w:tcPr>
            <w:tcW w:w="2126" w:type="dxa"/>
            <w:vAlign w:val="center"/>
          </w:tcPr>
          <w:p w14:paraId="451F393C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59E37FE6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06182EDA" w14:textId="77777777" w:rsidTr="00CD45B8">
        <w:tc>
          <w:tcPr>
            <w:tcW w:w="1502" w:type="dxa"/>
            <w:vAlign w:val="center"/>
          </w:tcPr>
          <w:p w14:paraId="4A2CFE7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J. T. Hanlon et al. (2011)</w:t>
            </w:r>
          </w:p>
        </w:tc>
        <w:tc>
          <w:tcPr>
            <w:tcW w:w="1502" w:type="dxa"/>
            <w:vAlign w:val="center"/>
          </w:tcPr>
          <w:p w14:paraId="3B2A105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57C0B00B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Quantitative – medical records &amp; interview</w:t>
            </w:r>
          </w:p>
        </w:tc>
        <w:tc>
          <w:tcPr>
            <w:tcW w:w="2126" w:type="dxa"/>
            <w:vAlign w:val="center"/>
          </w:tcPr>
          <w:p w14:paraId="162E6DD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0E3799E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Risk factor</w:t>
            </w:r>
          </w:p>
        </w:tc>
      </w:tr>
      <w:tr w:rsidR="00B4671D" w14:paraId="49356D78" w14:textId="77777777" w:rsidTr="00CD45B8">
        <w:tc>
          <w:tcPr>
            <w:tcW w:w="1502" w:type="dxa"/>
            <w:vAlign w:val="center"/>
          </w:tcPr>
          <w:p w14:paraId="68CA254E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J. T. Hanlon et al. (2015)</w:t>
            </w:r>
          </w:p>
        </w:tc>
        <w:tc>
          <w:tcPr>
            <w:tcW w:w="1502" w:type="dxa"/>
            <w:vAlign w:val="center"/>
          </w:tcPr>
          <w:p w14:paraId="2E05FF73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USA</w:t>
            </w:r>
          </w:p>
        </w:tc>
        <w:tc>
          <w:tcPr>
            <w:tcW w:w="3644" w:type="dxa"/>
            <w:vAlign w:val="center"/>
          </w:tcPr>
          <w:p w14:paraId="372597A6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Quantitative – medical/pharmacy records</w:t>
            </w:r>
          </w:p>
        </w:tc>
        <w:tc>
          <w:tcPr>
            <w:tcW w:w="2126" w:type="dxa"/>
            <w:vAlign w:val="center"/>
          </w:tcPr>
          <w:p w14:paraId="38378FF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Non-adherence</w:t>
            </w:r>
          </w:p>
        </w:tc>
        <w:tc>
          <w:tcPr>
            <w:tcW w:w="992" w:type="dxa"/>
            <w:vAlign w:val="center"/>
          </w:tcPr>
          <w:p w14:paraId="469B270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Risk factor</w:t>
            </w:r>
          </w:p>
        </w:tc>
      </w:tr>
      <w:tr w:rsidR="00B4671D" w14:paraId="78E902F0" w14:textId="77777777" w:rsidTr="00CD45B8">
        <w:tc>
          <w:tcPr>
            <w:tcW w:w="1502" w:type="dxa"/>
            <w:vAlign w:val="center"/>
          </w:tcPr>
          <w:p w14:paraId="21B56F56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J. Raynsford et al. (2020)</w:t>
            </w:r>
          </w:p>
        </w:tc>
        <w:tc>
          <w:tcPr>
            <w:tcW w:w="1502" w:type="dxa"/>
            <w:vAlign w:val="center"/>
          </w:tcPr>
          <w:p w14:paraId="487CE872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</w:t>
            </w:r>
          </w:p>
        </w:tc>
        <w:tc>
          <w:tcPr>
            <w:tcW w:w="3644" w:type="dxa"/>
            <w:vAlign w:val="center"/>
          </w:tcPr>
          <w:p w14:paraId="7AEE2BB6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 xml:space="preserve">Quantitative – </w:t>
            </w:r>
            <w:r>
              <w:rPr>
                <w:rFonts w:cstheme="minorHAnsi"/>
                <w:color w:val="000000"/>
                <w:sz w:val="18"/>
                <w:szCs w:val="18"/>
              </w:rPr>
              <w:t>medical records</w:t>
            </w:r>
          </w:p>
        </w:tc>
        <w:tc>
          <w:tcPr>
            <w:tcW w:w="2126" w:type="dxa"/>
            <w:vAlign w:val="center"/>
          </w:tcPr>
          <w:p w14:paraId="1E0FDE34" w14:textId="77777777" w:rsidR="00B4671D" w:rsidRPr="00961360" w:rsidRDefault="00B4671D" w:rsidP="00CD45B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ME (Monitoring</w:t>
            </w:r>
            <w:r>
              <w:rPr>
                <w:rFonts w:cstheme="minorHAnsi"/>
                <w:color w:val="000000"/>
                <w:sz w:val="18"/>
                <w:szCs w:val="18"/>
              </w:rPr>
              <w:t>,</w:t>
            </w:r>
          </w:p>
          <w:p w14:paraId="61CC38BF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Drug errors – wrong dose, unclear directions)</w:t>
            </w:r>
          </w:p>
        </w:tc>
        <w:tc>
          <w:tcPr>
            <w:tcW w:w="992" w:type="dxa"/>
            <w:vAlign w:val="center"/>
          </w:tcPr>
          <w:p w14:paraId="72A9D8A4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668636D3" w14:textId="77777777" w:rsidTr="00CD45B8">
        <w:tc>
          <w:tcPr>
            <w:tcW w:w="1502" w:type="dxa"/>
            <w:vAlign w:val="center"/>
          </w:tcPr>
          <w:p w14:paraId="1E2298AA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C. Parsons et al. (2012)</w:t>
            </w:r>
          </w:p>
        </w:tc>
        <w:tc>
          <w:tcPr>
            <w:tcW w:w="1502" w:type="dxa"/>
            <w:vAlign w:val="center"/>
          </w:tcPr>
          <w:p w14:paraId="304785C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UK</w:t>
            </w:r>
          </w:p>
        </w:tc>
        <w:tc>
          <w:tcPr>
            <w:tcW w:w="3644" w:type="dxa"/>
            <w:vAlign w:val="center"/>
          </w:tcPr>
          <w:p w14:paraId="42E3085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Quantitative – medication administration records</w:t>
            </w:r>
          </w:p>
        </w:tc>
        <w:tc>
          <w:tcPr>
            <w:tcW w:w="2126" w:type="dxa"/>
            <w:vAlign w:val="center"/>
          </w:tcPr>
          <w:p w14:paraId="1AC3D98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PIM</w:t>
            </w:r>
          </w:p>
        </w:tc>
        <w:tc>
          <w:tcPr>
            <w:tcW w:w="992" w:type="dxa"/>
            <w:vAlign w:val="center"/>
          </w:tcPr>
          <w:p w14:paraId="667D0DC5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Risk factor</w:t>
            </w:r>
          </w:p>
        </w:tc>
      </w:tr>
      <w:tr w:rsidR="00B4671D" w14:paraId="403D7CE5" w14:textId="77777777" w:rsidTr="00CD45B8">
        <w:tc>
          <w:tcPr>
            <w:tcW w:w="1502" w:type="dxa"/>
            <w:vAlign w:val="center"/>
          </w:tcPr>
          <w:p w14:paraId="45F22AF2" w14:textId="77777777" w:rsidR="00B4671D" w:rsidRPr="000C7217" w:rsidRDefault="00B4671D" w:rsidP="00CD45B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C7217">
              <w:rPr>
                <w:rFonts w:cstheme="minorHAnsi"/>
                <w:color w:val="000000"/>
                <w:sz w:val="18"/>
                <w:szCs w:val="18"/>
              </w:rPr>
              <w:t>W. Y. Khawagi et al. (2021)</w:t>
            </w:r>
          </w:p>
        </w:tc>
        <w:tc>
          <w:tcPr>
            <w:tcW w:w="1502" w:type="dxa"/>
            <w:vAlign w:val="center"/>
          </w:tcPr>
          <w:p w14:paraId="76666E23" w14:textId="77777777" w:rsidR="00B4671D" w:rsidRPr="000C7217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0C7217">
              <w:rPr>
                <w:rFonts w:cstheme="minorHAnsi"/>
                <w:sz w:val="18"/>
                <w:szCs w:val="18"/>
              </w:rPr>
              <w:t>UK</w:t>
            </w:r>
          </w:p>
        </w:tc>
        <w:tc>
          <w:tcPr>
            <w:tcW w:w="3644" w:type="dxa"/>
            <w:vAlign w:val="center"/>
          </w:tcPr>
          <w:p w14:paraId="529C27F4" w14:textId="77777777" w:rsidR="00B4671D" w:rsidRPr="000C7217" w:rsidRDefault="00B4671D" w:rsidP="00CD45B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C7217">
              <w:rPr>
                <w:rFonts w:cstheme="minorHAnsi"/>
                <w:color w:val="000000"/>
                <w:sz w:val="18"/>
                <w:szCs w:val="18"/>
              </w:rPr>
              <w:t>Quantitative – Clinical database</w:t>
            </w:r>
          </w:p>
        </w:tc>
        <w:tc>
          <w:tcPr>
            <w:tcW w:w="2126" w:type="dxa"/>
            <w:vAlign w:val="center"/>
          </w:tcPr>
          <w:p w14:paraId="4BB5A391" w14:textId="77777777" w:rsidR="00B4671D" w:rsidRPr="000C7217" w:rsidRDefault="00B4671D" w:rsidP="00CD45B8">
            <w:pPr>
              <w:rPr>
                <w:rFonts w:cstheme="minorHAnsi"/>
                <w:color w:val="000000"/>
                <w:sz w:val="18"/>
                <w:szCs w:val="18"/>
              </w:rPr>
            </w:pPr>
            <w:r w:rsidRPr="000C7217">
              <w:rPr>
                <w:rFonts w:cstheme="minorHAnsi"/>
                <w:color w:val="000000"/>
                <w:sz w:val="18"/>
                <w:szCs w:val="18"/>
              </w:rPr>
              <w:t>PHP</w:t>
            </w:r>
            <w:r w:rsidRPr="000C7217">
              <w:rPr>
                <w:rFonts w:cstheme="minorHAnsi"/>
                <w:color w:val="000000"/>
                <w:sz w:val="18"/>
                <w:szCs w:val="18"/>
              </w:rPr>
              <w:br/>
              <w:t>ME (Monitoring)</w:t>
            </w:r>
          </w:p>
        </w:tc>
        <w:tc>
          <w:tcPr>
            <w:tcW w:w="992" w:type="dxa"/>
            <w:vAlign w:val="center"/>
          </w:tcPr>
          <w:p w14:paraId="1250C90C" w14:textId="77777777" w:rsidR="00B4671D" w:rsidRPr="000C7217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0C7217">
              <w:rPr>
                <w:rFonts w:cstheme="minorHAnsi"/>
                <w:sz w:val="18"/>
                <w:szCs w:val="18"/>
              </w:rPr>
              <w:t>Risk factor</w:t>
            </w:r>
          </w:p>
        </w:tc>
      </w:tr>
      <w:tr w:rsidR="00B4671D" w14:paraId="025950C7" w14:textId="77777777" w:rsidTr="00CD45B8">
        <w:tc>
          <w:tcPr>
            <w:tcW w:w="1502" w:type="dxa"/>
            <w:vAlign w:val="center"/>
          </w:tcPr>
          <w:p w14:paraId="11ED2520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K. Voigt et al. (2016)</w:t>
            </w:r>
          </w:p>
        </w:tc>
        <w:tc>
          <w:tcPr>
            <w:tcW w:w="1502" w:type="dxa"/>
            <w:vAlign w:val="center"/>
          </w:tcPr>
          <w:p w14:paraId="51B5FE7C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Germany</w:t>
            </w:r>
          </w:p>
        </w:tc>
        <w:tc>
          <w:tcPr>
            <w:tcW w:w="3644" w:type="dxa"/>
            <w:vAlign w:val="center"/>
          </w:tcPr>
          <w:p w14:paraId="4DF0CE49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Mixed – interview &amp; patient medical records</w:t>
            </w:r>
          </w:p>
        </w:tc>
        <w:tc>
          <w:tcPr>
            <w:tcW w:w="2126" w:type="dxa"/>
            <w:vAlign w:val="center"/>
          </w:tcPr>
          <w:p w14:paraId="2A26AE4C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PIM</w:t>
            </w:r>
          </w:p>
        </w:tc>
        <w:tc>
          <w:tcPr>
            <w:tcW w:w="992" w:type="dxa"/>
            <w:vAlign w:val="center"/>
          </w:tcPr>
          <w:p w14:paraId="28F9630A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Causal</w:t>
            </w:r>
          </w:p>
        </w:tc>
      </w:tr>
      <w:tr w:rsidR="00B4671D" w14:paraId="13A262EF" w14:textId="77777777" w:rsidTr="00CD45B8">
        <w:tc>
          <w:tcPr>
            <w:tcW w:w="1502" w:type="dxa"/>
            <w:vAlign w:val="center"/>
          </w:tcPr>
          <w:p w14:paraId="377C831D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A. Hiance-Delahaye et al. (2018)</w:t>
            </w:r>
          </w:p>
        </w:tc>
        <w:tc>
          <w:tcPr>
            <w:tcW w:w="1502" w:type="dxa"/>
            <w:vAlign w:val="center"/>
          </w:tcPr>
          <w:p w14:paraId="3EBEB871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France</w:t>
            </w:r>
          </w:p>
        </w:tc>
        <w:tc>
          <w:tcPr>
            <w:tcW w:w="3644" w:type="dxa"/>
            <w:vAlign w:val="center"/>
          </w:tcPr>
          <w:p w14:paraId="35B6ADC7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Quantitative - interview</w:t>
            </w:r>
          </w:p>
        </w:tc>
        <w:tc>
          <w:tcPr>
            <w:tcW w:w="2126" w:type="dxa"/>
            <w:vAlign w:val="center"/>
          </w:tcPr>
          <w:p w14:paraId="3C358642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color w:val="000000"/>
                <w:sz w:val="18"/>
                <w:szCs w:val="18"/>
              </w:rPr>
              <w:t>PIP</w:t>
            </w:r>
          </w:p>
        </w:tc>
        <w:tc>
          <w:tcPr>
            <w:tcW w:w="992" w:type="dxa"/>
            <w:vAlign w:val="center"/>
          </w:tcPr>
          <w:p w14:paraId="6C6C5915" w14:textId="77777777" w:rsidR="00B4671D" w:rsidRPr="00961360" w:rsidRDefault="00B4671D" w:rsidP="00CD45B8">
            <w:pPr>
              <w:rPr>
                <w:rFonts w:cstheme="minorHAnsi"/>
                <w:sz w:val="18"/>
                <w:szCs w:val="18"/>
              </w:rPr>
            </w:pPr>
            <w:r w:rsidRPr="00961360">
              <w:rPr>
                <w:rFonts w:cstheme="minorHAnsi"/>
                <w:sz w:val="18"/>
                <w:szCs w:val="18"/>
              </w:rPr>
              <w:t>Risk factor</w:t>
            </w:r>
          </w:p>
        </w:tc>
      </w:tr>
    </w:tbl>
    <w:p w14:paraId="57BA184E" w14:textId="77777777" w:rsidR="00B4671D" w:rsidRPr="00F62874" w:rsidRDefault="00B4671D" w:rsidP="00B4671D">
      <w:pPr>
        <w:rPr>
          <w:rFonts w:cstheme="minorHAnsi"/>
          <w:sz w:val="18"/>
          <w:szCs w:val="18"/>
        </w:rPr>
      </w:pPr>
      <w:r w:rsidRPr="00F62874">
        <w:rPr>
          <w:rFonts w:cstheme="minorHAnsi"/>
          <w:sz w:val="18"/>
          <w:szCs w:val="18"/>
        </w:rPr>
        <w:lastRenderedPageBreak/>
        <w:t>AD = Antidepressant</w:t>
      </w:r>
      <w:r>
        <w:rPr>
          <w:rFonts w:cstheme="minorHAnsi"/>
          <w:sz w:val="18"/>
          <w:szCs w:val="18"/>
        </w:rPr>
        <w:t xml:space="preserve">; </w:t>
      </w:r>
      <w:r w:rsidRPr="00F62874">
        <w:rPr>
          <w:rFonts w:cstheme="minorHAnsi"/>
          <w:sz w:val="18"/>
          <w:szCs w:val="18"/>
        </w:rPr>
        <w:t>ADE = Adverse drug event</w:t>
      </w:r>
      <w:r>
        <w:rPr>
          <w:rFonts w:cstheme="minorHAnsi"/>
          <w:sz w:val="18"/>
          <w:szCs w:val="18"/>
        </w:rPr>
        <w:t xml:space="preserve">; </w:t>
      </w:r>
      <w:r w:rsidRPr="00F62874">
        <w:rPr>
          <w:rFonts w:cstheme="minorHAnsi"/>
          <w:sz w:val="18"/>
          <w:szCs w:val="18"/>
        </w:rPr>
        <w:t>ADHD = Attention deficit hyperactivity disorder</w:t>
      </w:r>
      <w:r>
        <w:rPr>
          <w:rFonts w:cstheme="minorHAnsi"/>
          <w:sz w:val="18"/>
          <w:szCs w:val="18"/>
        </w:rPr>
        <w:t xml:space="preserve">; </w:t>
      </w:r>
      <w:r w:rsidRPr="00F62874">
        <w:rPr>
          <w:rFonts w:cstheme="minorHAnsi"/>
          <w:sz w:val="18"/>
          <w:szCs w:val="18"/>
        </w:rPr>
        <w:t>DDI = Drug-Drug interaction</w:t>
      </w:r>
      <w:r>
        <w:rPr>
          <w:rFonts w:cstheme="minorHAnsi"/>
          <w:sz w:val="18"/>
          <w:szCs w:val="18"/>
        </w:rPr>
        <w:t xml:space="preserve">; </w:t>
      </w:r>
      <w:r w:rsidRPr="00F62874">
        <w:rPr>
          <w:rFonts w:cstheme="minorHAnsi"/>
          <w:sz w:val="18"/>
          <w:szCs w:val="18"/>
        </w:rPr>
        <w:t>ME = Medication error</w:t>
      </w:r>
      <w:r>
        <w:rPr>
          <w:rFonts w:cstheme="minorHAnsi"/>
          <w:sz w:val="18"/>
          <w:szCs w:val="18"/>
        </w:rPr>
        <w:t xml:space="preserve">; PHP = Potentially Hazardous Prescribing; </w:t>
      </w:r>
      <w:r w:rsidRPr="00F62874">
        <w:rPr>
          <w:rFonts w:cstheme="minorHAnsi"/>
          <w:sz w:val="18"/>
          <w:szCs w:val="18"/>
        </w:rPr>
        <w:t>PIM = Potentially inappropriate medication</w:t>
      </w:r>
      <w:r>
        <w:rPr>
          <w:rFonts w:cstheme="minorHAnsi"/>
          <w:sz w:val="18"/>
          <w:szCs w:val="18"/>
        </w:rPr>
        <w:t xml:space="preserve">; </w:t>
      </w:r>
      <w:r w:rsidRPr="00F62874">
        <w:rPr>
          <w:rFonts w:cstheme="minorHAnsi"/>
          <w:sz w:val="18"/>
          <w:szCs w:val="18"/>
        </w:rPr>
        <w:t>PIP = Potentially inappropriate prescribing</w:t>
      </w:r>
      <w:r>
        <w:rPr>
          <w:rFonts w:cstheme="minorHAnsi"/>
          <w:sz w:val="18"/>
          <w:szCs w:val="18"/>
        </w:rPr>
        <w:t>; UK = United Kingdom; USA = United States of America</w:t>
      </w:r>
    </w:p>
    <w:p w14:paraId="4F04F715" w14:textId="77777777" w:rsidR="00B147DC" w:rsidRDefault="00B147DC"/>
    <w:sectPr w:rsidR="00B147DC" w:rsidSect="007A5C66"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sDel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1D"/>
    <w:rsid w:val="00656B04"/>
    <w:rsid w:val="00693115"/>
    <w:rsid w:val="007A5C66"/>
    <w:rsid w:val="009F08A4"/>
    <w:rsid w:val="00B147DC"/>
    <w:rsid w:val="00B4671D"/>
    <w:rsid w:val="00B82C88"/>
    <w:rsid w:val="00F6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67F65"/>
  <w15:chartTrackingRefBased/>
  <w15:docId w15:val="{ED0C0F31-DA35-4B0F-A153-F54976C8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6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Ayre</dc:creator>
  <cp:keywords/>
  <dc:description/>
  <cp:lastModifiedBy>Matthew Ayre</cp:lastModifiedBy>
  <cp:revision>2</cp:revision>
  <dcterms:created xsi:type="dcterms:W3CDTF">2023-03-31T13:12:00Z</dcterms:created>
  <dcterms:modified xsi:type="dcterms:W3CDTF">2023-04-17T06:45:00Z</dcterms:modified>
</cp:coreProperties>
</file>