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AFF1" w14:textId="4C120C29" w:rsidR="00506E73" w:rsidRPr="0007294A" w:rsidRDefault="00506E73" w:rsidP="0007294A">
      <w:pPr>
        <w:pStyle w:val="Caption"/>
      </w:pPr>
      <w:bookmarkStart w:id="0" w:name="_Toc95295623"/>
      <w:r w:rsidRPr="0007294A">
        <w:t xml:space="preserve">Aetiology of </w:t>
      </w:r>
      <w:r w:rsidR="00494284">
        <w:t xml:space="preserve">medication </w:t>
      </w:r>
      <w:r w:rsidRPr="0007294A">
        <w:t xml:space="preserve">safety </w:t>
      </w:r>
      <w:bookmarkEnd w:id="0"/>
      <w:r w:rsidR="00532875" w:rsidRPr="0007294A">
        <w:t>challenges</w:t>
      </w:r>
      <w:r w:rsidR="001B6912" w:rsidRPr="0007294A">
        <w:t xml:space="preserve"> full dataset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64"/>
        <w:gridCol w:w="1574"/>
        <w:gridCol w:w="2711"/>
        <w:gridCol w:w="4111"/>
        <w:gridCol w:w="4252"/>
      </w:tblGrid>
      <w:tr w:rsidR="00506E73" w:rsidRPr="00665726" w14:paraId="7AFD5D75" w14:textId="77777777" w:rsidTr="003D6E64">
        <w:trPr>
          <w:trHeight w:val="416"/>
        </w:trPr>
        <w:tc>
          <w:tcPr>
            <w:tcW w:w="1664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9E85B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Author &amp; Year</w:t>
            </w:r>
          </w:p>
        </w:tc>
        <w:tc>
          <w:tcPr>
            <w:tcW w:w="157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7DB80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71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A09642B" w14:textId="1E9ACB89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363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554A2FB" w14:textId="63C33E0E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0C843F68" w14:textId="77777777" w:rsidTr="003D6E64">
        <w:trPr>
          <w:trHeight w:val="419"/>
        </w:trPr>
        <w:tc>
          <w:tcPr>
            <w:tcW w:w="1664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4F74F6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EAD426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1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7DA8260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4C885F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2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C981C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59FCB1BD" w14:textId="77777777" w:rsidTr="003D6E64">
        <w:tc>
          <w:tcPr>
            <w:tcW w:w="1664" w:type="dxa"/>
            <w:vAlign w:val="center"/>
          </w:tcPr>
          <w:p w14:paraId="48812E4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D. Wucherer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2017)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1ED94E29" w14:textId="77777777" w:rsidR="00506E73" w:rsidRPr="00665726" w:rsidRDefault="00506E73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Quantitative</w:t>
            </w:r>
            <w:r>
              <w:rPr>
                <w:rFonts w:cstheme="minorHAnsi"/>
                <w:sz w:val="20"/>
                <w:szCs w:val="20"/>
              </w:rPr>
              <w:t xml:space="preserve"> – medication reviews</w:t>
            </w:r>
          </w:p>
        </w:tc>
        <w:tc>
          <w:tcPr>
            <w:tcW w:w="2711" w:type="dxa"/>
            <w:vAlign w:val="center"/>
          </w:tcPr>
          <w:p w14:paraId="119831B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ADE</w:t>
            </w:r>
          </w:p>
          <w:p w14:paraId="16B91E5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DDI</w:t>
            </w:r>
          </w:p>
        </w:tc>
        <w:tc>
          <w:tcPr>
            <w:tcW w:w="4111" w:type="dxa"/>
            <w:vAlign w:val="center"/>
          </w:tcPr>
          <w:p w14:paraId="56CEB58B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53177494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●Cognitive impairment was associated with ADEs (OR: 1.20; 95% CI: 1.06–1.36;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0.004). </w:t>
            </w:r>
          </w:p>
          <w:p w14:paraId="45E03EDC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●Total number of drugs taken (OR: 1.26; 95% CI: 1.15–1.39;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&lt; 0.001) and support with medication (OR: 1.78; 95% CI: 1.05–3.02;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0.033) were associated with drug interactions. </w:t>
            </w:r>
          </w:p>
          <w:p w14:paraId="46D869B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●Psychiatric diagnosis associated with problems of inappropriate drug choice (OR: 1.66; 95% CI: 1.24–2.21;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0.001; significant regression model for problems with inappropriate drug choice: χ2(10) = 33.30,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&lt;0.001; problems with ADEs: χ2(10) = 19.38,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0.036; problems with interactions: χ2(10) = 56.15,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&lt;0.001).</w:t>
            </w:r>
          </w:p>
          <w:p w14:paraId="775D867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●Total number of drugs taken (b = 0.07; 95% CI: 0.05–0.09;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&lt;0.001) and a mental illness (b = 0.09; 95% CI: 0.03–0.15;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= 0.003) were associated with total number of DRPs (significant regression model: F (11,89) = 6.18, 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&lt;0.001)</w:t>
            </w:r>
          </w:p>
        </w:tc>
      </w:tr>
      <w:tr w:rsidR="00506E73" w:rsidRPr="00665726" w14:paraId="69C64678" w14:textId="77777777" w:rsidTr="003D6E64">
        <w:tc>
          <w:tcPr>
            <w:tcW w:w="1664" w:type="dxa"/>
            <w:vAlign w:val="center"/>
          </w:tcPr>
          <w:p w14:paraId="4E3B7B2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S. C. Woodward et al. (2016)</w:t>
            </w:r>
          </w:p>
        </w:tc>
        <w:tc>
          <w:tcPr>
            <w:tcW w:w="1574" w:type="dxa"/>
            <w:vAlign w:val="center"/>
          </w:tcPr>
          <w:p w14:paraId="5AF0325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</w:t>
            </w:r>
            <w:r>
              <w:rPr>
                <w:rFonts w:cstheme="minorHAnsi"/>
                <w:color w:val="000000"/>
                <w:sz w:val="20"/>
                <w:szCs w:val="20"/>
              </w:rPr>
              <w:t>ntitative – online survey</w:t>
            </w:r>
          </w:p>
        </w:tc>
        <w:tc>
          <w:tcPr>
            <w:tcW w:w="2711" w:type="dxa"/>
            <w:vAlign w:val="center"/>
          </w:tcPr>
          <w:p w14:paraId="4BC78BF8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41517F90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6E978250" w14:textId="77777777" w:rsidR="00506E73" w:rsidRPr="00665726" w:rsidRDefault="00506E73" w:rsidP="003D6E64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●Worried about possible adverse effects</w:t>
            </w:r>
          </w:p>
          <w:p w14:paraId="456F3072" w14:textId="77777777" w:rsidR="00506E73" w:rsidRPr="00665726" w:rsidRDefault="00506E73" w:rsidP="003D6E64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●Experienced adverse effect(s)</w:t>
            </w:r>
          </w:p>
          <w:p w14:paraId="55A26925" w14:textId="77777777" w:rsidR="00506E73" w:rsidRPr="00665726" w:rsidRDefault="00506E73" w:rsidP="003D6E64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●Did not think needed to be on an antidepressant</w:t>
            </w:r>
          </w:p>
          <w:p w14:paraId="52A88137" w14:textId="77777777" w:rsidR="00506E73" w:rsidRPr="00665726" w:rsidRDefault="00506E73" w:rsidP="003D6E64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●Feeling better</w:t>
            </w:r>
          </w:p>
          <w:p w14:paraId="2571ED7A" w14:textId="77777777" w:rsidR="00506E73" w:rsidRPr="00665726" w:rsidRDefault="00506E73" w:rsidP="003D6E64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●Lack of efficacy</w:t>
            </w:r>
          </w:p>
          <w:p w14:paraId="1EB03AA3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●Fear of dependence</w:t>
            </w:r>
          </w:p>
        </w:tc>
      </w:tr>
      <w:tr w:rsidR="00506E73" w:rsidRPr="00665726" w14:paraId="1318CAC4" w14:textId="77777777" w:rsidTr="003D6E64">
        <w:tc>
          <w:tcPr>
            <w:tcW w:w="1664" w:type="dxa"/>
            <w:vAlign w:val="center"/>
          </w:tcPr>
          <w:p w14:paraId="768A5FD4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Jaffray et al. (2014)</w:t>
            </w:r>
          </w:p>
        </w:tc>
        <w:tc>
          <w:tcPr>
            <w:tcW w:w="1574" w:type="dxa"/>
            <w:vAlign w:val="center"/>
          </w:tcPr>
          <w:p w14:paraId="358B39FC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Qualitative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interviews</w:t>
            </w:r>
          </w:p>
        </w:tc>
        <w:tc>
          <w:tcPr>
            <w:tcW w:w="2711" w:type="dxa"/>
            <w:vAlign w:val="center"/>
          </w:tcPr>
          <w:p w14:paraId="393C36A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5609E17C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Perceived level of support from GP</w:t>
            </w:r>
          </w:p>
        </w:tc>
        <w:tc>
          <w:tcPr>
            <w:tcW w:w="4252" w:type="dxa"/>
          </w:tcPr>
          <w:p w14:paraId="541C480F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●Knowledge of depression &amp; treatments</w:t>
            </w:r>
          </w:p>
          <w:p w14:paraId="5C054482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The level of responsibility patients had for the</w:t>
            </w:r>
          </w:p>
          <w:p w14:paraId="51221FF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management of their depression</w:t>
            </w:r>
          </w:p>
          <w:p w14:paraId="25323B47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Perceived level of support from family &amp; friends</w:t>
            </w:r>
          </w:p>
        </w:tc>
      </w:tr>
    </w:tbl>
    <w:p w14:paraId="3DA4FB7D" w14:textId="710B932E" w:rsidR="00506E73" w:rsidRPr="006F5BC7" w:rsidRDefault="00506E73" w:rsidP="00506E73">
      <w:pPr>
        <w:rPr>
          <w:rFonts w:cstheme="minorHAnsi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64"/>
        <w:gridCol w:w="1574"/>
        <w:gridCol w:w="2711"/>
        <w:gridCol w:w="4111"/>
        <w:gridCol w:w="4252"/>
      </w:tblGrid>
      <w:tr w:rsidR="00506E73" w:rsidRPr="00665726" w14:paraId="459AAD7E" w14:textId="77777777" w:rsidTr="003D6E64">
        <w:trPr>
          <w:trHeight w:val="416"/>
        </w:trPr>
        <w:tc>
          <w:tcPr>
            <w:tcW w:w="1664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D50CF1C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Author &amp; Year</w:t>
            </w:r>
          </w:p>
        </w:tc>
        <w:tc>
          <w:tcPr>
            <w:tcW w:w="157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0266A2C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71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C3DD57" w14:textId="5A5D8630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363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0F5E20" w14:textId="72C566B6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6BC9108A" w14:textId="77777777" w:rsidTr="003D6E64">
        <w:trPr>
          <w:trHeight w:val="419"/>
        </w:trPr>
        <w:tc>
          <w:tcPr>
            <w:tcW w:w="1664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9FE99A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758BF8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1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2B7A808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AB6118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2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CB1A9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2130E9B5" w14:textId="77777777" w:rsidTr="003D6E64">
        <w:tc>
          <w:tcPr>
            <w:tcW w:w="1664" w:type="dxa"/>
            <w:vAlign w:val="center"/>
          </w:tcPr>
          <w:p w14:paraId="1B8C629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K. Demyttenaere et al. (2001)</w:t>
            </w:r>
          </w:p>
        </w:tc>
        <w:tc>
          <w:tcPr>
            <w:tcW w:w="1574" w:type="dxa"/>
            <w:vAlign w:val="center"/>
          </w:tcPr>
          <w:p w14:paraId="73AFEAD6" w14:textId="77777777" w:rsidR="00506E73" w:rsidRPr="00665726" w:rsidRDefault="00506E73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Mixed – questionnaire &amp; telephone interviews</w:t>
            </w:r>
          </w:p>
        </w:tc>
        <w:tc>
          <w:tcPr>
            <w:tcW w:w="2711" w:type="dxa"/>
            <w:vAlign w:val="center"/>
          </w:tcPr>
          <w:p w14:paraId="3ED110B9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757B622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1971169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●Feeling better</w:t>
            </w:r>
          </w:p>
          <w:p w14:paraId="227C36C2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●Adverse events</w:t>
            </w:r>
          </w:p>
          <w:p w14:paraId="124D882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●Fear of dependence</w:t>
            </w:r>
          </w:p>
          <w:p w14:paraId="436CBAD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●Feeling uncomfortable taking drugs</w:t>
            </w:r>
          </w:p>
          <w:p w14:paraId="3D48F4A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●Lack of efficacy</w:t>
            </w:r>
          </w:p>
          <w:p w14:paraId="32DE214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Belief that should solve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problems without drugs</w:t>
            </w:r>
          </w:p>
          <w:p w14:paraId="0EB06C2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●GP told me to stop</w:t>
            </w:r>
          </w:p>
        </w:tc>
      </w:tr>
      <w:tr w:rsidR="00506E73" w:rsidRPr="00665726" w14:paraId="7DD3AC71" w14:textId="77777777" w:rsidTr="003D6E64">
        <w:tc>
          <w:tcPr>
            <w:tcW w:w="1664" w:type="dxa"/>
            <w:vAlign w:val="center"/>
          </w:tcPr>
          <w:p w14:paraId="6C8295A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L. Guillaumie et al. (2015)</w:t>
            </w:r>
          </w:p>
        </w:tc>
        <w:tc>
          <w:tcPr>
            <w:tcW w:w="1574" w:type="dxa"/>
            <w:vAlign w:val="center"/>
          </w:tcPr>
          <w:p w14:paraId="68B4EE4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Qualitative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focus groups</w:t>
            </w:r>
          </w:p>
        </w:tc>
        <w:tc>
          <w:tcPr>
            <w:tcW w:w="2711" w:type="dxa"/>
            <w:vAlign w:val="center"/>
          </w:tcPr>
          <w:p w14:paraId="0026114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4F72AC4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  <w:vAlign w:val="center"/>
          </w:tcPr>
          <w:p w14:paraId="7D493DC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Side effects</w:t>
            </w:r>
          </w:p>
        </w:tc>
      </w:tr>
      <w:tr w:rsidR="00506E73" w:rsidRPr="00665726" w14:paraId="34E7C744" w14:textId="77777777" w:rsidTr="003D6E64">
        <w:tc>
          <w:tcPr>
            <w:tcW w:w="1664" w:type="dxa"/>
            <w:vAlign w:val="center"/>
          </w:tcPr>
          <w:p w14:paraId="3C8B713F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L. Kalimashe et al. (2021)</w:t>
            </w:r>
          </w:p>
        </w:tc>
        <w:tc>
          <w:tcPr>
            <w:tcW w:w="1574" w:type="dxa"/>
            <w:vAlign w:val="center"/>
          </w:tcPr>
          <w:p w14:paraId="4C84640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</w:t>
            </w:r>
            <w:r>
              <w:rPr>
                <w:rFonts w:cstheme="minorHAnsi"/>
                <w:color w:val="000000"/>
                <w:sz w:val="20"/>
                <w:szCs w:val="20"/>
              </w:rPr>
              <w:t>nt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questionnaire</w:t>
            </w:r>
          </w:p>
        </w:tc>
        <w:tc>
          <w:tcPr>
            <w:tcW w:w="2711" w:type="dxa"/>
            <w:vAlign w:val="center"/>
          </w:tcPr>
          <w:p w14:paraId="0DFDB709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596395FB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5C7DA37C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●Forgot to take</w:t>
            </w:r>
          </w:p>
          <w:p w14:paraId="5AF5BC10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●Careless when taking medication</w:t>
            </w:r>
          </w:p>
          <w:p w14:paraId="203CA0DC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●Feeling better</w:t>
            </w:r>
          </w:p>
          <w:p w14:paraId="50F3D2B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●Feeling worse</w:t>
            </w:r>
          </w:p>
          <w:p w14:paraId="34E88D0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●Take only when sick</w:t>
            </w:r>
          </w:p>
          <w:p w14:paraId="5878173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</w:t>
            </w:r>
            <w:r>
              <w:rPr>
                <w:rFonts w:cstheme="minorHAnsi"/>
                <w:color w:val="000000"/>
                <w:sz w:val="20"/>
                <w:szCs w:val="20"/>
              </w:rPr>
              <w:t>ing that it is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unnatural for mind and body to be controlled by medication</w:t>
            </w:r>
          </w:p>
          <w:p w14:paraId="12209877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●Feel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ing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like a ‘zombie’</w:t>
            </w:r>
          </w:p>
          <w:p w14:paraId="0785D923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●Side effects – tired and sluggish</w:t>
            </w:r>
          </w:p>
        </w:tc>
      </w:tr>
      <w:tr w:rsidR="00506E73" w:rsidRPr="00665726" w14:paraId="658E0A71" w14:textId="77777777" w:rsidTr="003D6E64">
        <w:tc>
          <w:tcPr>
            <w:tcW w:w="1664" w:type="dxa"/>
            <w:vAlign w:val="center"/>
          </w:tcPr>
          <w:p w14:paraId="3AD4545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P. Saini et al. (2018)</w:t>
            </w:r>
          </w:p>
        </w:tc>
        <w:tc>
          <w:tcPr>
            <w:tcW w:w="1574" w:type="dxa"/>
            <w:vAlign w:val="center"/>
          </w:tcPr>
          <w:p w14:paraId="7EB4893C" w14:textId="41565A3A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Qualitative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–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 xml:space="preserve">medical records &amp; </w:t>
            </w:r>
            <w:r>
              <w:rPr>
                <w:rFonts w:cstheme="minorHAnsi"/>
                <w:color w:val="000000"/>
                <w:sz w:val="20"/>
                <w:szCs w:val="20"/>
              </w:rPr>
              <w:t>interviews</w:t>
            </w:r>
          </w:p>
        </w:tc>
        <w:tc>
          <w:tcPr>
            <w:tcW w:w="2711" w:type="dxa"/>
            <w:vAlign w:val="center"/>
          </w:tcPr>
          <w:p w14:paraId="6F01B7C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2FF37C2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Lack of treatment choices</w:t>
            </w:r>
          </w:p>
          <w:p w14:paraId="2AEE7C3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48"/>
                <w:szCs w:val="48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●Availability of s</w:t>
            </w:r>
            <w:r w:rsidRPr="00665726">
              <w:rPr>
                <w:rFonts w:cstheme="minorHAnsi"/>
                <w:sz w:val="20"/>
                <w:szCs w:val="20"/>
              </w:rPr>
              <w:t>ervices for comorbidity and dual diagnosis</w:t>
            </w:r>
          </w:p>
        </w:tc>
        <w:tc>
          <w:tcPr>
            <w:tcW w:w="4252" w:type="dxa"/>
            <w:vAlign w:val="center"/>
          </w:tcPr>
          <w:p w14:paraId="1A2055F3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Anosognosia</w:t>
            </w:r>
          </w:p>
        </w:tc>
      </w:tr>
      <w:tr w:rsidR="00506E73" w:rsidRPr="00665726" w14:paraId="6402BC22" w14:textId="77777777" w:rsidTr="003D6E64">
        <w:tc>
          <w:tcPr>
            <w:tcW w:w="1664" w:type="dxa"/>
            <w:vAlign w:val="center"/>
          </w:tcPr>
          <w:p w14:paraId="15336F9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I. D. Maidment et al. (2017)</w:t>
            </w:r>
          </w:p>
        </w:tc>
        <w:tc>
          <w:tcPr>
            <w:tcW w:w="1574" w:type="dxa"/>
            <w:vAlign w:val="center"/>
          </w:tcPr>
          <w:p w14:paraId="714D965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Qualitative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interviews</w:t>
            </w:r>
          </w:p>
        </w:tc>
        <w:tc>
          <w:tcPr>
            <w:tcW w:w="2711" w:type="dxa"/>
            <w:vAlign w:val="center"/>
          </w:tcPr>
          <w:p w14:paraId="488DDD00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</w:tcPr>
          <w:p w14:paraId="05642ED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Patient lack of access to prescribers</w:t>
            </w:r>
          </w:p>
          <w:p w14:paraId="6F654F1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Lack of time for medication reviews</w:t>
            </w:r>
          </w:p>
        </w:tc>
        <w:tc>
          <w:tcPr>
            <w:tcW w:w="4252" w:type="dxa"/>
          </w:tcPr>
          <w:p w14:paraId="1C97D13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●Cognitive impairment</w:t>
            </w:r>
          </w:p>
          <w:p w14:paraId="07410252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●Polypharmacy</w:t>
            </w:r>
          </w:p>
        </w:tc>
      </w:tr>
    </w:tbl>
    <w:p w14:paraId="57F854F8" w14:textId="77777777" w:rsidR="00506E73" w:rsidRDefault="00506E73" w:rsidP="00506E73"/>
    <w:p w14:paraId="6CE08828" w14:textId="77777777" w:rsidR="00506E73" w:rsidRDefault="00506E73" w:rsidP="00506E73"/>
    <w:p w14:paraId="7CD44D1B" w14:textId="77777777" w:rsidR="00506E73" w:rsidRDefault="00506E73" w:rsidP="00506E73"/>
    <w:p w14:paraId="779EF845" w14:textId="77777777" w:rsidR="00506E73" w:rsidRDefault="00506E73" w:rsidP="00506E73"/>
    <w:p w14:paraId="28A76BD3" w14:textId="39CFE5A6" w:rsidR="00506E73" w:rsidRPr="006F5BC7" w:rsidRDefault="00506E73" w:rsidP="00506E73">
      <w:pPr>
        <w:rPr>
          <w:rFonts w:cstheme="minorHAnsi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64"/>
        <w:gridCol w:w="1574"/>
        <w:gridCol w:w="2711"/>
        <w:gridCol w:w="4111"/>
        <w:gridCol w:w="4252"/>
      </w:tblGrid>
      <w:tr w:rsidR="00506E73" w:rsidRPr="00665726" w14:paraId="203E556E" w14:textId="77777777" w:rsidTr="003D6E64">
        <w:trPr>
          <w:trHeight w:val="416"/>
        </w:trPr>
        <w:tc>
          <w:tcPr>
            <w:tcW w:w="1664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E041C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Author &amp; Year</w:t>
            </w:r>
          </w:p>
        </w:tc>
        <w:tc>
          <w:tcPr>
            <w:tcW w:w="157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47B3F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71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CF5083" w14:textId="1C19A6C2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363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4508656" w14:textId="0F384D4A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7468A0BB" w14:textId="77777777" w:rsidTr="003D6E64">
        <w:trPr>
          <w:trHeight w:val="419"/>
        </w:trPr>
        <w:tc>
          <w:tcPr>
            <w:tcW w:w="1664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601BA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1296F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1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363069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EC0C3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2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9CFB7B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764D647C" w14:textId="77777777" w:rsidTr="003D6E64">
        <w:tc>
          <w:tcPr>
            <w:tcW w:w="1664" w:type="dxa"/>
            <w:vAlign w:val="center"/>
          </w:tcPr>
          <w:p w14:paraId="6CEB1A4B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C. Fortney et al. (2011)</w:t>
            </w:r>
          </w:p>
        </w:tc>
        <w:tc>
          <w:tcPr>
            <w:tcW w:w="1574" w:type="dxa"/>
            <w:vAlign w:val="center"/>
          </w:tcPr>
          <w:p w14:paraId="125CB2E6" w14:textId="77777777" w:rsidR="00506E73" w:rsidRPr="00665726" w:rsidRDefault="00506E73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Mixed – pharmacy records &amp; interviews</w:t>
            </w:r>
          </w:p>
        </w:tc>
        <w:tc>
          <w:tcPr>
            <w:tcW w:w="2711" w:type="dxa"/>
            <w:vAlign w:val="center"/>
          </w:tcPr>
          <w:p w14:paraId="0947DA94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24991C0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20D45411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sz w:val="18"/>
                <w:szCs w:val="18"/>
              </w:rPr>
              <w:t>Never started AD: Concerned about side effects, should solve problems without ADs, afraid would feel different, ADs not safe, ADs won't help</w:t>
            </w:r>
          </w:p>
          <w:p w14:paraId="0CA9D3C4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sz w:val="18"/>
                <w:szCs w:val="18"/>
              </w:rPr>
              <w:t>Discontinued AD: Not helping, side effects, felt different, should solve problems without ADs, not someone who takes ADs</w:t>
            </w:r>
          </w:p>
          <w:p w14:paraId="6A2DB388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sz w:val="18"/>
                <w:szCs w:val="18"/>
              </w:rPr>
              <w:t>Not taking as prescribed: Forgot to take dose, taking AD on PRN basis, concerned about addiction, side effects, not helping, should solve without ADs, not someone who takes ADs, forgot to refill prescription</w:t>
            </w:r>
          </w:p>
        </w:tc>
      </w:tr>
      <w:tr w:rsidR="00506E73" w:rsidRPr="00665726" w14:paraId="51E06C3A" w14:textId="77777777" w:rsidTr="003D6E64">
        <w:tc>
          <w:tcPr>
            <w:tcW w:w="1664" w:type="dxa"/>
            <w:vAlign w:val="center"/>
          </w:tcPr>
          <w:p w14:paraId="1214E17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E. Aikens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2005)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461A1B72" w14:textId="2D9693D3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questionnaire</w:t>
            </w:r>
          </w:p>
        </w:tc>
        <w:tc>
          <w:tcPr>
            <w:tcW w:w="2711" w:type="dxa"/>
            <w:vAlign w:val="center"/>
          </w:tcPr>
          <w:p w14:paraId="729BCB5D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5DD59EA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  <w:vAlign w:val="center"/>
          </w:tcPr>
          <w:p w14:paraId="67344DD9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Patients who were sceptical about medication were significantly less adherent to treatment than both ambivalent and accepting patients (both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&lt;0.05)</w:t>
            </w:r>
          </w:p>
          <w:p w14:paraId="5C9B6E39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●D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ifference from indifferent patients not statistically significant (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 xml:space="preserve">p 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= 0.057) </w:t>
            </w:r>
          </w:p>
        </w:tc>
      </w:tr>
      <w:tr w:rsidR="00506E73" w:rsidRPr="00665726" w14:paraId="2025FEF7" w14:textId="77777777" w:rsidTr="003D6E64">
        <w:tc>
          <w:tcPr>
            <w:tcW w:w="1664" w:type="dxa"/>
            <w:vAlign w:val="center"/>
          </w:tcPr>
          <w:p w14:paraId="29A4E003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P. H. Noel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2005)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35329EF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questionnaire</w:t>
            </w:r>
          </w:p>
        </w:tc>
        <w:tc>
          <w:tcPr>
            <w:tcW w:w="2711" w:type="dxa"/>
            <w:vAlign w:val="center"/>
          </w:tcPr>
          <w:p w14:paraId="720A502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10B31A1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41FC469C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●T</w:t>
            </w:r>
            <w:r w:rsidRPr="003E6483">
              <w:rPr>
                <w:rFonts w:cstheme="minorHAnsi"/>
                <w:sz w:val="18"/>
                <w:szCs w:val="18"/>
              </w:rPr>
              <w:t>ravel time to a pharmacy of less than 30 minutes were more likely to be adherent at 1 month (</w:t>
            </w:r>
            <w:r w:rsidRPr="003E6483">
              <w:rPr>
                <w:rFonts w:cstheme="minorHAnsi"/>
                <w:i/>
                <w:iCs/>
                <w:sz w:val="18"/>
                <w:szCs w:val="18"/>
              </w:rPr>
              <w:t>p =</w:t>
            </w:r>
            <w:r w:rsidRPr="003E6483">
              <w:rPr>
                <w:rFonts w:cstheme="minorHAnsi"/>
                <w:sz w:val="18"/>
                <w:szCs w:val="18"/>
              </w:rPr>
              <w:t xml:space="preserve"> 0.04)</w:t>
            </w:r>
          </w:p>
          <w:p w14:paraId="062DA43E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sz w:val="18"/>
                <w:szCs w:val="18"/>
              </w:rPr>
              <w:t>Travel time of less than 30 minutes continued</w:t>
            </w:r>
          </w:p>
          <w:p w14:paraId="2002A2A3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3E6483">
              <w:rPr>
                <w:rFonts w:cstheme="minorHAnsi"/>
                <w:sz w:val="18"/>
                <w:szCs w:val="18"/>
              </w:rPr>
              <w:t>to predict adherence at 6 months (</w:t>
            </w:r>
            <w:r w:rsidRPr="003E6483">
              <w:rPr>
                <w:rFonts w:cstheme="minorHAnsi"/>
                <w:i/>
                <w:iCs/>
                <w:sz w:val="18"/>
                <w:szCs w:val="18"/>
              </w:rPr>
              <w:t>p =</w:t>
            </w:r>
            <w:r w:rsidRPr="003E6483">
              <w:rPr>
                <w:rFonts w:cstheme="minorHAnsi"/>
                <w:sz w:val="18"/>
                <w:szCs w:val="18"/>
              </w:rPr>
              <w:t xml:space="preserve"> 0.01) </w:t>
            </w:r>
          </w:p>
        </w:tc>
      </w:tr>
      <w:tr w:rsidR="00506E73" w:rsidRPr="00665726" w14:paraId="613382CE" w14:textId="77777777" w:rsidTr="003D6E64">
        <w:tc>
          <w:tcPr>
            <w:tcW w:w="1664" w:type="dxa"/>
            <w:vAlign w:val="center"/>
          </w:tcPr>
          <w:p w14:paraId="6CB3029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B. Tamburrino et al. (2009)</w:t>
            </w:r>
          </w:p>
        </w:tc>
        <w:tc>
          <w:tcPr>
            <w:tcW w:w="1574" w:type="dxa"/>
            <w:vAlign w:val="center"/>
          </w:tcPr>
          <w:p w14:paraId="2A77A29E" w14:textId="2189493D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questionnaire</w:t>
            </w:r>
          </w:p>
        </w:tc>
        <w:tc>
          <w:tcPr>
            <w:tcW w:w="2711" w:type="dxa"/>
            <w:vAlign w:val="center"/>
          </w:tcPr>
          <w:p w14:paraId="4AA644C4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67A8E3F9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553EC051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Felt better or worse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&lt;0.001</w:t>
            </w:r>
          </w:p>
          <w:p w14:paraId="6364BCBD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●C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areless about taking their medication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&lt;0.001</w:t>
            </w:r>
          </w:p>
          <w:p w14:paraId="2AA98C48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●F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orgotten to take their medication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&lt;0.05</w:t>
            </w:r>
          </w:p>
          <w:p w14:paraId="45777608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●B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elieved the medication may harm them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&lt;0.001</w:t>
            </w:r>
          </w:p>
          <w:p w14:paraId="12F7DC83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Worried about side effects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&lt;0.01</w:t>
            </w:r>
          </w:p>
          <w:p w14:paraId="49D34BA1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231F2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Had asked the doctor for an antidepressant medication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&lt;0.05 </w:t>
            </w:r>
          </w:p>
          <w:p w14:paraId="4A09489D" w14:textId="77777777" w:rsidR="00506E73" w:rsidRPr="003E6483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3E6483">
              <w:rPr>
                <w:rFonts w:cstheme="minorHAnsi"/>
                <w:color w:val="000000"/>
                <w:sz w:val="18"/>
                <w:szCs w:val="18"/>
              </w:rPr>
              <w:t>●H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 xml:space="preserve">ad requested a specific antidepressant </w:t>
            </w:r>
            <w:r w:rsidRPr="003E6483">
              <w:rPr>
                <w:rFonts w:cstheme="minorHAnsi"/>
                <w:i/>
                <w:iCs/>
                <w:color w:val="231F20"/>
                <w:sz w:val="18"/>
                <w:szCs w:val="18"/>
              </w:rPr>
              <w:t>p</w:t>
            </w:r>
            <w:r w:rsidRPr="003E6483">
              <w:rPr>
                <w:rFonts w:cstheme="minorHAnsi"/>
                <w:color w:val="231F20"/>
                <w:sz w:val="18"/>
                <w:szCs w:val="18"/>
              </w:rPr>
              <w:t>&lt;0.01</w:t>
            </w:r>
          </w:p>
        </w:tc>
      </w:tr>
    </w:tbl>
    <w:p w14:paraId="102DF587" w14:textId="77777777" w:rsidR="00506E73" w:rsidRDefault="00506E73" w:rsidP="00506E73"/>
    <w:p w14:paraId="4E30E39B" w14:textId="77777777" w:rsidR="00506E73" w:rsidRDefault="00506E73" w:rsidP="00506E73"/>
    <w:p w14:paraId="4498878D" w14:textId="77777777" w:rsidR="00506E73" w:rsidRDefault="00506E73" w:rsidP="00506E73"/>
    <w:p w14:paraId="2A9508B0" w14:textId="77777777" w:rsidR="00506E73" w:rsidRDefault="00506E73" w:rsidP="00506E73"/>
    <w:p w14:paraId="327B00F6" w14:textId="0E51A423" w:rsidR="00506E73" w:rsidRPr="006F5BC7" w:rsidRDefault="00506E73" w:rsidP="00506E73">
      <w:pPr>
        <w:rPr>
          <w:rFonts w:cstheme="minorHAnsi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64"/>
        <w:gridCol w:w="1574"/>
        <w:gridCol w:w="2711"/>
        <w:gridCol w:w="4111"/>
        <w:gridCol w:w="4252"/>
      </w:tblGrid>
      <w:tr w:rsidR="00506E73" w:rsidRPr="00665726" w14:paraId="2373E537" w14:textId="77777777" w:rsidTr="003D6E64">
        <w:trPr>
          <w:trHeight w:val="416"/>
        </w:trPr>
        <w:tc>
          <w:tcPr>
            <w:tcW w:w="1664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E0999C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Author &amp; Year</w:t>
            </w:r>
          </w:p>
        </w:tc>
        <w:tc>
          <w:tcPr>
            <w:tcW w:w="157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A71D10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71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6C23AE" w14:textId="27AB2D2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363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A1778B" w14:textId="65B004DC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1FF36927" w14:textId="77777777" w:rsidTr="003D6E64">
        <w:trPr>
          <w:trHeight w:val="419"/>
        </w:trPr>
        <w:tc>
          <w:tcPr>
            <w:tcW w:w="1664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02D410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3247F69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1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8BF21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09229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2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F81C1C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11E1C6B6" w14:textId="77777777" w:rsidTr="003D6E64">
        <w:tc>
          <w:tcPr>
            <w:tcW w:w="1664" w:type="dxa"/>
            <w:vAlign w:val="center"/>
          </w:tcPr>
          <w:p w14:paraId="5815B4B0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A. Bates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2010)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53C1B4A1" w14:textId="3B80A350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questionnaire</w:t>
            </w:r>
          </w:p>
        </w:tc>
        <w:tc>
          <w:tcPr>
            <w:tcW w:w="2711" w:type="dxa"/>
            <w:vAlign w:val="center"/>
          </w:tcPr>
          <w:p w14:paraId="493B658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06B281C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0929565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●S</w:t>
            </w:r>
            <w:r w:rsidRPr="00665726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ignificant negative correlations between the symptom severity (OR = 0.812, 95% CI, 0.665–0.992) and the side effect scales (OR = 0.962, 95% CI, 0.937–0.987) on adherence</w:t>
            </w:r>
          </w:p>
        </w:tc>
      </w:tr>
      <w:tr w:rsidR="00506E73" w:rsidRPr="00665726" w14:paraId="01AAF7C1" w14:textId="77777777" w:rsidTr="003D6E64">
        <w:tc>
          <w:tcPr>
            <w:tcW w:w="1664" w:type="dxa"/>
            <w:vAlign w:val="center"/>
          </w:tcPr>
          <w:p w14:paraId="1D90E0B4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D. C. Bultman et al. (2000)</w:t>
            </w:r>
          </w:p>
        </w:tc>
        <w:tc>
          <w:tcPr>
            <w:tcW w:w="1574" w:type="dxa"/>
            <w:vAlign w:val="center"/>
          </w:tcPr>
          <w:p w14:paraId="5A090FCA" w14:textId="068B9F09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litative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interview</w:t>
            </w:r>
          </w:p>
        </w:tc>
        <w:tc>
          <w:tcPr>
            <w:tcW w:w="2711" w:type="dxa"/>
            <w:vAlign w:val="center"/>
          </w:tcPr>
          <w:p w14:paraId="28AF8D4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</w:tcPr>
          <w:p w14:paraId="71CBAEE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●P</w:t>
            </w:r>
            <w:r w:rsidRPr="00665726">
              <w:rPr>
                <w:rFonts w:cstheme="minorHAnsi"/>
                <w:sz w:val="20"/>
                <w:szCs w:val="20"/>
              </w:rPr>
              <w:t>hysician initial collaborative communication style</w:t>
            </w:r>
          </w:p>
        </w:tc>
        <w:tc>
          <w:tcPr>
            <w:tcW w:w="4252" w:type="dxa"/>
          </w:tcPr>
          <w:p w14:paraId="2E0223D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●Initial beliefs/Knowledge</w:t>
            </w:r>
          </w:p>
          <w:p w14:paraId="2325F16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●Treatment satisfaction</w:t>
            </w:r>
          </w:p>
        </w:tc>
      </w:tr>
      <w:tr w:rsidR="00506E73" w:rsidRPr="00665726" w14:paraId="462E1BC4" w14:textId="77777777" w:rsidTr="003D6E64">
        <w:tc>
          <w:tcPr>
            <w:tcW w:w="1664" w:type="dxa"/>
            <w:vAlign w:val="center"/>
          </w:tcPr>
          <w:p w14:paraId="16EF59D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S. Bhat et al. (2018)</w:t>
            </w:r>
          </w:p>
        </w:tc>
        <w:tc>
          <w:tcPr>
            <w:tcW w:w="1574" w:type="dxa"/>
            <w:vAlign w:val="center"/>
          </w:tcPr>
          <w:p w14:paraId="775665D2" w14:textId="519AE15A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medication review</w:t>
            </w:r>
          </w:p>
        </w:tc>
        <w:tc>
          <w:tcPr>
            <w:tcW w:w="2711" w:type="dxa"/>
            <w:vAlign w:val="center"/>
          </w:tcPr>
          <w:p w14:paraId="488D1C8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688C4EF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69BE577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●H</w:t>
            </w:r>
            <w:r w:rsidRPr="00665726">
              <w:rPr>
                <w:rFonts w:cstheme="minorHAnsi"/>
                <w:sz w:val="20"/>
                <w:szCs w:val="20"/>
              </w:rPr>
              <w:t>igher number of prescription medication</w:t>
            </w:r>
            <w:r>
              <w:rPr>
                <w:rFonts w:cstheme="minorHAnsi"/>
                <w:sz w:val="20"/>
                <w:szCs w:val="20"/>
              </w:rPr>
              <w:t>s</w:t>
            </w:r>
            <w:r w:rsidRPr="00665726">
              <w:rPr>
                <w:rFonts w:cstheme="minorHAnsi"/>
                <w:sz w:val="20"/>
                <w:szCs w:val="20"/>
              </w:rPr>
              <w:t xml:space="preserve"> associated with nonadherence and adverse effects </w:t>
            </w:r>
          </w:p>
        </w:tc>
      </w:tr>
      <w:tr w:rsidR="00506E73" w:rsidRPr="00665726" w14:paraId="226133C7" w14:textId="77777777" w:rsidTr="003D6E64">
        <w:tc>
          <w:tcPr>
            <w:tcW w:w="1664" w:type="dxa"/>
            <w:vAlign w:val="center"/>
          </w:tcPr>
          <w:p w14:paraId="71EBF622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Spoont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2005)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044E5E9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questionnaire</w:t>
            </w:r>
          </w:p>
        </w:tc>
        <w:tc>
          <w:tcPr>
            <w:tcW w:w="2711" w:type="dxa"/>
            <w:vAlign w:val="center"/>
          </w:tcPr>
          <w:p w14:paraId="4D8F20B7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06E6FB3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6640A56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●B</w:t>
            </w:r>
            <w:r w:rsidRPr="00665726">
              <w:rPr>
                <w:rFonts w:cstheme="minorHAnsi"/>
                <w:sz w:val="20"/>
                <w:szCs w:val="20"/>
              </w:rPr>
              <w:t>iologic conceptualisation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5726">
              <w:rPr>
                <w:rFonts w:cstheme="minorHAnsi"/>
                <w:sz w:val="20"/>
                <w:szCs w:val="20"/>
              </w:rPr>
              <w:t>associated with nearly a fivefold increased likelihood of underuse of medication</w:t>
            </w:r>
          </w:p>
          <w:p w14:paraId="591554C0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●Benzodiazepine use</w:t>
            </w:r>
          </w:p>
        </w:tc>
      </w:tr>
      <w:tr w:rsidR="00506E73" w:rsidRPr="00665726" w14:paraId="4D26C398" w14:textId="77777777" w:rsidTr="003D6E64">
        <w:tc>
          <w:tcPr>
            <w:tcW w:w="1664" w:type="dxa"/>
            <w:vAlign w:val="center"/>
          </w:tcPr>
          <w:p w14:paraId="060C0D9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S. L. Toomey et al. (2012)</w:t>
            </w:r>
          </w:p>
        </w:tc>
        <w:tc>
          <w:tcPr>
            <w:tcW w:w="1574" w:type="dxa"/>
            <w:vAlign w:val="center"/>
          </w:tcPr>
          <w:p w14:paraId="177251D2" w14:textId="4E33A9CD" w:rsidR="00506E73" w:rsidRPr="00665726" w:rsidRDefault="007C23B9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Qualitative – telephone interview</w:t>
            </w:r>
          </w:p>
        </w:tc>
        <w:tc>
          <w:tcPr>
            <w:tcW w:w="2711" w:type="dxa"/>
            <w:vAlign w:val="center"/>
          </w:tcPr>
          <w:p w14:paraId="17B9915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4509D5A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25573F97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>ADHD is best treated with counselling</w:t>
            </w:r>
          </w:p>
          <w:p w14:paraId="1F2F535B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Preference for 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>counselling over medicine to treat child’s ADHD</w:t>
            </w:r>
          </w:p>
          <w:p w14:paraId="759D992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>
              <w:rPr>
                <w:rFonts w:eastAsia="TimesNewRomanPSMT" w:cstheme="minorHAnsi"/>
                <w:sz w:val="20"/>
                <w:szCs w:val="20"/>
              </w:rPr>
              <w:t>Belief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 xml:space="preserve"> that medicines to treat ADHD have bad side effects</w:t>
            </w:r>
          </w:p>
          <w:p w14:paraId="3A0A72B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>
              <w:rPr>
                <w:rFonts w:cstheme="minorHAnsi"/>
                <w:color w:val="000000"/>
                <w:sz w:val="20"/>
                <w:szCs w:val="20"/>
              </w:rPr>
              <w:t>Belief that s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 xml:space="preserve">ometimes </w:t>
            </w:r>
            <w:r>
              <w:rPr>
                <w:rFonts w:eastAsia="TimesNewRomanPSMT" w:cstheme="minorHAnsi"/>
                <w:sz w:val="20"/>
                <w:szCs w:val="20"/>
              </w:rPr>
              <w:t>do not nee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>d to use as much ADHD medicine as the doctor has prescribed</w:t>
            </w:r>
          </w:p>
          <w:p w14:paraId="3DDFE42C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>
              <w:rPr>
                <w:rFonts w:eastAsia="TimesNewRomanPSMT" w:cstheme="minorHAnsi"/>
                <w:sz w:val="20"/>
                <w:szCs w:val="20"/>
              </w:rPr>
              <w:t>Worries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 xml:space="preserve"> about the long-term effects of ADHD medication</w:t>
            </w:r>
          </w:p>
          <w:p w14:paraId="514131F7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eastAsia="TimesNewRomanPSMT"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●P</w:t>
            </w:r>
            <w:r w:rsidRPr="00665726">
              <w:rPr>
                <w:rFonts w:eastAsia="TimesNewRomanPSMT" w:cstheme="minorHAnsi"/>
                <w:sz w:val="20"/>
                <w:szCs w:val="20"/>
              </w:rPr>
              <w:t>erceived lack of medication effectiveness</w:t>
            </w:r>
          </w:p>
        </w:tc>
      </w:tr>
      <w:tr w:rsidR="00506E73" w:rsidRPr="00665726" w14:paraId="06A9D7E1" w14:textId="77777777" w:rsidTr="003D6E64">
        <w:tc>
          <w:tcPr>
            <w:tcW w:w="1664" w:type="dxa"/>
            <w:vAlign w:val="center"/>
          </w:tcPr>
          <w:p w14:paraId="632A8984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M. Dibonaventura et al. (2012)</w:t>
            </w:r>
          </w:p>
        </w:tc>
        <w:tc>
          <w:tcPr>
            <w:tcW w:w="1574" w:type="dxa"/>
            <w:vAlign w:val="center"/>
          </w:tcPr>
          <w:p w14:paraId="71EA6AFC" w14:textId="7A1BF95F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–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questionnaire &amp; interview</w:t>
            </w:r>
          </w:p>
        </w:tc>
        <w:tc>
          <w:tcPr>
            <w:tcW w:w="2711" w:type="dxa"/>
            <w:vAlign w:val="center"/>
          </w:tcPr>
          <w:p w14:paraId="4917442D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Non-Adherence</w:t>
            </w:r>
          </w:p>
        </w:tc>
        <w:tc>
          <w:tcPr>
            <w:tcW w:w="4111" w:type="dxa"/>
            <w:vAlign w:val="center"/>
          </w:tcPr>
          <w:p w14:paraId="1C9F4B4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261820AA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Side effects assessed were significantly associated with a decreased likelihood of medication adherence</w:t>
            </w:r>
          </w:p>
        </w:tc>
      </w:tr>
    </w:tbl>
    <w:p w14:paraId="3CCB761B" w14:textId="77777777" w:rsidR="00506E73" w:rsidRDefault="00506E73" w:rsidP="00506E73"/>
    <w:p w14:paraId="647EB975" w14:textId="77777777" w:rsidR="00506E73" w:rsidRDefault="00506E73" w:rsidP="00506E73"/>
    <w:p w14:paraId="6C9D9A90" w14:textId="542F93C0" w:rsidR="00506E73" w:rsidRPr="00665726" w:rsidRDefault="00506E73" w:rsidP="00506E73">
      <w:pPr>
        <w:rPr>
          <w:rFonts w:cstheme="minorHAnsi"/>
          <w:b/>
          <w:bCs/>
          <w:u w:val="singl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45"/>
        <w:gridCol w:w="1737"/>
        <w:gridCol w:w="2689"/>
        <w:gridCol w:w="4044"/>
        <w:gridCol w:w="4197"/>
      </w:tblGrid>
      <w:tr w:rsidR="00506E73" w:rsidRPr="00665726" w14:paraId="76F5A88A" w14:textId="77777777" w:rsidTr="003D6E64">
        <w:trPr>
          <w:trHeight w:val="416"/>
        </w:trPr>
        <w:tc>
          <w:tcPr>
            <w:tcW w:w="1645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53F7714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Author &amp; Year</w:t>
            </w:r>
          </w:p>
        </w:tc>
        <w:tc>
          <w:tcPr>
            <w:tcW w:w="1737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EC82258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689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EDA48FB" w14:textId="5D0B1C41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241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72EBC2C" w14:textId="23FD7581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38E984B9" w14:textId="77777777" w:rsidTr="003D6E64">
        <w:trPr>
          <w:trHeight w:val="419"/>
        </w:trPr>
        <w:tc>
          <w:tcPr>
            <w:tcW w:w="1645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94FBE0D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3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33AE5B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89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8C8EE0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0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5213F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1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D40C5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23C51AC1" w14:textId="77777777" w:rsidTr="003D6E64">
        <w:tc>
          <w:tcPr>
            <w:tcW w:w="1645" w:type="dxa"/>
            <w:vAlign w:val="center"/>
          </w:tcPr>
          <w:p w14:paraId="71958C5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T. Hanlon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2011)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737" w:type="dxa"/>
            <w:vAlign w:val="center"/>
          </w:tcPr>
          <w:p w14:paraId="1136BFDA" w14:textId="77777777" w:rsidR="00506E73" w:rsidRPr="00665726" w:rsidRDefault="00506E73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medical records &amp; interviews</w:t>
            </w:r>
          </w:p>
        </w:tc>
        <w:tc>
          <w:tcPr>
            <w:tcW w:w="2689" w:type="dxa"/>
            <w:vAlign w:val="center"/>
          </w:tcPr>
          <w:p w14:paraId="7C6ACF9B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Overuse/underuse (non-adherence)</w:t>
            </w:r>
          </w:p>
        </w:tc>
        <w:tc>
          <w:tcPr>
            <w:tcW w:w="4044" w:type="dxa"/>
            <w:vAlign w:val="center"/>
          </w:tcPr>
          <w:p w14:paraId="28AB5D1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197" w:type="dxa"/>
          </w:tcPr>
          <w:p w14:paraId="511F889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●Factors significantly associated with a reduced risk of potential underuse in patients with depression included polypharmacy (i.e., taking &gt; 5 medications), history of cancer, or taking an antipsychotic without evidence of schizophrenia; ●One factor was associated with an increased risk of potential underuse – activities of daily living dependencies </w:t>
            </w:r>
          </w:p>
          <w:p w14:paraId="41C7A9A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●Moderate to severe pain and those taking an anxiolytic/hypnotic were at significantly increased risk of inappropriate use (rather than appropriate use)</w:t>
            </w:r>
          </w:p>
        </w:tc>
      </w:tr>
      <w:tr w:rsidR="00506E73" w:rsidRPr="00665726" w14:paraId="6A7B7D8A" w14:textId="77777777" w:rsidTr="003D6E64">
        <w:tc>
          <w:tcPr>
            <w:tcW w:w="1645" w:type="dxa"/>
            <w:vAlign w:val="center"/>
          </w:tcPr>
          <w:p w14:paraId="5BA02DD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T. Hanlon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2015)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737" w:type="dxa"/>
            <w:vAlign w:val="center"/>
          </w:tcPr>
          <w:p w14:paraId="2B0B4EC6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medical/pharmacy records</w:t>
            </w:r>
          </w:p>
        </w:tc>
        <w:tc>
          <w:tcPr>
            <w:tcW w:w="2689" w:type="dxa"/>
            <w:vAlign w:val="center"/>
          </w:tcPr>
          <w:p w14:paraId="6BD9C836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Overuse/underuse</w:t>
            </w:r>
          </w:p>
          <w:p w14:paraId="1CE2A7F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Inappropriate use (non-adherence)</w:t>
            </w:r>
          </w:p>
        </w:tc>
        <w:tc>
          <w:tcPr>
            <w:tcW w:w="4044" w:type="dxa"/>
            <w:vAlign w:val="center"/>
          </w:tcPr>
          <w:p w14:paraId="3E539629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197" w:type="dxa"/>
            <w:vAlign w:val="center"/>
          </w:tcPr>
          <w:p w14:paraId="27B48966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●Mild-moderate dementia: ethnicity and polypharmacy and mental health illness significantly more likely to underuse only or both under and inappropriate use – same result for antidepressant users</w:t>
            </w:r>
          </w:p>
          <w:p w14:paraId="5407D41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●Severe dementia: co-morbidities increased overuse and inappropriate use risk</w:t>
            </w:r>
          </w:p>
          <w:p w14:paraId="4B61300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●Antipsychotic use associated with all three types (overuse, inappropriate use, or both)</w:t>
            </w:r>
          </w:p>
        </w:tc>
      </w:tr>
      <w:tr w:rsidR="00506E73" w:rsidRPr="00665726" w14:paraId="222EFE4A" w14:textId="77777777" w:rsidTr="003D6E64">
        <w:tc>
          <w:tcPr>
            <w:tcW w:w="1645" w:type="dxa"/>
            <w:vAlign w:val="center"/>
          </w:tcPr>
          <w:p w14:paraId="1E8BF58B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J. Raynsford et al. (2020)</w:t>
            </w:r>
          </w:p>
        </w:tc>
        <w:tc>
          <w:tcPr>
            <w:tcW w:w="1737" w:type="dxa"/>
            <w:vAlign w:val="center"/>
          </w:tcPr>
          <w:p w14:paraId="7A57AA3D" w14:textId="2ACBD8EE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ntitative – </w:t>
            </w:r>
            <w:r w:rsidR="007C23B9">
              <w:rPr>
                <w:rFonts w:cstheme="minorHAnsi"/>
                <w:color w:val="000000"/>
                <w:sz w:val="20"/>
                <w:szCs w:val="20"/>
              </w:rPr>
              <w:t>medical records</w:t>
            </w:r>
          </w:p>
        </w:tc>
        <w:tc>
          <w:tcPr>
            <w:tcW w:w="2689" w:type="dxa"/>
            <w:vAlign w:val="center"/>
          </w:tcPr>
          <w:p w14:paraId="102AD0B6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Monitoring</w:t>
            </w:r>
          </w:p>
          <w:p w14:paraId="559594FB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Drug errors – wrong dose, unclear directions</w:t>
            </w:r>
          </w:p>
        </w:tc>
        <w:tc>
          <w:tcPr>
            <w:tcW w:w="4044" w:type="dxa"/>
          </w:tcPr>
          <w:p w14:paraId="66814A3B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●L</w:t>
            </w:r>
            <w:r w:rsidRPr="00665726">
              <w:rPr>
                <w:rFonts w:cstheme="minorHAnsi"/>
                <w:sz w:val="20"/>
                <w:szCs w:val="20"/>
              </w:rPr>
              <w:t>ack of clarity whether tests should be done by primary or secondary care</w:t>
            </w:r>
          </w:p>
          <w:p w14:paraId="0909AC9A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 xml:space="preserve">50% of errors due to poor communication from secondary care </w:t>
            </w:r>
          </w:p>
          <w:p w14:paraId="532F4A63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 xml:space="preserve">50% </w:t>
            </w:r>
            <w:r>
              <w:rPr>
                <w:rFonts w:cstheme="minorHAnsi"/>
                <w:sz w:val="20"/>
                <w:szCs w:val="20"/>
              </w:rPr>
              <w:t xml:space="preserve">due </w:t>
            </w:r>
            <w:r w:rsidRPr="00665726">
              <w:rPr>
                <w:rFonts w:cstheme="minorHAnsi"/>
                <w:sz w:val="20"/>
                <w:szCs w:val="20"/>
              </w:rPr>
              <w:t>to instructions from</w:t>
            </w:r>
          </w:p>
          <w:p w14:paraId="5845ABE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>secondary care being missed by GPs</w:t>
            </w:r>
          </w:p>
          <w:p w14:paraId="03DFB082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Poor understanding of shared care guidelines</w:t>
            </w:r>
          </w:p>
        </w:tc>
        <w:tc>
          <w:tcPr>
            <w:tcW w:w="4197" w:type="dxa"/>
            <w:vAlign w:val="center"/>
          </w:tcPr>
          <w:p w14:paraId="37830F91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●P</w:t>
            </w:r>
            <w:r w:rsidRPr="00665726">
              <w:rPr>
                <w:rFonts w:cstheme="minorHAnsi"/>
                <w:sz w:val="20"/>
                <w:szCs w:val="20"/>
              </w:rPr>
              <w:t>atient not attending despite requests from surgery</w:t>
            </w:r>
          </w:p>
          <w:p w14:paraId="39F90B30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●P</w:t>
            </w:r>
            <w:r w:rsidRPr="00665726">
              <w:rPr>
                <w:rFonts w:cstheme="minorHAnsi"/>
                <w:sz w:val="20"/>
                <w:szCs w:val="20"/>
              </w:rPr>
              <w:t>atient being abroad for an extended period</w:t>
            </w:r>
          </w:p>
        </w:tc>
      </w:tr>
    </w:tbl>
    <w:p w14:paraId="7FDE2C27" w14:textId="77777777" w:rsidR="00506E73" w:rsidRDefault="00506E73" w:rsidP="00506E73"/>
    <w:p w14:paraId="0950DB1E" w14:textId="77777777" w:rsidR="00506E73" w:rsidRDefault="00506E73" w:rsidP="00506E73"/>
    <w:p w14:paraId="7DF2C69E" w14:textId="2E449102" w:rsidR="00506E73" w:rsidRDefault="00506E73" w:rsidP="00506E73">
      <w:pPr>
        <w:rPr>
          <w:rFonts w:cstheme="minorHAnsi"/>
          <w:b/>
          <w:bCs/>
          <w:u w:val="singl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664"/>
        <w:gridCol w:w="1574"/>
        <w:gridCol w:w="2711"/>
        <w:gridCol w:w="4111"/>
        <w:gridCol w:w="4252"/>
      </w:tblGrid>
      <w:tr w:rsidR="00506E73" w:rsidRPr="00665726" w14:paraId="5851C654" w14:textId="77777777" w:rsidTr="003D6E64">
        <w:trPr>
          <w:trHeight w:val="416"/>
        </w:trPr>
        <w:tc>
          <w:tcPr>
            <w:tcW w:w="1664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5BA887E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Author &amp; Year</w:t>
            </w:r>
          </w:p>
        </w:tc>
        <w:tc>
          <w:tcPr>
            <w:tcW w:w="157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133598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Data type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&amp; Collection method</w:t>
            </w:r>
          </w:p>
        </w:tc>
        <w:tc>
          <w:tcPr>
            <w:tcW w:w="2711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FBF0AB" w14:textId="5081C6C9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</w:t>
            </w: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(s) with aetiological data</w:t>
            </w:r>
          </w:p>
        </w:tc>
        <w:tc>
          <w:tcPr>
            <w:tcW w:w="8363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4CB1E7" w14:textId="1EC14021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Aetiology of safety </w:t>
            </w:r>
            <w:r w:rsidR="00F33224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challenge(s)</w:t>
            </w:r>
          </w:p>
        </w:tc>
      </w:tr>
      <w:tr w:rsidR="00506E73" w:rsidRPr="00665726" w14:paraId="252AA270" w14:textId="77777777" w:rsidTr="003D6E64">
        <w:trPr>
          <w:trHeight w:val="419"/>
        </w:trPr>
        <w:tc>
          <w:tcPr>
            <w:tcW w:w="1664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432756F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CFF2E6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71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A637A5" w14:textId="77777777" w:rsidR="00506E73" w:rsidRPr="00665726" w:rsidRDefault="00506E73" w:rsidP="003D6E64">
            <w:pPr>
              <w:autoSpaceDE w:val="0"/>
              <w:autoSpaceDN w:val="0"/>
              <w:adjustRightInd w:val="0"/>
              <w:ind w:firstLine="72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B1A9D4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Prescriber-related</w:t>
            </w:r>
          </w:p>
        </w:tc>
        <w:tc>
          <w:tcPr>
            <w:tcW w:w="42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BCD11A5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Patient-related</w:t>
            </w:r>
          </w:p>
        </w:tc>
      </w:tr>
      <w:tr w:rsidR="00506E73" w:rsidRPr="00665726" w14:paraId="59B65D4C" w14:textId="77777777" w:rsidTr="003D6E64">
        <w:tc>
          <w:tcPr>
            <w:tcW w:w="1664" w:type="dxa"/>
            <w:vAlign w:val="center"/>
          </w:tcPr>
          <w:p w14:paraId="6FA65EB4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C. Parsons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2012)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5C8C0C2F" w14:textId="77777777" w:rsidR="00506E73" w:rsidRPr="00665726" w:rsidRDefault="00506E73" w:rsidP="003D6E6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medication administration records</w:t>
            </w:r>
          </w:p>
        </w:tc>
        <w:tc>
          <w:tcPr>
            <w:tcW w:w="2711" w:type="dxa"/>
            <w:vAlign w:val="center"/>
          </w:tcPr>
          <w:p w14:paraId="03BC5D64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PIM</w:t>
            </w:r>
          </w:p>
        </w:tc>
        <w:tc>
          <w:tcPr>
            <w:tcW w:w="4111" w:type="dxa"/>
            <w:vAlign w:val="center"/>
          </w:tcPr>
          <w:p w14:paraId="6C57718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●Correlation observed between number of medications prescrib</w:t>
            </w:r>
            <w:r>
              <w:rPr>
                <w:rFonts w:cstheme="minorHAnsi"/>
                <w:color w:val="000000"/>
                <w:sz w:val="20"/>
                <w:szCs w:val="20"/>
              </w:rPr>
              <w:t>ed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 and occurrence of PIM, using Spearmans Correlation test (</w:t>
            </w:r>
            <w:r w:rsidRPr="0066572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t>&lt;0.001)</w:t>
            </w:r>
          </w:p>
        </w:tc>
        <w:tc>
          <w:tcPr>
            <w:tcW w:w="4252" w:type="dxa"/>
            <w:vAlign w:val="center"/>
          </w:tcPr>
          <w:p w14:paraId="71AB750D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</w:tr>
      <w:tr w:rsidR="0049273B" w:rsidRPr="00665726" w14:paraId="70E52470" w14:textId="77777777" w:rsidTr="0049273B">
        <w:tc>
          <w:tcPr>
            <w:tcW w:w="1664" w:type="dxa"/>
            <w:vAlign w:val="center"/>
          </w:tcPr>
          <w:p w14:paraId="71CD122F" w14:textId="4426B5DA" w:rsidR="0049273B" w:rsidRPr="00665726" w:rsidRDefault="0049273B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9273B">
              <w:rPr>
                <w:rFonts w:cstheme="minorHAnsi"/>
                <w:color w:val="000000"/>
                <w:sz w:val="20"/>
                <w:szCs w:val="20"/>
              </w:rPr>
              <w:t>W. Y. Khawagi et al. (</w:t>
            </w:r>
            <w:proofErr w:type="gramStart"/>
            <w:r w:rsidRPr="0049273B">
              <w:rPr>
                <w:rFonts w:cstheme="minorHAnsi"/>
                <w:color w:val="000000"/>
                <w:sz w:val="20"/>
                <w:szCs w:val="20"/>
              </w:rPr>
              <w:t>2021)</w:t>
            </w:r>
            <w:r w:rsidR="00816964"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633F9773" w14:textId="5D2E3097" w:rsidR="0049273B" w:rsidRPr="00665726" w:rsidRDefault="0049273B" w:rsidP="003D6E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Quantitative – Clinical database</w:t>
            </w:r>
          </w:p>
        </w:tc>
        <w:tc>
          <w:tcPr>
            <w:tcW w:w="2711" w:type="dxa"/>
            <w:vAlign w:val="center"/>
          </w:tcPr>
          <w:p w14:paraId="19A1F2B8" w14:textId="47C1EB41" w:rsidR="0049273B" w:rsidRPr="00665726" w:rsidRDefault="0049273B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PHP</w:t>
            </w:r>
            <w:r>
              <w:rPr>
                <w:rFonts w:cstheme="minorHAnsi"/>
                <w:color w:val="000000"/>
                <w:sz w:val="20"/>
                <w:szCs w:val="20"/>
              </w:rPr>
              <w:br/>
              <w:t>Monitoring</w:t>
            </w:r>
          </w:p>
        </w:tc>
        <w:tc>
          <w:tcPr>
            <w:tcW w:w="4111" w:type="dxa"/>
            <w:vAlign w:val="center"/>
          </w:tcPr>
          <w:p w14:paraId="5A096C9B" w14:textId="77777777" w:rsidR="0049273B" w:rsidRDefault="00876C8D" w:rsidP="00876C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876C8D">
              <w:rPr>
                <w:rFonts w:cstheme="minorHAnsi"/>
                <w:color w:val="000000"/>
                <w:sz w:val="20"/>
                <w:szCs w:val="20"/>
              </w:rPr>
              <w:t xml:space="preserve">Practices in the most deprived localities – patients had higher odds of PHP compared to patients from least deprived localities </w:t>
            </w:r>
            <w:r w:rsidRPr="00876C8D">
              <w:rPr>
                <w:rFonts w:cstheme="minorHAnsi"/>
                <w:sz w:val="20"/>
                <w:szCs w:val="20"/>
              </w:rPr>
              <w:t>(adjusted OR 1.10, 95% CI 1.03 to 1.17)</w:t>
            </w:r>
          </w:p>
          <w:p w14:paraId="74E92B72" w14:textId="38F4E679" w:rsidR="0004590E" w:rsidRPr="00876C8D" w:rsidRDefault="0004590E" w:rsidP="00876C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876C8D">
              <w:rPr>
                <w:rFonts w:cstheme="minorHAnsi"/>
                <w:color w:val="000000"/>
                <w:sz w:val="20"/>
                <w:szCs w:val="20"/>
              </w:rPr>
              <w:t xml:space="preserve">Practices </w:t>
            </w:r>
            <w:r w:rsidR="00EB10A5">
              <w:rPr>
                <w:rFonts w:cstheme="minorHAnsi"/>
                <w:color w:val="000000"/>
                <w:sz w:val="20"/>
                <w:szCs w:val="20"/>
              </w:rPr>
              <w:t xml:space="preserve">from more </w:t>
            </w:r>
            <w:r w:rsidRPr="00876C8D">
              <w:rPr>
                <w:rFonts w:cstheme="minorHAnsi"/>
                <w:color w:val="000000"/>
                <w:sz w:val="20"/>
                <w:szCs w:val="20"/>
              </w:rPr>
              <w:t>deprived localities</w:t>
            </w:r>
            <w:r w:rsidR="00EB10A5">
              <w:rPr>
                <w:rFonts w:cstheme="minorHAnsi"/>
                <w:color w:val="000000"/>
                <w:sz w:val="20"/>
                <w:szCs w:val="20"/>
              </w:rPr>
              <w:t xml:space="preserve"> (quintiles 3-5)</w:t>
            </w:r>
            <w:r w:rsidRPr="00876C8D">
              <w:rPr>
                <w:rFonts w:cstheme="minorHAnsi"/>
                <w:color w:val="000000"/>
                <w:sz w:val="20"/>
                <w:szCs w:val="20"/>
              </w:rPr>
              <w:t xml:space="preserve"> – patients had higher odds of </w:t>
            </w:r>
            <w:r>
              <w:rPr>
                <w:rFonts w:cstheme="minorHAnsi"/>
                <w:color w:val="000000"/>
                <w:sz w:val="20"/>
                <w:szCs w:val="20"/>
              </w:rPr>
              <w:t>inadequate monitoring</w:t>
            </w:r>
            <w:r w:rsidRPr="00876C8D">
              <w:rPr>
                <w:rFonts w:cstheme="minorHAnsi"/>
                <w:color w:val="000000"/>
                <w:sz w:val="20"/>
                <w:szCs w:val="20"/>
              </w:rPr>
              <w:t xml:space="preserve"> compared to patients from least deprived localities</w:t>
            </w:r>
          </w:p>
        </w:tc>
        <w:tc>
          <w:tcPr>
            <w:tcW w:w="4252" w:type="dxa"/>
            <w:vAlign w:val="center"/>
          </w:tcPr>
          <w:p w14:paraId="1CD9C06D" w14:textId="77777777" w:rsidR="0049273B" w:rsidRPr="0004590E" w:rsidRDefault="0049273B" w:rsidP="0049273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>●PHP was associated with &gt;10 repeat prescriptions (</w:t>
            </w:r>
            <w:r w:rsidR="00BF09E7" w:rsidRPr="0004590E">
              <w:rPr>
                <w:rFonts w:cstheme="minorHAnsi"/>
                <w:sz w:val="20"/>
                <w:szCs w:val="20"/>
              </w:rPr>
              <w:t>adjusted OR 30.22)</w:t>
            </w:r>
          </w:p>
          <w:p w14:paraId="2A455560" w14:textId="77777777" w:rsidR="00BF09E7" w:rsidRPr="0004590E" w:rsidRDefault="00BF09E7" w:rsidP="00BF09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04590E">
              <w:rPr>
                <w:rFonts w:cstheme="minorHAnsi"/>
                <w:sz w:val="20"/>
                <w:szCs w:val="20"/>
              </w:rPr>
              <w:t>PHP risk increased with age until 35-44 years old where it started decreasing (adjusted OR 2.34, 95% CI 2.26 to 2.42)</w:t>
            </w:r>
          </w:p>
          <w:p w14:paraId="7ED46B4F" w14:textId="2857A1A2" w:rsidR="00BF09E7" w:rsidRPr="0004590E" w:rsidRDefault="00BF09E7" w:rsidP="00BF09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>●Females were at more risk of PHP than men (</w:t>
            </w:r>
            <w:r w:rsidRPr="0004590E">
              <w:rPr>
                <w:rFonts w:cstheme="minorHAnsi"/>
                <w:sz w:val="20"/>
                <w:szCs w:val="20"/>
              </w:rPr>
              <w:t>adjusted OR 1.43, 95% CI 1.41 to 1.45)</w:t>
            </w:r>
          </w:p>
          <w:p w14:paraId="44E085CA" w14:textId="49A44E84" w:rsidR="0004590E" w:rsidRPr="0004590E" w:rsidRDefault="0004590E" w:rsidP="00BF09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04590E">
              <w:rPr>
                <w:rFonts w:cstheme="minorHAnsi"/>
                <w:sz w:val="20"/>
                <w:szCs w:val="20"/>
              </w:rPr>
              <w:t>Females were at more risk of inadequate monitoring than men (adjusted OR 1.12, 95% CI 1.05 to 1.20)</w:t>
            </w:r>
          </w:p>
          <w:p w14:paraId="0F2A6386" w14:textId="4F9E1E45" w:rsidR="0004590E" w:rsidRPr="0004590E" w:rsidRDefault="0004590E" w:rsidP="0004590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 xml:space="preserve">●Patients with </w:t>
            </w:r>
            <w:r w:rsidRPr="0004590E">
              <w:rPr>
                <w:rFonts w:cstheme="minorHAnsi"/>
                <w:sz w:val="20"/>
                <w:szCs w:val="20"/>
              </w:rPr>
              <w:t>&gt;10 prescriptions had a lower risk of inadequate medication monitoring than patients with 0–1 repeat prescriptions (adjusted OR 0.35, 95% CI 0.29 to 0.41)</w:t>
            </w:r>
          </w:p>
          <w:p w14:paraId="3F64FBB0" w14:textId="7865633C" w:rsidR="0004590E" w:rsidRPr="0004590E" w:rsidRDefault="0004590E" w:rsidP="0004590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590E">
              <w:rPr>
                <w:rFonts w:cstheme="minorHAnsi"/>
                <w:color w:val="000000"/>
                <w:sz w:val="20"/>
                <w:szCs w:val="20"/>
              </w:rPr>
              <w:t>●Patients a</w:t>
            </w:r>
            <w:r w:rsidRPr="0004590E">
              <w:rPr>
                <w:rFonts w:cstheme="minorHAnsi"/>
                <w:sz w:val="20"/>
                <w:szCs w:val="20"/>
              </w:rPr>
              <w:t>ged &gt;74 had a lower risk than patients aged &lt;25 (adjusted OR 0.40, 95% CI 0.31 to 0.51)</w:t>
            </w:r>
          </w:p>
          <w:p w14:paraId="3034B3DE" w14:textId="182281A6" w:rsidR="00BF09E7" w:rsidRPr="0004590E" w:rsidRDefault="00BF09E7" w:rsidP="00BF09E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506E73" w:rsidRPr="00665726" w14:paraId="52160959" w14:textId="77777777" w:rsidTr="003D6E64">
        <w:tc>
          <w:tcPr>
            <w:tcW w:w="1664" w:type="dxa"/>
            <w:vAlign w:val="center"/>
          </w:tcPr>
          <w:p w14:paraId="442603E7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K. Voigt et al. (2016)</w:t>
            </w:r>
          </w:p>
        </w:tc>
        <w:tc>
          <w:tcPr>
            <w:tcW w:w="1574" w:type="dxa"/>
            <w:vAlign w:val="center"/>
          </w:tcPr>
          <w:p w14:paraId="01707FDA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Mixed – interviews &amp; patient medical records</w:t>
            </w:r>
          </w:p>
        </w:tc>
        <w:tc>
          <w:tcPr>
            <w:tcW w:w="2711" w:type="dxa"/>
            <w:vAlign w:val="center"/>
          </w:tcPr>
          <w:p w14:paraId="53E573E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PIM</w:t>
            </w:r>
          </w:p>
        </w:tc>
        <w:tc>
          <w:tcPr>
            <w:tcW w:w="4111" w:type="dxa"/>
          </w:tcPr>
          <w:p w14:paraId="249B8CF5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Lack of communication regarding prescriptions of medications</w:t>
            </w:r>
            <w:r>
              <w:rPr>
                <w:rFonts w:cstheme="minorHAnsi"/>
                <w:sz w:val="20"/>
                <w:szCs w:val="20"/>
              </w:rPr>
              <w:t xml:space="preserve"> and</w:t>
            </w:r>
            <w:r w:rsidRPr="00665726">
              <w:rPr>
                <w:rFonts w:cstheme="minorHAnsi"/>
                <w:sz w:val="20"/>
                <w:szCs w:val="20"/>
              </w:rPr>
              <w:t xml:space="preserve"> referral of clinical information</w:t>
            </w:r>
          </w:p>
          <w:p w14:paraId="7E7B4880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●</w:t>
            </w:r>
            <w:r w:rsidRPr="00665726">
              <w:rPr>
                <w:rFonts w:cstheme="minorHAnsi"/>
                <w:sz w:val="20"/>
                <w:szCs w:val="20"/>
              </w:rPr>
              <w:t>Uncritical prescribing by psychiatrists</w:t>
            </w:r>
          </w:p>
          <w:p w14:paraId="5A994ADD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sz w:val="20"/>
                <w:szCs w:val="20"/>
              </w:rPr>
              <w:t xml:space="preserve">without </w:t>
            </w:r>
            <w:r>
              <w:rPr>
                <w:rFonts w:cstheme="minorHAnsi"/>
                <w:sz w:val="20"/>
                <w:szCs w:val="20"/>
              </w:rPr>
              <w:t>a holistic approach</w:t>
            </w:r>
          </w:p>
        </w:tc>
        <w:tc>
          <w:tcPr>
            <w:tcW w:w="4252" w:type="dxa"/>
            <w:vAlign w:val="center"/>
          </w:tcPr>
          <w:p w14:paraId="45D9DD92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48"/>
                <w:szCs w:val="48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</w:tr>
      <w:tr w:rsidR="00506E73" w:rsidRPr="00665726" w14:paraId="41E93D66" w14:textId="77777777" w:rsidTr="003D6E64">
        <w:tc>
          <w:tcPr>
            <w:tcW w:w="1664" w:type="dxa"/>
            <w:vAlign w:val="center"/>
          </w:tcPr>
          <w:p w14:paraId="327176F8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A. Hiance-Delahaye et al. (</w:t>
            </w:r>
            <w:proofErr w:type="gramStart"/>
            <w:r w:rsidRPr="00665726">
              <w:rPr>
                <w:rFonts w:cstheme="minorHAnsi"/>
                <w:color w:val="000000"/>
                <w:sz w:val="20"/>
                <w:szCs w:val="20"/>
              </w:rPr>
              <w:t>2018)</w:t>
            </w:r>
            <w:r>
              <w:rPr>
                <w:rFonts w:cstheme="minorHAnsi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1574" w:type="dxa"/>
            <w:vAlign w:val="center"/>
          </w:tcPr>
          <w:p w14:paraId="45EDE78D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Quantitative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- interview</w:t>
            </w:r>
          </w:p>
        </w:tc>
        <w:tc>
          <w:tcPr>
            <w:tcW w:w="2711" w:type="dxa"/>
            <w:vAlign w:val="center"/>
          </w:tcPr>
          <w:p w14:paraId="52D8F5CC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>PIP</w:t>
            </w:r>
          </w:p>
        </w:tc>
        <w:tc>
          <w:tcPr>
            <w:tcW w:w="4111" w:type="dxa"/>
            <w:vAlign w:val="center"/>
          </w:tcPr>
          <w:p w14:paraId="685A6A53" w14:textId="77777777" w:rsidR="00506E73" w:rsidRPr="00665726" w:rsidRDefault="00506E73" w:rsidP="003D6E64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665726">
              <w:rPr>
                <w:rFonts w:cstheme="minorHAnsi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4252" w:type="dxa"/>
          </w:tcPr>
          <w:p w14:paraId="6FADDC79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●Polypharmacy was associated with PIP of ADs with adjusted OR 5-9 drugs 2.61 (95% CI 1.11– 6.16) and OR ≥10 drugs 2.69 (95% CI 1.06–6.87)  </w:t>
            </w:r>
          </w:p>
          <w:p w14:paraId="7BF0047E" w14:textId="77777777" w:rsidR="00506E73" w:rsidRPr="00665726" w:rsidRDefault="00506E73" w:rsidP="003D6E6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665726">
              <w:rPr>
                <w:rFonts w:cstheme="minorHAnsi"/>
                <w:color w:val="000000"/>
                <w:sz w:val="20"/>
                <w:szCs w:val="20"/>
              </w:rPr>
              <w:t xml:space="preserve">●Longer duration of symptoms, the higher the risk of PIP of ADs, with an adjusted OR 2.82 (95% CI 1.42–6.99) for people suffering from depressive and/or anxiety symptoms for ≥28 </w:t>
            </w:r>
            <w:r w:rsidRPr="00665726">
              <w:rPr>
                <w:rFonts w:cstheme="minorHAnsi"/>
                <w:color w:val="000000"/>
                <w:sz w:val="20"/>
                <w:szCs w:val="20"/>
              </w:rPr>
              <w:lastRenderedPageBreak/>
              <w:t>years relative to those who reported symptoms for ≤7 years</w:t>
            </w:r>
          </w:p>
        </w:tc>
      </w:tr>
    </w:tbl>
    <w:p w14:paraId="2BE553FD" w14:textId="2A55F2C8" w:rsidR="00506E73" w:rsidRPr="00497568" w:rsidRDefault="00506E73" w:rsidP="00506E73">
      <w:pPr>
        <w:rPr>
          <w:rFonts w:cstheme="minorHAnsi"/>
          <w:sz w:val="18"/>
          <w:szCs w:val="18"/>
        </w:rPr>
      </w:pPr>
      <w:r w:rsidRPr="00497568">
        <w:rPr>
          <w:rFonts w:cstheme="minorHAnsi"/>
          <w:sz w:val="18"/>
          <w:szCs w:val="18"/>
        </w:rPr>
        <w:lastRenderedPageBreak/>
        <w:t>*Data derived from risk factor correlations</w:t>
      </w:r>
      <w:bookmarkStart w:id="1" w:name="_Hlk104205987"/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ADE = Adverse drug event</w:t>
      </w:r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DDI = Drug-Drug interaction</w:t>
      </w:r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AD = Antidepressant</w:t>
      </w:r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PRN = when required</w:t>
      </w:r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ADHD = Attention deficit hyperactivity disorder</w:t>
      </w:r>
      <w:r w:rsidR="00B33E26" w:rsidRPr="00497568">
        <w:rPr>
          <w:rFonts w:cstheme="minorHAnsi"/>
          <w:sz w:val="18"/>
          <w:szCs w:val="18"/>
        </w:rPr>
        <w:t xml:space="preserve">; PHP = Potentially Hazardous Prescribing; </w:t>
      </w:r>
      <w:r w:rsidRPr="00497568">
        <w:rPr>
          <w:rFonts w:cstheme="minorHAnsi"/>
          <w:sz w:val="18"/>
          <w:szCs w:val="18"/>
        </w:rPr>
        <w:t>PIM = Potentially inappropriate medication</w:t>
      </w:r>
      <w:r w:rsidR="00B33E26" w:rsidRPr="00497568">
        <w:rPr>
          <w:rFonts w:cstheme="minorHAnsi"/>
          <w:sz w:val="18"/>
          <w:szCs w:val="18"/>
        </w:rPr>
        <w:t xml:space="preserve">; </w:t>
      </w:r>
      <w:r w:rsidRPr="00497568">
        <w:rPr>
          <w:rFonts w:cstheme="minorHAnsi"/>
          <w:sz w:val="18"/>
          <w:szCs w:val="18"/>
        </w:rPr>
        <w:t>PIP = Potentially inappropriate prescribing</w:t>
      </w:r>
      <w:bookmarkEnd w:id="1"/>
    </w:p>
    <w:p w14:paraId="5C8502E9" w14:textId="77777777" w:rsidR="00B147DC" w:rsidRDefault="00B147DC"/>
    <w:sectPr w:rsidR="00B147DC" w:rsidSect="00506E73">
      <w:type w:val="continuous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73"/>
    <w:rsid w:val="0004590E"/>
    <w:rsid w:val="0007294A"/>
    <w:rsid w:val="001B6912"/>
    <w:rsid w:val="0049273B"/>
    <w:rsid w:val="00494284"/>
    <w:rsid w:val="00497568"/>
    <w:rsid w:val="00506E73"/>
    <w:rsid w:val="00532875"/>
    <w:rsid w:val="00656B04"/>
    <w:rsid w:val="00693115"/>
    <w:rsid w:val="007C23B9"/>
    <w:rsid w:val="00816964"/>
    <w:rsid w:val="00876C8D"/>
    <w:rsid w:val="00B147DC"/>
    <w:rsid w:val="00B33E26"/>
    <w:rsid w:val="00B82C88"/>
    <w:rsid w:val="00BF09E7"/>
    <w:rsid w:val="00EB10A5"/>
    <w:rsid w:val="00F33224"/>
    <w:rsid w:val="00F6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A1DA"/>
  <w15:chartTrackingRefBased/>
  <w15:docId w15:val="{5019395E-86B1-4C1F-BDE1-1CA44E66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06E73"/>
  </w:style>
  <w:style w:type="paragraph" w:styleId="Caption">
    <w:name w:val="caption"/>
    <w:basedOn w:val="Normal"/>
    <w:next w:val="Normal"/>
    <w:autoRedefine/>
    <w:uiPriority w:val="35"/>
    <w:unhideWhenUsed/>
    <w:qFormat/>
    <w:rsid w:val="0007294A"/>
    <w:pPr>
      <w:keepNext/>
      <w:spacing w:after="200" w:line="240" w:lineRule="auto"/>
    </w:pPr>
    <w:rPr>
      <w:b/>
      <w:bCs/>
      <w:iCs/>
      <w:color w:val="000000" w:themeColor="text1"/>
      <w:u w:val="single"/>
    </w:rPr>
  </w:style>
  <w:style w:type="table" w:styleId="TableGrid">
    <w:name w:val="Table Grid"/>
    <w:basedOn w:val="TableNormal"/>
    <w:uiPriority w:val="39"/>
    <w:rsid w:val="0050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7</cp:revision>
  <dcterms:created xsi:type="dcterms:W3CDTF">2023-03-31T13:20:00Z</dcterms:created>
  <dcterms:modified xsi:type="dcterms:W3CDTF">2023-04-17T07:01:00Z</dcterms:modified>
</cp:coreProperties>
</file>