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EFA60" w14:textId="71DB6F40" w:rsidR="00FC09B5" w:rsidRPr="00EE77C3" w:rsidRDefault="00FC09B5" w:rsidP="00FC09B5">
      <w:pPr>
        <w:rPr>
          <w:b/>
          <w:bCs/>
          <w:u w:val="single"/>
        </w:rPr>
      </w:pPr>
      <w:r w:rsidRPr="00EE77C3">
        <w:rPr>
          <w:b/>
          <w:bCs/>
          <w:u w:val="single"/>
        </w:rPr>
        <w:t>Data summary of 18 intervention studies</w:t>
      </w:r>
    </w:p>
    <w:tbl>
      <w:tblPr>
        <w:tblStyle w:val="TableGrid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27"/>
        <w:gridCol w:w="1116"/>
        <w:gridCol w:w="1837"/>
        <w:gridCol w:w="1985"/>
        <w:gridCol w:w="3543"/>
      </w:tblGrid>
      <w:tr w:rsidR="00FC09B5" w14:paraId="6A504BF0" w14:textId="77777777" w:rsidTr="00CD45B8">
        <w:tc>
          <w:tcPr>
            <w:tcW w:w="1427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75A8033F" w14:textId="77777777" w:rsidR="00FC09B5" w:rsidRPr="008057A3" w:rsidRDefault="00FC09B5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057A3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Author &amp; Year</w:t>
            </w:r>
          </w:p>
        </w:tc>
        <w:tc>
          <w:tcPr>
            <w:tcW w:w="111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499187F0" w14:textId="77777777" w:rsidR="00FC09B5" w:rsidRPr="008057A3" w:rsidRDefault="00FC09B5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057A3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Country</w:t>
            </w:r>
          </w:p>
        </w:tc>
        <w:tc>
          <w:tcPr>
            <w:tcW w:w="1837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6F18EC5C" w14:textId="77777777" w:rsidR="00FC09B5" w:rsidRPr="008057A3" w:rsidRDefault="00FC09B5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057A3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Primary care setting</w:t>
            </w:r>
          </w:p>
        </w:tc>
        <w:tc>
          <w:tcPr>
            <w:tcW w:w="1985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2A306E06" w14:textId="77777777" w:rsidR="00FC09B5" w:rsidRPr="008057A3" w:rsidRDefault="00FC09B5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057A3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Study population</w:t>
            </w:r>
          </w:p>
        </w:tc>
        <w:tc>
          <w:tcPr>
            <w:tcW w:w="3543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1EF9A589" w14:textId="77777777" w:rsidR="00FC09B5" w:rsidRPr="008057A3" w:rsidRDefault="00FC09B5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057A3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Intervention</w:t>
            </w:r>
          </w:p>
        </w:tc>
      </w:tr>
      <w:tr w:rsidR="00FC09B5" w14:paraId="2FE8557F" w14:textId="77777777" w:rsidTr="00CD45B8">
        <w:tc>
          <w:tcPr>
            <w:tcW w:w="1427" w:type="dxa"/>
            <w:tcBorders>
              <w:top w:val="single" w:sz="12" w:space="0" w:color="FFFFFF" w:themeColor="background1"/>
            </w:tcBorders>
            <w:vAlign w:val="center"/>
          </w:tcPr>
          <w:p w14:paraId="257E27D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J. S. Bell et al. (2006)</w:t>
            </w:r>
          </w:p>
        </w:tc>
        <w:tc>
          <w:tcPr>
            <w:tcW w:w="1116" w:type="dxa"/>
            <w:tcBorders>
              <w:top w:val="single" w:sz="12" w:space="0" w:color="FFFFFF" w:themeColor="background1"/>
            </w:tcBorders>
            <w:vAlign w:val="center"/>
          </w:tcPr>
          <w:p w14:paraId="73CBC516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1837" w:type="dxa"/>
            <w:tcBorders>
              <w:top w:val="single" w:sz="12" w:space="0" w:color="FFFFFF" w:themeColor="background1"/>
            </w:tcBorders>
            <w:vAlign w:val="center"/>
          </w:tcPr>
          <w:p w14:paraId="6B54D699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Pharmacy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vAlign w:val="center"/>
          </w:tcPr>
          <w:p w14:paraId="30B9A44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tcBorders>
              <w:top w:val="single" w:sz="12" w:space="0" w:color="FFFFFF" w:themeColor="background1"/>
            </w:tcBorders>
            <w:vAlign w:val="center"/>
          </w:tcPr>
          <w:p w14:paraId="5CE09CB3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Pharmacist reviews</w:t>
            </w:r>
          </w:p>
        </w:tc>
      </w:tr>
      <w:tr w:rsidR="00FC09B5" w14:paraId="12684EFA" w14:textId="77777777" w:rsidTr="00CD45B8">
        <w:tc>
          <w:tcPr>
            <w:tcW w:w="1427" w:type="dxa"/>
            <w:vAlign w:val="center"/>
          </w:tcPr>
          <w:p w14:paraId="7F24B423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N. Gisev et al. (2010)</w:t>
            </w:r>
          </w:p>
        </w:tc>
        <w:tc>
          <w:tcPr>
            <w:tcW w:w="1116" w:type="dxa"/>
            <w:vAlign w:val="center"/>
          </w:tcPr>
          <w:p w14:paraId="3E1F9C19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1837" w:type="dxa"/>
            <w:vAlign w:val="center"/>
          </w:tcPr>
          <w:p w14:paraId="5DB44ECF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CMHT</w:t>
            </w:r>
          </w:p>
        </w:tc>
        <w:tc>
          <w:tcPr>
            <w:tcW w:w="1985" w:type="dxa"/>
            <w:vAlign w:val="center"/>
          </w:tcPr>
          <w:p w14:paraId="69405255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63A37FBD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Pharmacist reviews</w:t>
            </w:r>
          </w:p>
        </w:tc>
      </w:tr>
      <w:tr w:rsidR="00FC09B5" w14:paraId="28898AAB" w14:textId="77777777" w:rsidTr="00CD45B8">
        <w:tc>
          <w:tcPr>
            <w:tcW w:w="1427" w:type="dxa"/>
            <w:vAlign w:val="center"/>
          </w:tcPr>
          <w:p w14:paraId="46AA9414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D. Wucherer et al. (2017)</w:t>
            </w:r>
          </w:p>
        </w:tc>
        <w:tc>
          <w:tcPr>
            <w:tcW w:w="1116" w:type="dxa"/>
            <w:vAlign w:val="center"/>
          </w:tcPr>
          <w:p w14:paraId="18FF9324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1837" w:type="dxa"/>
            <w:vAlign w:val="center"/>
          </w:tcPr>
          <w:p w14:paraId="1FBC97AF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GP practice</w:t>
            </w:r>
          </w:p>
        </w:tc>
        <w:tc>
          <w:tcPr>
            <w:tcW w:w="1985" w:type="dxa"/>
            <w:vAlign w:val="center"/>
          </w:tcPr>
          <w:p w14:paraId="2113D29E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Dementia patients</w:t>
            </w:r>
          </w:p>
        </w:tc>
        <w:tc>
          <w:tcPr>
            <w:tcW w:w="3543" w:type="dxa"/>
            <w:vAlign w:val="center"/>
          </w:tcPr>
          <w:p w14:paraId="1083BA2A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Pharmacist computer based home medication assessments</w:t>
            </w:r>
          </w:p>
        </w:tc>
      </w:tr>
      <w:tr w:rsidR="00FC09B5" w14:paraId="653C87FC" w14:textId="77777777" w:rsidTr="00CD45B8">
        <w:tc>
          <w:tcPr>
            <w:tcW w:w="1427" w:type="dxa"/>
            <w:vAlign w:val="center"/>
          </w:tcPr>
          <w:p w14:paraId="3F997872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M. Stuhec et al. (2019)</w:t>
            </w:r>
          </w:p>
        </w:tc>
        <w:tc>
          <w:tcPr>
            <w:tcW w:w="1116" w:type="dxa"/>
            <w:vAlign w:val="center"/>
          </w:tcPr>
          <w:p w14:paraId="7DAE7B56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Slovenia</w:t>
            </w:r>
          </w:p>
        </w:tc>
        <w:tc>
          <w:tcPr>
            <w:tcW w:w="1837" w:type="dxa"/>
            <w:vAlign w:val="center"/>
          </w:tcPr>
          <w:p w14:paraId="29BE8EDA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Nursing home</w:t>
            </w:r>
          </w:p>
        </w:tc>
        <w:tc>
          <w:tcPr>
            <w:tcW w:w="1985" w:type="dxa"/>
            <w:vAlign w:val="center"/>
          </w:tcPr>
          <w:p w14:paraId="0E7AF75F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1E70B781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Pharmacist 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reviews</w:t>
            </w:r>
          </w:p>
        </w:tc>
      </w:tr>
      <w:tr w:rsidR="00FC09B5" w14:paraId="18AC1552" w14:textId="77777777" w:rsidTr="00CD45B8">
        <w:tc>
          <w:tcPr>
            <w:tcW w:w="1427" w:type="dxa"/>
            <w:vAlign w:val="center"/>
          </w:tcPr>
          <w:p w14:paraId="5E39AA42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M. Stuhec et al. (2021)</w:t>
            </w:r>
          </w:p>
        </w:tc>
        <w:tc>
          <w:tcPr>
            <w:tcW w:w="1116" w:type="dxa"/>
            <w:vAlign w:val="center"/>
          </w:tcPr>
          <w:p w14:paraId="65458C67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Slovenia</w:t>
            </w:r>
          </w:p>
        </w:tc>
        <w:tc>
          <w:tcPr>
            <w:tcW w:w="1837" w:type="dxa"/>
            <w:vAlign w:val="center"/>
          </w:tcPr>
          <w:p w14:paraId="382830DF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GP practice</w:t>
            </w:r>
          </w:p>
        </w:tc>
        <w:tc>
          <w:tcPr>
            <w:tcW w:w="1985" w:type="dxa"/>
            <w:vAlign w:val="center"/>
          </w:tcPr>
          <w:p w14:paraId="78E7B29A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6BBBA4BF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harmacist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reviews</w:t>
            </w:r>
          </w:p>
        </w:tc>
      </w:tr>
      <w:tr w:rsidR="00FC09B5" w14:paraId="2BA8C680" w14:textId="77777777" w:rsidTr="00CD45B8">
        <w:tc>
          <w:tcPr>
            <w:tcW w:w="1427" w:type="dxa"/>
            <w:vAlign w:val="center"/>
          </w:tcPr>
          <w:p w14:paraId="1CBAADDA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 xml:space="preserve">M. </w:t>
            </w:r>
            <w:bookmarkStart w:id="0" w:name="_Hlk88817669"/>
            <w:r w:rsidRPr="008057A3">
              <w:rPr>
                <w:rFonts w:cstheme="minorHAnsi"/>
                <w:color w:val="000000"/>
                <w:sz w:val="18"/>
                <w:szCs w:val="18"/>
              </w:rPr>
              <w:t xml:space="preserve">Rubio-Valera et al. </w:t>
            </w:r>
            <w:bookmarkEnd w:id="0"/>
            <w:r w:rsidRPr="008057A3">
              <w:rPr>
                <w:rFonts w:cstheme="minorHAnsi"/>
                <w:color w:val="000000"/>
                <w:sz w:val="18"/>
                <w:szCs w:val="18"/>
              </w:rPr>
              <w:t>(2013)</w:t>
            </w:r>
          </w:p>
        </w:tc>
        <w:tc>
          <w:tcPr>
            <w:tcW w:w="1116" w:type="dxa"/>
            <w:vAlign w:val="center"/>
          </w:tcPr>
          <w:p w14:paraId="40AC4D7A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837" w:type="dxa"/>
            <w:vAlign w:val="center"/>
          </w:tcPr>
          <w:p w14:paraId="2D250D86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Pharmacy</w:t>
            </w:r>
          </w:p>
        </w:tc>
        <w:tc>
          <w:tcPr>
            <w:tcW w:w="1985" w:type="dxa"/>
            <w:vAlign w:val="center"/>
          </w:tcPr>
          <w:p w14:paraId="01849D1C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578BDCF7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Community pharmacist educational intervention for patients</w:t>
            </w:r>
          </w:p>
        </w:tc>
      </w:tr>
      <w:tr w:rsidR="00FC09B5" w14:paraId="32BA8DDB" w14:textId="77777777" w:rsidTr="00CD45B8">
        <w:tc>
          <w:tcPr>
            <w:tcW w:w="1427" w:type="dxa"/>
            <w:vAlign w:val="center"/>
          </w:tcPr>
          <w:p w14:paraId="04D3E87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C. F. Johnson et al. (2020)</w:t>
            </w:r>
          </w:p>
        </w:tc>
        <w:tc>
          <w:tcPr>
            <w:tcW w:w="1116" w:type="dxa"/>
            <w:vAlign w:val="center"/>
          </w:tcPr>
          <w:p w14:paraId="508A7134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UK</w:t>
            </w:r>
          </w:p>
        </w:tc>
        <w:tc>
          <w:tcPr>
            <w:tcW w:w="1837" w:type="dxa"/>
            <w:vAlign w:val="center"/>
          </w:tcPr>
          <w:p w14:paraId="6A25AC68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CMHT</w:t>
            </w:r>
          </w:p>
        </w:tc>
        <w:tc>
          <w:tcPr>
            <w:tcW w:w="1985" w:type="dxa"/>
            <w:vAlign w:val="center"/>
          </w:tcPr>
          <w:p w14:paraId="42540DCA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2DA1C976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3 part quality improvement intervention: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br/>
              <w:t>●individualised prescriber patient-level feedback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summaries after each reconciliation cycle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br/>
              <w:t>●run charts demonstrating the proportion of patients with ≥1 psychotropic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medicine discrepancy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br/>
              <w:t>●a planned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face-to-face meeting with each CMHT to discuss and reflect on progress</w:t>
            </w:r>
          </w:p>
        </w:tc>
      </w:tr>
      <w:tr w:rsidR="00FC09B5" w14:paraId="04606F3C" w14:textId="77777777" w:rsidTr="00CD45B8">
        <w:tc>
          <w:tcPr>
            <w:tcW w:w="1427" w:type="dxa"/>
            <w:vAlign w:val="center"/>
          </w:tcPr>
          <w:p w14:paraId="39E0EA2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J. Raynsford et al. (2020)</w:t>
            </w:r>
          </w:p>
        </w:tc>
        <w:tc>
          <w:tcPr>
            <w:tcW w:w="1116" w:type="dxa"/>
            <w:vAlign w:val="center"/>
          </w:tcPr>
          <w:p w14:paraId="048444C6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UK</w:t>
            </w:r>
          </w:p>
        </w:tc>
        <w:tc>
          <w:tcPr>
            <w:tcW w:w="1837" w:type="dxa"/>
            <w:vAlign w:val="center"/>
          </w:tcPr>
          <w:p w14:paraId="614F088A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GP practice</w:t>
            </w:r>
          </w:p>
        </w:tc>
        <w:tc>
          <w:tcPr>
            <w:tcW w:w="1985" w:type="dxa"/>
            <w:vAlign w:val="center"/>
          </w:tcPr>
          <w:p w14:paraId="30078135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2AF49763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Specialist mental health pharmacy team medicines optimisation within GP practice</w:t>
            </w:r>
          </w:p>
        </w:tc>
      </w:tr>
      <w:tr w:rsidR="00FC09B5" w14:paraId="1FAAB9F5" w14:textId="77777777" w:rsidTr="00CD45B8">
        <w:tc>
          <w:tcPr>
            <w:tcW w:w="1427" w:type="dxa"/>
            <w:vAlign w:val="center"/>
          </w:tcPr>
          <w:p w14:paraId="0298021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J. C. Fortney et al. (2011)</w:t>
            </w:r>
          </w:p>
        </w:tc>
        <w:tc>
          <w:tcPr>
            <w:tcW w:w="1116" w:type="dxa"/>
            <w:vAlign w:val="center"/>
          </w:tcPr>
          <w:p w14:paraId="1C9566D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837" w:type="dxa"/>
            <w:vAlign w:val="center"/>
          </w:tcPr>
          <w:p w14:paraId="2A979702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GP practice</w:t>
            </w:r>
          </w:p>
        </w:tc>
        <w:tc>
          <w:tcPr>
            <w:tcW w:w="1985" w:type="dxa"/>
            <w:vAlign w:val="center"/>
          </w:tcPr>
          <w:p w14:paraId="14890218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67220871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Telemedicine-based collaborative care from 5 types of provider</w:t>
            </w:r>
          </w:p>
        </w:tc>
      </w:tr>
      <w:tr w:rsidR="00FC09B5" w14:paraId="3D13019B" w14:textId="77777777" w:rsidTr="00CD45B8">
        <w:tc>
          <w:tcPr>
            <w:tcW w:w="1427" w:type="dxa"/>
            <w:vAlign w:val="center"/>
          </w:tcPr>
          <w:p w14:paraId="73ACBCD9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J. A. Sirey et al. (2017)</w:t>
            </w:r>
          </w:p>
        </w:tc>
        <w:tc>
          <w:tcPr>
            <w:tcW w:w="1116" w:type="dxa"/>
            <w:vAlign w:val="center"/>
          </w:tcPr>
          <w:p w14:paraId="44D5D0A9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837" w:type="dxa"/>
            <w:vAlign w:val="center"/>
          </w:tcPr>
          <w:p w14:paraId="59B2B8BD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GP practice*</w:t>
            </w:r>
          </w:p>
        </w:tc>
        <w:tc>
          <w:tcPr>
            <w:tcW w:w="1985" w:type="dxa"/>
            <w:vAlign w:val="center"/>
          </w:tcPr>
          <w:p w14:paraId="3866003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atients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3C239B8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Treatment Initiation and Participation Program - identify barriers and develop personal adherence strategies</w:t>
            </w:r>
          </w:p>
        </w:tc>
      </w:tr>
      <w:tr w:rsidR="00FC09B5" w14:paraId="1DD06E74" w14:textId="77777777" w:rsidTr="00CD45B8">
        <w:tc>
          <w:tcPr>
            <w:tcW w:w="1427" w:type="dxa"/>
            <w:vAlign w:val="center"/>
          </w:tcPr>
          <w:p w14:paraId="1D31768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S. Priebe et al. (2013)</w:t>
            </w:r>
          </w:p>
        </w:tc>
        <w:tc>
          <w:tcPr>
            <w:tcW w:w="1116" w:type="dxa"/>
            <w:vAlign w:val="center"/>
          </w:tcPr>
          <w:p w14:paraId="0D9D872B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UK</w:t>
            </w:r>
          </w:p>
        </w:tc>
        <w:tc>
          <w:tcPr>
            <w:tcW w:w="1837" w:type="dxa"/>
            <w:vAlign w:val="center"/>
          </w:tcPr>
          <w:p w14:paraId="6F5739D6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CMHT</w:t>
            </w:r>
          </w:p>
        </w:tc>
        <w:tc>
          <w:tcPr>
            <w:tcW w:w="1985" w:type="dxa"/>
            <w:vAlign w:val="center"/>
          </w:tcPr>
          <w:p w14:paraId="0052AFF2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8057A3">
              <w:rPr>
                <w:rFonts w:cstheme="minorHAnsi"/>
                <w:sz w:val="18"/>
                <w:szCs w:val="18"/>
              </w:rPr>
              <w:t>atients</w:t>
            </w:r>
            <w:r>
              <w:rPr>
                <w:rFonts w:cstheme="minorHAnsi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7F348B49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Patient financial incentives</w:t>
            </w:r>
            <w:r w:rsidRPr="008057A3">
              <w:rPr>
                <w:rFonts w:cstheme="minorHAnsi"/>
                <w:sz w:val="18"/>
                <w:szCs w:val="18"/>
              </w:rPr>
              <w:t xml:space="preserve"> for each depot injection over a 12 month period</w:t>
            </w:r>
          </w:p>
        </w:tc>
      </w:tr>
      <w:tr w:rsidR="00FC09B5" w14:paraId="0762B83A" w14:textId="77777777" w:rsidTr="00CD45B8">
        <w:tc>
          <w:tcPr>
            <w:tcW w:w="1427" w:type="dxa"/>
            <w:vAlign w:val="center"/>
          </w:tcPr>
          <w:p w14:paraId="602A0E76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S. Priebe et al. (2016)</w:t>
            </w:r>
          </w:p>
        </w:tc>
        <w:tc>
          <w:tcPr>
            <w:tcW w:w="1116" w:type="dxa"/>
            <w:vAlign w:val="center"/>
          </w:tcPr>
          <w:p w14:paraId="4879B928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UK</w:t>
            </w:r>
          </w:p>
        </w:tc>
        <w:tc>
          <w:tcPr>
            <w:tcW w:w="1837" w:type="dxa"/>
            <w:vAlign w:val="center"/>
          </w:tcPr>
          <w:p w14:paraId="00C109C7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CMHT</w:t>
            </w:r>
          </w:p>
        </w:tc>
        <w:tc>
          <w:tcPr>
            <w:tcW w:w="1985" w:type="dxa"/>
            <w:vAlign w:val="center"/>
          </w:tcPr>
          <w:p w14:paraId="08A0CD65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8057A3">
              <w:rPr>
                <w:rFonts w:cstheme="minorHAnsi"/>
                <w:sz w:val="18"/>
                <w:szCs w:val="18"/>
              </w:rPr>
              <w:t>atients</w:t>
            </w:r>
            <w:r>
              <w:rPr>
                <w:rFonts w:cstheme="minorHAnsi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1BF454B7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Discontinued £15 financial incentive - 2 year follow-up post intervention</w:t>
            </w:r>
          </w:p>
        </w:tc>
      </w:tr>
      <w:tr w:rsidR="00FC09B5" w14:paraId="43084D0E" w14:textId="77777777" w:rsidTr="00CD45B8">
        <w:tc>
          <w:tcPr>
            <w:tcW w:w="1427" w:type="dxa"/>
            <w:vAlign w:val="center"/>
          </w:tcPr>
          <w:p w14:paraId="71424CB1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S. Bhat et al. (2018)</w:t>
            </w:r>
          </w:p>
        </w:tc>
        <w:tc>
          <w:tcPr>
            <w:tcW w:w="1116" w:type="dxa"/>
            <w:vAlign w:val="center"/>
          </w:tcPr>
          <w:p w14:paraId="17850CAA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837" w:type="dxa"/>
            <w:vAlign w:val="center"/>
          </w:tcPr>
          <w:p w14:paraId="66439645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GP practice*</w:t>
            </w:r>
          </w:p>
        </w:tc>
        <w:tc>
          <w:tcPr>
            <w:tcW w:w="1985" w:type="dxa"/>
            <w:vAlign w:val="center"/>
          </w:tcPr>
          <w:p w14:paraId="49E8BDF7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8057A3">
              <w:rPr>
                <w:rFonts w:cstheme="minorHAnsi"/>
                <w:sz w:val="18"/>
                <w:szCs w:val="18"/>
              </w:rPr>
              <w:t>atients</w:t>
            </w:r>
            <w:r>
              <w:rPr>
                <w:rFonts w:cstheme="minorHAnsi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00CC91F6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Pharmacist-led multidisciplinary telemonitoring service</w:t>
            </w:r>
          </w:p>
        </w:tc>
      </w:tr>
      <w:tr w:rsidR="00FC09B5" w14:paraId="3AADA927" w14:textId="77777777" w:rsidTr="00CD45B8">
        <w:tc>
          <w:tcPr>
            <w:tcW w:w="1427" w:type="dxa"/>
            <w:vAlign w:val="center"/>
          </w:tcPr>
          <w:p w14:paraId="3080DEE4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L. Dou et al. (2020)</w:t>
            </w:r>
          </w:p>
        </w:tc>
        <w:tc>
          <w:tcPr>
            <w:tcW w:w="1116" w:type="dxa"/>
            <w:vAlign w:val="center"/>
          </w:tcPr>
          <w:p w14:paraId="5AF396BC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China</w:t>
            </w:r>
          </w:p>
        </w:tc>
        <w:tc>
          <w:tcPr>
            <w:tcW w:w="1837" w:type="dxa"/>
            <w:vAlign w:val="center"/>
          </w:tcPr>
          <w:p w14:paraId="4DEA9631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Community-dwelling</w:t>
            </w:r>
          </w:p>
        </w:tc>
        <w:tc>
          <w:tcPr>
            <w:tcW w:w="1985" w:type="dxa"/>
            <w:vAlign w:val="center"/>
          </w:tcPr>
          <w:p w14:paraId="3B90C538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8057A3">
              <w:rPr>
                <w:rFonts w:cstheme="minorHAnsi"/>
                <w:sz w:val="18"/>
                <w:szCs w:val="18"/>
              </w:rPr>
              <w:t>atients</w:t>
            </w:r>
            <w:r>
              <w:rPr>
                <w:rFonts w:cstheme="minorHAnsi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3BEAD301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686 project - free essential drugs and follow-up</w:t>
            </w:r>
          </w:p>
        </w:tc>
      </w:tr>
      <w:tr w:rsidR="00FC09B5" w14:paraId="4E5F80AC" w14:textId="77777777" w:rsidTr="00CD45B8">
        <w:tc>
          <w:tcPr>
            <w:tcW w:w="1427" w:type="dxa"/>
            <w:vAlign w:val="center"/>
          </w:tcPr>
          <w:p w14:paraId="333F0433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L. Hoffman et al. (2003)</w:t>
            </w:r>
          </w:p>
        </w:tc>
        <w:tc>
          <w:tcPr>
            <w:tcW w:w="1116" w:type="dxa"/>
            <w:vAlign w:val="center"/>
          </w:tcPr>
          <w:p w14:paraId="1390F9DD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837" w:type="dxa"/>
            <w:vAlign w:val="center"/>
          </w:tcPr>
          <w:p w14:paraId="3BCE44E3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Pharmacy</w:t>
            </w:r>
          </w:p>
        </w:tc>
        <w:tc>
          <w:tcPr>
            <w:tcW w:w="1985" w:type="dxa"/>
            <w:vAlign w:val="center"/>
          </w:tcPr>
          <w:p w14:paraId="73359BBE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8057A3">
              <w:rPr>
                <w:rFonts w:cstheme="minorHAnsi"/>
                <w:sz w:val="18"/>
                <w:szCs w:val="18"/>
              </w:rPr>
              <w:t>atients</w:t>
            </w:r>
            <w:r>
              <w:rPr>
                <w:rFonts w:cstheme="minorHAnsi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6AA4BBB6" w14:textId="77777777" w:rsidR="00FC09B5" w:rsidRPr="008057A3" w:rsidRDefault="00FC09B5" w:rsidP="00CD45B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Educational intervention for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br/>
              <w:t>patients and prescribers</w:t>
            </w:r>
          </w:p>
          <w:p w14:paraId="4CC22057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color w:val="000000"/>
                <w:sz w:val="18"/>
                <w:szCs w:val="18"/>
              </w:rPr>
              <w:t>1. Health Plan Employer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Data and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Information Set</w:t>
            </w:r>
            <w:r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8057A3">
              <w:rPr>
                <w:rFonts w:cstheme="minorHAnsi"/>
                <w:color w:val="000000"/>
                <w:sz w:val="18"/>
                <w:szCs w:val="18"/>
              </w:rPr>
              <w:t>2. Information regarding the importance of medication adherence</w:t>
            </w:r>
          </w:p>
        </w:tc>
      </w:tr>
      <w:tr w:rsidR="00FC09B5" w14:paraId="462DB8BD" w14:textId="77777777" w:rsidTr="00CD45B8">
        <w:tc>
          <w:tcPr>
            <w:tcW w:w="1427" w:type="dxa"/>
            <w:vAlign w:val="center"/>
          </w:tcPr>
          <w:p w14:paraId="40D822DF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M. E. Corden et al. (2016)</w:t>
            </w:r>
          </w:p>
        </w:tc>
        <w:tc>
          <w:tcPr>
            <w:tcW w:w="1116" w:type="dxa"/>
            <w:vAlign w:val="center"/>
          </w:tcPr>
          <w:p w14:paraId="3EBE9D6D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1837" w:type="dxa"/>
            <w:vAlign w:val="center"/>
          </w:tcPr>
          <w:p w14:paraId="31AA4553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GP practice*</w:t>
            </w:r>
          </w:p>
        </w:tc>
        <w:tc>
          <w:tcPr>
            <w:tcW w:w="1985" w:type="dxa"/>
            <w:vAlign w:val="center"/>
          </w:tcPr>
          <w:p w14:paraId="6C325C1D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8057A3">
              <w:rPr>
                <w:rFonts w:cstheme="minorHAnsi"/>
                <w:sz w:val="18"/>
                <w:szCs w:val="18"/>
              </w:rPr>
              <w:t>atients</w:t>
            </w:r>
            <w:r>
              <w:rPr>
                <w:rFonts w:cstheme="minorHAnsi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6304B201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Digital intervention (MedLink) - mobile app that provided dose reminders, information and surveys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057A3">
              <w:rPr>
                <w:rFonts w:cstheme="minorHAnsi"/>
                <w:sz w:val="18"/>
                <w:szCs w:val="18"/>
              </w:rPr>
              <w:t>of symptoms and side effects</w:t>
            </w:r>
          </w:p>
        </w:tc>
      </w:tr>
      <w:tr w:rsidR="00FC09B5" w14:paraId="4350854A" w14:textId="77777777" w:rsidTr="00CD45B8">
        <w:tc>
          <w:tcPr>
            <w:tcW w:w="1427" w:type="dxa"/>
            <w:vAlign w:val="center"/>
          </w:tcPr>
          <w:p w14:paraId="63150579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O. H. Brook et al. (2005)</w:t>
            </w:r>
          </w:p>
        </w:tc>
        <w:tc>
          <w:tcPr>
            <w:tcW w:w="1116" w:type="dxa"/>
            <w:vAlign w:val="center"/>
          </w:tcPr>
          <w:p w14:paraId="387FD27E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1837" w:type="dxa"/>
            <w:vAlign w:val="center"/>
          </w:tcPr>
          <w:p w14:paraId="1ABAF5F4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Pharmacy</w:t>
            </w:r>
          </w:p>
        </w:tc>
        <w:tc>
          <w:tcPr>
            <w:tcW w:w="1985" w:type="dxa"/>
            <w:vAlign w:val="center"/>
          </w:tcPr>
          <w:p w14:paraId="117A64BD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8057A3">
              <w:rPr>
                <w:rFonts w:cstheme="minorHAnsi"/>
                <w:sz w:val="18"/>
                <w:szCs w:val="18"/>
              </w:rPr>
              <w:t>atients</w:t>
            </w:r>
            <w:r>
              <w:rPr>
                <w:rFonts w:cstheme="minorHAnsi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1F776AFF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Community pharmacy-based coaching program</w:t>
            </w:r>
          </w:p>
        </w:tc>
      </w:tr>
      <w:tr w:rsidR="00FC09B5" w14:paraId="63BC1155" w14:textId="77777777" w:rsidTr="00CD45B8">
        <w:tc>
          <w:tcPr>
            <w:tcW w:w="1427" w:type="dxa"/>
            <w:vAlign w:val="center"/>
          </w:tcPr>
          <w:p w14:paraId="03163AC2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D. Velligan et al. (2013)</w:t>
            </w:r>
          </w:p>
        </w:tc>
        <w:tc>
          <w:tcPr>
            <w:tcW w:w="1116" w:type="dxa"/>
            <w:vAlign w:val="center"/>
          </w:tcPr>
          <w:p w14:paraId="06D8D3E9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1837" w:type="dxa"/>
            <w:vAlign w:val="center"/>
          </w:tcPr>
          <w:p w14:paraId="4746444C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CMHC</w:t>
            </w:r>
          </w:p>
        </w:tc>
        <w:tc>
          <w:tcPr>
            <w:tcW w:w="1985" w:type="dxa"/>
            <w:vAlign w:val="center"/>
          </w:tcPr>
          <w:p w14:paraId="6DB70059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8057A3">
              <w:rPr>
                <w:rFonts w:cstheme="minorHAnsi"/>
                <w:sz w:val="18"/>
                <w:szCs w:val="18"/>
              </w:rPr>
              <w:t>atients</w:t>
            </w:r>
            <w:r>
              <w:rPr>
                <w:rFonts w:cstheme="minorHAnsi"/>
                <w:sz w:val="18"/>
                <w:szCs w:val="18"/>
              </w:rPr>
              <w:t xml:space="preserve"> with MI</w:t>
            </w:r>
          </w:p>
        </w:tc>
        <w:tc>
          <w:tcPr>
            <w:tcW w:w="3543" w:type="dxa"/>
            <w:vAlign w:val="center"/>
          </w:tcPr>
          <w:p w14:paraId="209544B4" w14:textId="77777777" w:rsidR="00FC09B5" w:rsidRPr="008057A3" w:rsidRDefault="00FC09B5" w:rsidP="00CD45B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>3 treatment groups</w:t>
            </w:r>
          </w:p>
          <w:p w14:paraId="1979764C" w14:textId="77777777" w:rsidR="00FC09B5" w:rsidRPr="008057A3" w:rsidRDefault="00FC09B5" w:rsidP="00CD45B8">
            <w:pPr>
              <w:rPr>
                <w:rFonts w:cstheme="minorHAnsi"/>
                <w:sz w:val="18"/>
                <w:szCs w:val="18"/>
              </w:rPr>
            </w:pPr>
            <w:r w:rsidRPr="008057A3">
              <w:rPr>
                <w:rFonts w:cstheme="minorHAnsi"/>
                <w:sz w:val="18"/>
                <w:szCs w:val="18"/>
              </w:rPr>
              <w:t xml:space="preserve">1. PharmCAT                          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8057A3">
              <w:rPr>
                <w:rFonts w:cstheme="minorHAnsi"/>
                <w:sz w:val="18"/>
                <w:szCs w:val="18"/>
              </w:rPr>
              <w:t xml:space="preserve">2. Med-eMonitor                     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8057A3">
              <w:rPr>
                <w:rFonts w:cstheme="minorHAnsi"/>
                <w:sz w:val="18"/>
                <w:szCs w:val="18"/>
              </w:rPr>
              <w:t>3. Treatment as usual</w:t>
            </w:r>
          </w:p>
        </w:tc>
      </w:tr>
    </w:tbl>
    <w:p w14:paraId="40F1CDE9" w14:textId="77777777" w:rsidR="00FC09B5" w:rsidRPr="00916A60" w:rsidRDefault="00FC09B5" w:rsidP="00FC09B5">
      <w:pPr>
        <w:rPr>
          <w:rFonts w:cstheme="minorHAnsi"/>
          <w:sz w:val="18"/>
          <w:szCs w:val="18"/>
        </w:rPr>
      </w:pPr>
      <w:r w:rsidRPr="00E674C5">
        <w:rPr>
          <w:rFonts w:cstheme="minorHAnsi"/>
          <w:sz w:val="18"/>
          <w:szCs w:val="18"/>
        </w:rPr>
        <w:t>*setting converted to UK equivalent</w:t>
      </w:r>
      <w:r>
        <w:rPr>
          <w:rFonts w:cstheme="minorHAnsi"/>
          <w:sz w:val="18"/>
          <w:szCs w:val="18"/>
        </w:rPr>
        <w:t xml:space="preserve">; </w:t>
      </w:r>
      <w:r w:rsidRPr="00E674C5">
        <w:rPr>
          <w:rFonts w:cstheme="minorHAnsi"/>
          <w:sz w:val="18"/>
          <w:szCs w:val="18"/>
        </w:rPr>
        <w:t>CMHC = Community mental health clinic</w:t>
      </w:r>
      <w:r>
        <w:rPr>
          <w:rFonts w:cstheme="minorHAnsi"/>
          <w:sz w:val="18"/>
          <w:szCs w:val="18"/>
        </w:rPr>
        <w:t xml:space="preserve">; </w:t>
      </w:r>
      <w:r w:rsidRPr="00E674C5">
        <w:rPr>
          <w:rFonts w:cstheme="minorHAnsi"/>
          <w:sz w:val="18"/>
          <w:szCs w:val="18"/>
        </w:rPr>
        <w:t>CMHT = Community mental health team</w:t>
      </w:r>
      <w:r>
        <w:rPr>
          <w:rFonts w:cstheme="minorHAnsi"/>
          <w:sz w:val="18"/>
          <w:szCs w:val="18"/>
        </w:rPr>
        <w:t xml:space="preserve">; </w:t>
      </w:r>
      <w:r w:rsidRPr="00E674C5">
        <w:rPr>
          <w:rFonts w:cstheme="minorHAnsi"/>
          <w:sz w:val="18"/>
          <w:szCs w:val="18"/>
        </w:rPr>
        <w:t>GP = General practitioner</w:t>
      </w:r>
      <w:r>
        <w:rPr>
          <w:rFonts w:cstheme="minorHAnsi"/>
          <w:sz w:val="18"/>
          <w:szCs w:val="18"/>
        </w:rPr>
        <w:t xml:space="preserve">; </w:t>
      </w:r>
      <w:r w:rsidRPr="00E674C5">
        <w:rPr>
          <w:rFonts w:cstheme="minorHAnsi"/>
          <w:sz w:val="18"/>
          <w:szCs w:val="18"/>
        </w:rPr>
        <w:t>MI = Mental illness</w:t>
      </w:r>
      <w:r>
        <w:rPr>
          <w:rFonts w:cstheme="minorHAnsi"/>
          <w:sz w:val="18"/>
          <w:szCs w:val="18"/>
        </w:rPr>
        <w:t xml:space="preserve">; </w:t>
      </w:r>
      <w:r w:rsidRPr="00E674C5">
        <w:rPr>
          <w:rFonts w:cstheme="minorHAnsi"/>
          <w:sz w:val="18"/>
          <w:szCs w:val="18"/>
        </w:rPr>
        <w:t>UK = United Kingdom</w:t>
      </w:r>
      <w:r>
        <w:rPr>
          <w:rFonts w:cstheme="minorHAnsi"/>
          <w:sz w:val="18"/>
          <w:szCs w:val="18"/>
        </w:rPr>
        <w:t xml:space="preserve">; </w:t>
      </w:r>
      <w:r w:rsidRPr="00E674C5">
        <w:rPr>
          <w:rFonts w:cstheme="minorHAnsi"/>
          <w:sz w:val="18"/>
          <w:szCs w:val="18"/>
        </w:rPr>
        <w:t>USA = United States of America</w:t>
      </w:r>
    </w:p>
    <w:p w14:paraId="0D5FCC0D" w14:textId="77777777" w:rsidR="00B147DC" w:rsidRDefault="00B147DC"/>
    <w:sectPr w:rsidR="00B147DC" w:rsidSect="00CF53D3"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sDel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9B5"/>
    <w:rsid w:val="00656B04"/>
    <w:rsid w:val="00693115"/>
    <w:rsid w:val="007A5C66"/>
    <w:rsid w:val="00B147DC"/>
    <w:rsid w:val="00B82C88"/>
    <w:rsid w:val="00EE77C3"/>
    <w:rsid w:val="00F62BF0"/>
    <w:rsid w:val="00FC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9DB83"/>
  <w15:chartTrackingRefBased/>
  <w15:docId w15:val="{A57AFF28-F020-4A6A-BB9E-6B960DC5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9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0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Ayre</dc:creator>
  <cp:keywords/>
  <dc:description/>
  <cp:lastModifiedBy>Matthew Ayre</cp:lastModifiedBy>
  <cp:revision>2</cp:revision>
  <dcterms:created xsi:type="dcterms:W3CDTF">2023-03-31T13:34:00Z</dcterms:created>
  <dcterms:modified xsi:type="dcterms:W3CDTF">2023-04-17T06:45:00Z</dcterms:modified>
</cp:coreProperties>
</file>