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12FAF" w14:textId="1019EB56" w:rsidR="00DB211C" w:rsidRPr="00D12909" w:rsidRDefault="00DB211C" w:rsidP="00D12909">
      <w:pPr>
        <w:pStyle w:val="Caption"/>
      </w:pPr>
      <w:bookmarkStart w:id="0" w:name="_Toc95295624"/>
      <w:r w:rsidRPr="00D12909">
        <w:t>Intervention studies and reported outcomes</w:t>
      </w:r>
      <w:bookmarkEnd w:id="0"/>
      <w:r w:rsidR="00D31CA2" w:rsidRPr="00D12909">
        <w:t xml:space="preserve"> full dataset</w:t>
      </w:r>
    </w:p>
    <w:tbl>
      <w:tblPr>
        <w:tblStyle w:val="TableGrid"/>
        <w:tblpPr w:leftFromText="180" w:rightFromText="180" w:horzAnchor="margin" w:tblpY="624"/>
        <w:tblW w:w="14312" w:type="dxa"/>
        <w:tblLook w:val="04A0" w:firstRow="1" w:lastRow="0" w:firstColumn="1" w:lastColumn="0" w:noHBand="0" w:noVBand="1"/>
      </w:tblPr>
      <w:tblGrid>
        <w:gridCol w:w="1381"/>
        <w:gridCol w:w="1316"/>
        <w:gridCol w:w="2010"/>
        <w:gridCol w:w="1522"/>
        <w:gridCol w:w="1702"/>
        <w:gridCol w:w="1692"/>
        <w:gridCol w:w="4689"/>
      </w:tblGrid>
      <w:tr w:rsidR="00DB211C" w:rsidRPr="00665726" w14:paraId="5B1E666A" w14:textId="77777777" w:rsidTr="003D6E64">
        <w:tc>
          <w:tcPr>
            <w:tcW w:w="1381" w:type="dxa"/>
            <w:tcBorders>
              <w:right w:val="single" w:sz="4" w:space="0" w:color="FFFFFF"/>
            </w:tcBorders>
            <w:shd w:val="clear" w:color="auto" w:fill="000000" w:themeFill="text1"/>
          </w:tcPr>
          <w:p w14:paraId="640F37A5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bookmarkStart w:id="1" w:name="_Hlk88804321"/>
            <w:r w:rsidRPr="00665726">
              <w:rPr>
                <w:rFonts w:cstheme="minorHAnsi"/>
                <w:color w:val="FFFFFF" w:themeColor="background1"/>
              </w:rPr>
              <w:t>Author &amp; Year</w:t>
            </w:r>
          </w:p>
        </w:tc>
        <w:tc>
          <w:tcPr>
            <w:tcW w:w="131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36D6A470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Country</w:t>
            </w:r>
          </w:p>
        </w:tc>
        <w:tc>
          <w:tcPr>
            <w:tcW w:w="201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636F1AF3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Primary care setting</w:t>
            </w:r>
          </w:p>
        </w:tc>
        <w:tc>
          <w:tcPr>
            <w:tcW w:w="152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3869DA4F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Study population</w:t>
            </w:r>
          </w:p>
        </w:tc>
        <w:tc>
          <w:tcPr>
            <w:tcW w:w="170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4FE8D01B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Aim</w:t>
            </w:r>
          </w:p>
        </w:tc>
        <w:tc>
          <w:tcPr>
            <w:tcW w:w="169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3184799F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Intervention</w:t>
            </w:r>
          </w:p>
        </w:tc>
        <w:tc>
          <w:tcPr>
            <w:tcW w:w="4689" w:type="dxa"/>
            <w:tcBorders>
              <w:left w:val="single" w:sz="4" w:space="0" w:color="FFFFFF"/>
            </w:tcBorders>
            <w:shd w:val="clear" w:color="auto" w:fill="000000" w:themeFill="text1"/>
          </w:tcPr>
          <w:p w14:paraId="423A8C1F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Outcomes</w:t>
            </w:r>
          </w:p>
        </w:tc>
      </w:tr>
      <w:bookmarkEnd w:id="1"/>
      <w:tr w:rsidR="00DB211C" w:rsidRPr="00665726" w14:paraId="09D58B40" w14:textId="77777777" w:rsidTr="003D6E64">
        <w:tc>
          <w:tcPr>
            <w:tcW w:w="1381" w:type="dxa"/>
            <w:vAlign w:val="center"/>
          </w:tcPr>
          <w:p w14:paraId="384BD297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J. S. Bell et al. (2006)</w:t>
            </w:r>
          </w:p>
        </w:tc>
        <w:tc>
          <w:tcPr>
            <w:tcW w:w="1316" w:type="dxa"/>
            <w:vAlign w:val="center"/>
          </w:tcPr>
          <w:p w14:paraId="4FDABBC7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Australia</w:t>
            </w:r>
          </w:p>
        </w:tc>
        <w:tc>
          <w:tcPr>
            <w:tcW w:w="2010" w:type="dxa"/>
            <w:vAlign w:val="center"/>
          </w:tcPr>
          <w:p w14:paraId="1562A1BB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Pharmacy</w:t>
            </w:r>
          </w:p>
        </w:tc>
        <w:tc>
          <w:tcPr>
            <w:tcW w:w="1522" w:type="dxa"/>
            <w:vAlign w:val="center"/>
          </w:tcPr>
          <w:p w14:paraId="03E32DA6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3D5ADAF3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Classify ADEs &amp; make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drug, prescriber, and patient 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>recommendations</w:t>
            </w:r>
          </w:p>
        </w:tc>
        <w:tc>
          <w:tcPr>
            <w:tcW w:w="1692" w:type="dxa"/>
            <w:vAlign w:val="center"/>
          </w:tcPr>
          <w:p w14:paraId="618E651B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Pharmacist home medicines reviews</w:t>
            </w:r>
          </w:p>
        </w:tc>
        <w:tc>
          <w:tcPr>
            <w:tcW w:w="4689" w:type="dxa"/>
          </w:tcPr>
          <w:p w14:paraId="2EC9ABEE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●274/304 recommendations accepted (90%)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●25/304 recommendations considered (8%)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●5/304 recommendations rejected (2%)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●Most common findings: suspected and potential ADRs, potential interactions, and patients taking additional medication unbeknown to their GP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 xml:space="preserve">●Most frequent recommendations: switch drug, suggest non-drug treatment, start new drug, and changing dosage schedule </w:t>
            </w:r>
          </w:p>
        </w:tc>
      </w:tr>
      <w:tr w:rsidR="00DB211C" w:rsidRPr="00665726" w14:paraId="3B1A7BD4" w14:textId="77777777" w:rsidTr="003D6E64">
        <w:tc>
          <w:tcPr>
            <w:tcW w:w="1381" w:type="dxa"/>
            <w:vAlign w:val="center"/>
          </w:tcPr>
          <w:p w14:paraId="604BDC28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N. Gisev et al. (2010)</w:t>
            </w:r>
          </w:p>
        </w:tc>
        <w:tc>
          <w:tcPr>
            <w:tcW w:w="1316" w:type="dxa"/>
            <w:vAlign w:val="center"/>
          </w:tcPr>
          <w:p w14:paraId="5949D66D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Australia</w:t>
            </w:r>
          </w:p>
        </w:tc>
        <w:tc>
          <w:tcPr>
            <w:tcW w:w="2010" w:type="dxa"/>
            <w:vAlign w:val="center"/>
          </w:tcPr>
          <w:p w14:paraId="00B40305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CMHT</w:t>
            </w:r>
          </w:p>
        </w:tc>
        <w:tc>
          <w:tcPr>
            <w:tcW w:w="1522" w:type="dxa"/>
            <w:vAlign w:val="center"/>
          </w:tcPr>
          <w:p w14:paraId="14E48E1E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1F2CCA53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Evaluate comprehensive medicine reviews for CMHTs</w:t>
            </w:r>
          </w:p>
        </w:tc>
        <w:tc>
          <w:tcPr>
            <w:tcW w:w="1692" w:type="dxa"/>
            <w:vAlign w:val="center"/>
          </w:tcPr>
          <w:p w14:paraId="145AA4B0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Pharmacist-led medication reviews</w:t>
            </w:r>
          </w:p>
        </w:tc>
        <w:tc>
          <w:tcPr>
            <w:tcW w:w="4689" w:type="dxa"/>
          </w:tcPr>
          <w:p w14:paraId="746CBD8D" w14:textId="77777777" w:rsidR="00DB211C" w:rsidRPr="00665726" w:rsidRDefault="00DB211C" w:rsidP="003D6E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●81% recommendations appropriate 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●69% recommendations were likely to be implemented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●77% reviews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>deemed to potentially have a positive clinical impact</w:t>
            </w:r>
          </w:p>
          <w:p w14:paraId="0AB0C8F8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>Less than 11% of recommendations were considered unlikely to be implemented. The W score of 0.40 (P&lt;0.001) indicated moderate agreement</w:t>
            </w:r>
          </w:p>
        </w:tc>
      </w:tr>
      <w:tr w:rsidR="00DB211C" w:rsidRPr="00665726" w14:paraId="2BE389E3" w14:textId="77777777" w:rsidTr="003D6E64">
        <w:tc>
          <w:tcPr>
            <w:tcW w:w="1381" w:type="dxa"/>
            <w:vAlign w:val="center"/>
          </w:tcPr>
          <w:p w14:paraId="020D5487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D. Wucherer et al. (2017)</w:t>
            </w:r>
          </w:p>
        </w:tc>
        <w:tc>
          <w:tcPr>
            <w:tcW w:w="1316" w:type="dxa"/>
            <w:vAlign w:val="center"/>
          </w:tcPr>
          <w:p w14:paraId="547070B8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2010" w:type="dxa"/>
            <w:vAlign w:val="center"/>
          </w:tcPr>
          <w:p w14:paraId="78A12D17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GP practice</w:t>
            </w:r>
          </w:p>
        </w:tc>
        <w:tc>
          <w:tcPr>
            <w:tcW w:w="1522" w:type="dxa"/>
            <w:vAlign w:val="center"/>
          </w:tcPr>
          <w:p w14:paraId="5A4BD1ED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Dementia patients</w:t>
            </w:r>
          </w:p>
        </w:tc>
        <w:tc>
          <w:tcPr>
            <w:tcW w:w="1702" w:type="dxa"/>
            <w:vAlign w:val="center"/>
          </w:tcPr>
          <w:p w14:paraId="29C153A1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Evaluate collaborative dementia care management</w:t>
            </w:r>
          </w:p>
        </w:tc>
        <w:tc>
          <w:tcPr>
            <w:tcW w:w="1692" w:type="dxa"/>
            <w:vAlign w:val="center"/>
          </w:tcPr>
          <w:p w14:paraId="78B21BDB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Pharmacist computer based home medication assessments</w:t>
            </w:r>
          </w:p>
        </w:tc>
        <w:tc>
          <w:tcPr>
            <w:tcW w:w="4689" w:type="dxa"/>
          </w:tcPr>
          <w:p w14:paraId="63E38EA0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●92.8% had at least one DRP detected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●64.1% had 1-3 DRPs detected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●27.3% had 4-7 DRPs detected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 xml:space="preserve">●1.4% had 8-12 DRPs detected </w:t>
            </w:r>
          </w:p>
        </w:tc>
      </w:tr>
    </w:tbl>
    <w:p w14:paraId="532D834F" w14:textId="77777777" w:rsidR="00DB211C" w:rsidRDefault="00DB211C" w:rsidP="00DB211C"/>
    <w:p w14:paraId="1413503C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43F9BBCE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5EA6958A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37C3C8D1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6CFBD32A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13E0D8EA" w14:textId="4C237633" w:rsidR="00DB211C" w:rsidRPr="00665726" w:rsidRDefault="00DB211C" w:rsidP="00DB211C">
      <w:pPr>
        <w:rPr>
          <w:rFonts w:cstheme="minorHAnsi"/>
          <w:b/>
          <w:bCs/>
          <w:u w:val="single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381"/>
        <w:gridCol w:w="1316"/>
        <w:gridCol w:w="2010"/>
        <w:gridCol w:w="1522"/>
        <w:gridCol w:w="1702"/>
        <w:gridCol w:w="1692"/>
        <w:gridCol w:w="4689"/>
      </w:tblGrid>
      <w:tr w:rsidR="00DB211C" w:rsidRPr="00665726" w14:paraId="727E117E" w14:textId="77777777" w:rsidTr="003D6E64">
        <w:tc>
          <w:tcPr>
            <w:tcW w:w="1381" w:type="dxa"/>
            <w:tcBorders>
              <w:right w:val="single" w:sz="4" w:space="0" w:color="FFFFFF"/>
            </w:tcBorders>
            <w:shd w:val="clear" w:color="auto" w:fill="000000" w:themeFill="text1"/>
          </w:tcPr>
          <w:p w14:paraId="33EE36CA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bookmarkStart w:id="2" w:name="_Hlk88805190"/>
            <w:r w:rsidRPr="00665726">
              <w:rPr>
                <w:rFonts w:cstheme="minorHAnsi"/>
                <w:color w:val="FFFFFF" w:themeColor="background1"/>
              </w:rPr>
              <w:t>Author &amp; Year</w:t>
            </w:r>
          </w:p>
        </w:tc>
        <w:tc>
          <w:tcPr>
            <w:tcW w:w="131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54B8BC8C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Country</w:t>
            </w:r>
          </w:p>
        </w:tc>
        <w:tc>
          <w:tcPr>
            <w:tcW w:w="201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4E26268B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Primary care setting</w:t>
            </w:r>
          </w:p>
        </w:tc>
        <w:tc>
          <w:tcPr>
            <w:tcW w:w="152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28A17A9D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Study population</w:t>
            </w:r>
          </w:p>
        </w:tc>
        <w:tc>
          <w:tcPr>
            <w:tcW w:w="170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55E9A3E3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Aim</w:t>
            </w:r>
          </w:p>
        </w:tc>
        <w:tc>
          <w:tcPr>
            <w:tcW w:w="169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7F4126E9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Intervention</w:t>
            </w:r>
          </w:p>
        </w:tc>
        <w:tc>
          <w:tcPr>
            <w:tcW w:w="4689" w:type="dxa"/>
            <w:tcBorders>
              <w:left w:val="single" w:sz="4" w:space="0" w:color="FFFFFF"/>
            </w:tcBorders>
            <w:shd w:val="clear" w:color="auto" w:fill="000000" w:themeFill="text1"/>
          </w:tcPr>
          <w:p w14:paraId="017EA49F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Outcomes</w:t>
            </w:r>
          </w:p>
        </w:tc>
      </w:tr>
      <w:bookmarkEnd w:id="2"/>
      <w:tr w:rsidR="00DB211C" w:rsidRPr="00665726" w14:paraId="5CD943DB" w14:textId="77777777" w:rsidTr="003D6E64">
        <w:tc>
          <w:tcPr>
            <w:tcW w:w="1381" w:type="dxa"/>
            <w:vAlign w:val="center"/>
          </w:tcPr>
          <w:p w14:paraId="697215A5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M. Stuhec et al. (2019)</w:t>
            </w:r>
          </w:p>
        </w:tc>
        <w:tc>
          <w:tcPr>
            <w:tcW w:w="1316" w:type="dxa"/>
            <w:vAlign w:val="center"/>
          </w:tcPr>
          <w:p w14:paraId="58B53E85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Slovenia</w:t>
            </w:r>
          </w:p>
        </w:tc>
        <w:tc>
          <w:tcPr>
            <w:tcW w:w="2010" w:type="dxa"/>
            <w:vAlign w:val="center"/>
          </w:tcPr>
          <w:p w14:paraId="3C2C5D84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522" w:type="dxa"/>
            <w:vAlign w:val="center"/>
          </w:tcPr>
          <w:p w14:paraId="0D0C6BB2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308C3DDE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Evaluate impact of clinical pharmacist reviews on quality of life &amp; quality of pharmacotherapy</w:t>
            </w:r>
          </w:p>
        </w:tc>
        <w:tc>
          <w:tcPr>
            <w:tcW w:w="1692" w:type="dxa"/>
            <w:vAlign w:val="center"/>
          </w:tcPr>
          <w:p w14:paraId="0F2E3BF4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Clinical psychiatric pharmacist medication reviews</w:t>
            </w:r>
          </w:p>
        </w:tc>
        <w:tc>
          <w:tcPr>
            <w:tcW w:w="4689" w:type="dxa"/>
          </w:tcPr>
          <w:p w14:paraId="7BBEABFF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●Mean number of medications per patient decreased from 12.2 to 10.3 (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>&lt;0.05)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●Type X pDDI decreased by 33.3% (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 xml:space="preserve"> = 0.004)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●Type D pDDI decreased by 42.6% (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 xml:space="preserve"> = 0.004)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●PIMs decreased from 10.6% to 8.4% (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 xml:space="preserve"> = 0.025)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●% of recommendations accepted 29.2%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 xml:space="preserve">●Increase in QoL measure for 70.8% of patients </w:t>
            </w:r>
            <w:r w:rsidRPr="00665726">
              <w:rPr>
                <w:rFonts w:cstheme="minorHAnsi"/>
                <w:sz w:val="20"/>
                <w:szCs w:val="20"/>
              </w:rPr>
              <w:t>(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>&lt;0.05)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 xml:space="preserve">●Largest reduction in anxiety &amp; depression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>decreas</w:t>
            </w:r>
            <w:r>
              <w:rPr>
                <w:rFonts w:cstheme="minorHAnsi"/>
                <w:color w:val="000000"/>
                <w:sz w:val="20"/>
                <w:szCs w:val="20"/>
              </w:rPr>
              <w:t>ing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from 75% to 58.3%</w:t>
            </w:r>
          </w:p>
        </w:tc>
      </w:tr>
      <w:tr w:rsidR="00DB211C" w:rsidRPr="00665726" w14:paraId="5143D5C7" w14:textId="77777777" w:rsidTr="003D6E64">
        <w:tc>
          <w:tcPr>
            <w:tcW w:w="1381" w:type="dxa"/>
            <w:vAlign w:val="center"/>
          </w:tcPr>
          <w:p w14:paraId="160D09E5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M. Stuhec et al. (2021)</w:t>
            </w:r>
          </w:p>
        </w:tc>
        <w:tc>
          <w:tcPr>
            <w:tcW w:w="1316" w:type="dxa"/>
            <w:vAlign w:val="center"/>
          </w:tcPr>
          <w:p w14:paraId="0D4147CC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Slovenia</w:t>
            </w:r>
          </w:p>
        </w:tc>
        <w:tc>
          <w:tcPr>
            <w:tcW w:w="2010" w:type="dxa"/>
            <w:vAlign w:val="center"/>
          </w:tcPr>
          <w:p w14:paraId="1C6C1A07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GP practice</w:t>
            </w:r>
          </w:p>
        </w:tc>
        <w:tc>
          <w:tcPr>
            <w:tcW w:w="1522" w:type="dxa"/>
            <w:vAlign w:val="center"/>
          </w:tcPr>
          <w:p w14:paraId="7A2F4BDE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037E6EE0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Evaluate</w:t>
            </w:r>
          </w:p>
          <w:p w14:paraId="24703828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whether CP interventions have a long-term impact on the quality of medication prescribing in</w:t>
            </w:r>
          </w:p>
          <w:p w14:paraId="00271387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geropsychiatric patients</w:t>
            </w:r>
          </w:p>
        </w:tc>
        <w:tc>
          <w:tcPr>
            <w:tcW w:w="1692" w:type="dxa"/>
            <w:vAlign w:val="center"/>
          </w:tcPr>
          <w:p w14:paraId="7624CFF9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Clinical psychiatric pharmacist medication reviews</w:t>
            </w:r>
          </w:p>
        </w:tc>
        <w:tc>
          <w:tcPr>
            <w:tcW w:w="4689" w:type="dxa"/>
            <w:vAlign w:val="center"/>
          </w:tcPr>
          <w:p w14:paraId="7D4B6A8E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●Number of medications decreased by 9.5% </w:t>
            </w:r>
            <w:r w:rsidRPr="00665726">
              <w:rPr>
                <w:rFonts w:cstheme="minorHAnsi"/>
                <w:sz w:val="20"/>
                <w:szCs w:val="20"/>
              </w:rPr>
              <w:t>(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>&lt;0.05)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●Recommendations accepted = 55%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●75% of patients had all proposed interventions accepted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 xml:space="preserve">●PIMs decreased by 49% </w:t>
            </w:r>
            <w:r w:rsidRPr="00665726">
              <w:rPr>
                <w:rFonts w:cstheme="minorHAnsi"/>
                <w:sz w:val="20"/>
                <w:szCs w:val="20"/>
              </w:rPr>
              <w:t>(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>&lt;0.05)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 xml:space="preserve">●Number of </w:t>
            </w:r>
            <w:proofErr w:type="spellStart"/>
            <w:r w:rsidRPr="00665726">
              <w:rPr>
                <w:rFonts w:cstheme="minorHAnsi"/>
                <w:color w:val="000000"/>
                <w:sz w:val="20"/>
                <w:szCs w:val="20"/>
              </w:rPr>
              <w:t>pXDDIs</w:t>
            </w:r>
            <w:proofErr w:type="spellEnd"/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decreased from 8 to 1 </w:t>
            </w:r>
            <w:r w:rsidRPr="00665726">
              <w:rPr>
                <w:rFonts w:cstheme="minorHAnsi"/>
                <w:sz w:val="20"/>
                <w:szCs w:val="20"/>
              </w:rPr>
              <w:t>(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>&lt;0.05)</w:t>
            </w:r>
          </w:p>
        </w:tc>
      </w:tr>
      <w:tr w:rsidR="00DB211C" w:rsidRPr="00665726" w14:paraId="4C8ED2EE" w14:textId="77777777" w:rsidTr="003D6E64">
        <w:tc>
          <w:tcPr>
            <w:tcW w:w="1381" w:type="dxa"/>
            <w:vAlign w:val="center"/>
          </w:tcPr>
          <w:p w14:paraId="326D0770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M. </w:t>
            </w:r>
            <w:bookmarkStart w:id="3" w:name="_Hlk88817669"/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Rubio-Valera et al. </w:t>
            </w:r>
            <w:bookmarkEnd w:id="3"/>
            <w:r w:rsidRPr="00665726">
              <w:rPr>
                <w:rFonts w:cstheme="minorHAnsi"/>
                <w:color w:val="000000"/>
                <w:sz w:val="20"/>
                <w:szCs w:val="20"/>
              </w:rPr>
              <w:t>(2013)</w:t>
            </w:r>
          </w:p>
        </w:tc>
        <w:tc>
          <w:tcPr>
            <w:tcW w:w="1316" w:type="dxa"/>
            <w:vAlign w:val="center"/>
          </w:tcPr>
          <w:p w14:paraId="1BC32CDB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2010" w:type="dxa"/>
            <w:vAlign w:val="center"/>
          </w:tcPr>
          <w:p w14:paraId="299C86E1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Pharmacy</w:t>
            </w:r>
          </w:p>
        </w:tc>
        <w:tc>
          <w:tcPr>
            <w:tcW w:w="1522" w:type="dxa"/>
            <w:vAlign w:val="center"/>
          </w:tcPr>
          <w:p w14:paraId="74EF3DDA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1924C56A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Evaluate the impact of a clinical pharmacist intervention on primary care patients who have started antidepressant medication</w:t>
            </w:r>
          </w:p>
        </w:tc>
        <w:tc>
          <w:tcPr>
            <w:tcW w:w="1692" w:type="dxa"/>
            <w:vAlign w:val="center"/>
          </w:tcPr>
          <w:p w14:paraId="32B638AB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Community pharmacist educational intervention for patients</w:t>
            </w:r>
          </w:p>
        </w:tc>
        <w:tc>
          <w:tcPr>
            <w:tcW w:w="4689" w:type="dxa"/>
            <w:vAlign w:val="center"/>
          </w:tcPr>
          <w:p w14:paraId="13A8C4B3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Adherence to antidepressants</w:t>
            </w:r>
            <w:r w:rsidRPr="00665726">
              <w:rPr>
                <w:rFonts w:cstheme="minorHAnsi"/>
                <w:sz w:val="20"/>
                <w:szCs w:val="20"/>
              </w:rPr>
              <w:br/>
              <w:t xml:space="preserve">●3 month follow-up - CPI 83.3% compared to </w:t>
            </w:r>
            <w:r>
              <w:rPr>
                <w:rFonts w:cstheme="minorHAnsi"/>
                <w:sz w:val="20"/>
                <w:szCs w:val="20"/>
              </w:rPr>
              <w:t>c</w:t>
            </w:r>
            <w:r w:rsidRPr="00665726">
              <w:rPr>
                <w:rFonts w:cstheme="minorHAnsi"/>
                <w:sz w:val="20"/>
                <w:szCs w:val="20"/>
              </w:rPr>
              <w:t>ontrol 67.7%</w:t>
            </w:r>
            <w:r w:rsidRPr="00665726">
              <w:rPr>
                <w:rFonts w:cstheme="minorHAnsi"/>
                <w:sz w:val="20"/>
                <w:szCs w:val="20"/>
              </w:rPr>
              <w:br/>
              <w:t xml:space="preserve">●6 month follow-up - CPI 67.3% compared to </w:t>
            </w:r>
            <w:r>
              <w:rPr>
                <w:rFonts w:cstheme="minorHAnsi"/>
                <w:sz w:val="20"/>
                <w:szCs w:val="20"/>
              </w:rPr>
              <w:t>c</w:t>
            </w:r>
            <w:r w:rsidRPr="00665726">
              <w:rPr>
                <w:rFonts w:cstheme="minorHAnsi"/>
                <w:sz w:val="20"/>
                <w:szCs w:val="20"/>
              </w:rPr>
              <w:t xml:space="preserve">ontrol 46.3% </w:t>
            </w:r>
            <w:r w:rsidRPr="00665726">
              <w:rPr>
                <w:rFonts w:cstheme="minorHAnsi"/>
                <w:sz w:val="20"/>
                <w:szCs w:val="20"/>
              </w:rPr>
              <w:br/>
              <w:t xml:space="preserve">●Statistically significant improvement in HRQOL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sz w:val="20"/>
                <w:szCs w:val="20"/>
              </w:rPr>
              <w:t>= 0.038</w:t>
            </w:r>
            <w:r w:rsidRPr="00665726">
              <w:rPr>
                <w:rFonts w:cstheme="minorHAnsi"/>
                <w:sz w:val="20"/>
                <w:szCs w:val="20"/>
              </w:rPr>
              <w:br/>
              <w:t xml:space="preserve">●No statistically significant difference in symptom severity (main analysis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sz w:val="20"/>
                <w:szCs w:val="20"/>
              </w:rPr>
              <w:t>=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665726">
              <w:rPr>
                <w:rFonts w:cstheme="minorHAnsi"/>
                <w:sz w:val="20"/>
                <w:szCs w:val="20"/>
              </w:rPr>
              <w:t xml:space="preserve">0.432) (PP analysis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sz w:val="20"/>
                <w:szCs w:val="20"/>
              </w:rPr>
              <w:t xml:space="preserve">= 0.297) or satisfaction with the pharmacy (main analysis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sz w:val="20"/>
                <w:szCs w:val="20"/>
              </w:rPr>
              <w:t xml:space="preserve">= 0.20) (PP analysis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sz w:val="20"/>
                <w:szCs w:val="20"/>
              </w:rPr>
              <w:t>= 0.270)</w:t>
            </w:r>
          </w:p>
        </w:tc>
      </w:tr>
    </w:tbl>
    <w:p w14:paraId="1E3ECE61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6A801183" w14:textId="75379CD6" w:rsidR="00DB211C" w:rsidRPr="00305393" w:rsidRDefault="00DB211C" w:rsidP="00DB211C">
      <w:pPr>
        <w:rPr>
          <w:rFonts w:cstheme="minorHAnsi"/>
          <w:noProof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381"/>
        <w:gridCol w:w="1316"/>
        <w:gridCol w:w="2010"/>
        <w:gridCol w:w="1522"/>
        <w:gridCol w:w="1702"/>
        <w:gridCol w:w="1692"/>
        <w:gridCol w:w="4689"/>
      </w:tblGrid>
      <w:tr w:rsidR="00DB211C" w:rsidRPr="00665726" w14:paraId="1D3194C0" w14:textId="77777777" w:rsidTr="003D6E64">
        <w:tc>
          <w:tcPr>
            <w:tcW w:w="1381" w:type="dxa"/>
            <w:tcBorders>
              <w:right w:val="single" w:sz="4" w:space="0" w:color="FFFFFF"/>
            </w:tcBorders>
            <w:shd w:val="clear" w:color="auto" w:fill="000000" w:themeFill="text1"/>
          </w:tcPr>
          <w:p w14:paraId="4E2CCA39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Author &amp; Year</w:t>
            </w:r>
          </w:p>
        </w:tc>
        <w:tc>
          <w:tcPr>
            <w:tcW w:w="131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2756BB4F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Country</w:t>
            </w:r>
          </w:p>
        </w:tc>
        <w:tc>
          <w:tcPr>
            <w:tcW w:w="201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455C8DEE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Primary care setting</w:t>
            </w:r>
          </w:p>
        </w:tc>
        <w:tc>
          <w:tcPr>
            <w:tcW w:w="152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0ABDC133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Study population</w:t>
            </w:r>
          </w:p>
        </w:tc>
        <w:tc>
          <w:tcPr>
            <w:tcW w:w="170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2CA97DEC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Aim</w:t>
            </w:r>
          </w:p>
        </w:tc>
        <w:tc>
          <w:tcPr>
            <w:tcW w:w="169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7D5089A4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Intervention</w:t>
            </w:r>
          </w:p>
        </w:tc>
        <w:tc>
          <w:tcPr>
            <w:tcW w:w="4689" w:type="dxa"/>
            <w:tcBorders>
              <w:left w:val="single" w:sz="4" w:space="0" w:color="FFFFFF"/>
            </w:tcBorders>
            <w:shd w:val="clear" w:color="auto" w:fill="000000" w:themeFill="text1"/>
          </w:tcPr>
          <w:p w14:paraId="15BD60A7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Outcomes</w:t>
            </w:r>
          </w:p>
        </w:tc>
      </w:tr>
      <w:tr w:rsidR="00DB211C" w:rsidRPr="00665726" w14:paraId="45620E96" w14:textId="77777777" w:rsidTr="003D6E64">
        <w:tc>
          <w:tcPr>
            <w:tcW w:w="1381" w:type="dxa"/>
            <w:vAlign w:val="center"/>
          </w:tcPr>
          <w:p w14:paraId="1224586E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C. F. Johnson et al. (2020)</w:t>
            </w:r>
          </w:p>
        </w:tc>
        <w:tc>
          <w:tcPr>
            <w:tcW w:w="1316" w:type="dxa"/>
            <w:vAlign w:val="center"/>
          </w:tcPr>
          <w:p w14:paraId="17611CCD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UK</w:t>
            </w:r>
          </w:p>
        </w:tc>
        <w:tc>
          <w:tcPr>
            <w:tcW w:w="2010" w:type="dxa"/>
            <w:vAlign w:val="center"/>
          </w:tcPr>
          <w:p w14:paraId="039A97BA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CMHT</w:t>
            </w:r>
          </w:p>
        </w:tc>
        <w:tc>
          <w:tcPr>
            <w:tcW w:w="1522" w:type="dxa"/>
            <w:vAlign w:val="center"/>
          </w:tcPr>
          <w:p w14:paraId="5CBB7756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1EDE03FF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Increase the proportion of patients with no psychotropic drug</w:t>
            </w:r>
          </w:p>
          <w:p w14:paraId="464C1ABD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discrepancies at the CMHT–general practice interface</w:t>
            </w:r>
          </w:p>
        </w:tc>
        <w:tc>
          <w:tcPr>
            <w:tcW w:w="1692" w:type="dxa"/>
            <w:vAlign w:val="center"/>
          </w:tcPr>
          <w:p w14:paraId="70AA9AFA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3 part quality improvement intervention: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●individualised prescriber patient-level feedback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summaries after each reconciliation cycle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●run charts demonstrating the proportion of patients with ≥1 psychotropic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medicine discrepancy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●a planned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face-to-face meeting with each CMHT to discuss and reflect on progress</w:t>
            </w:r>
          </w:p>
        </w:tc>
        <w:tc>
          <w:tcPr>
            <w:tcW w:w="4689" w:type="dxa"/>
            <w:vAlign w:val="center"/>
          </w:tcPr>
          <w:p w14:paraId="5C084C40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CMHT-1 achieved a continuous non-statistically significant improvement in medicines reconciliation accuracy and a reduction in discrepancy rate per patient (χ2 = 13.05, d.f. = 3,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= 0.004, Cramer’s V = 0.2198). CMHT 2 &amp; 3 did not achieve that.</w:t>
            </w:r>
          </w:p>
        </w:tc>
      </w:tr>
    </w:tbl>
    <w:p w14:paraId="5DD67A70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082414C0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6B3CB91A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139612DC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7F5E317F" w14:textId="3536B919" w:rsidR="00DB211C" w:rsidRPr="00665726" w:rsidRDefault="00DB211C" w:rsidP="00DB211C">
      <w:pPr>
        <w:rPr>
          <w:rFonts w:cstheme="minorHAnsi"/>
          <w:b/>
          <w:bCs/>
          <w:u w:val="single"/>
        </w:rPr>
      </w:pPr>
    </w:p>
    <w:tbl>
      <w:tblPr>
        <w:tblStyle w:val="TableGrid1"/>
        <w:tblW w:w="14312" w:type="dxa"/>
        <w:tblLook w:val="04A0" w:firstRow="1" w:lastRow="0" w:firstColumn="1" w:lastColumn="0" w:noHBand="0" w:noVBand="1"/>
      </w:tblPr>
      <w:tblGrid>
        <w:gridCol w:w="1381"/>
        <w:gridCol w:w="1316"/>
        <w:gridCol w:w="2010"/>
        <w:gridCol w:w="1522"/>
        <w:gridCol w:w="1702"/>
        <w:gridCol w:w="1692"/>
        <w:gridCol w:w="4689"/>
      </w:tblGrid>
      <w:tr w:rsidR="00DB211C" w:rsidRPr="00665726" w14:paraId="731C1C43" w14:textId="77777777" w:rsidTr="003D6E64">
        <w:tc>
          <w:tcPr>
            <w:tcW w:w="1381" w:type="dxa"/>
            <w:tcBorders>
              <w:right w:val="single" w:sz="4" w:space="0" w:color="FFFFFF"/>
            </w:tcBorders>
            <w:shd w:val="clear" w:color="auto" w:fill="000000" w:themeFill="text1"/>
          </w:tcPr>
          <w:p w14:paraId="5B9DE273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bookmarkStart w:id="4" w:name="_Hlk88806233"/>
            <w:r w:rsidRPr="00665726">
              <w:rPr>
                <w:rFonts w:cstheme="minorHAnsi"/>
                <w:color w:val="FFFFFF" w:themeColor="background1"/>
              </w:rPr>
              <w:t>Author &amp; Year</w:t>
            </w:r>
          </w:p>
        </w:tc>
        <w:tc>
          <w:tcPr>
            <w:tcW w:w="131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530545CB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Country</w:t>
            </w:r>
          </w:p>
        </w:tc>
        <w:tc>
          <w:tcPr>
            <w:tcW w:w="201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0C536BCB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Primary care setting</w:t>
            </w:r>
          </w:p>
        </w:tc>
        <w:tc>
          <w:tcPr>
            <w:tcW w:w="152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775B0590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Study population</w:t>
            </w:r>
          </w:p>
        </w:tc>
        <w:tc>
          <w:tcPr>
            <w:tcW w:w="170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79F155B4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Aim</w:t>
            </w:r>
          </w:p>
        </w:tc>
        <w:tc>
          <w:tcPr>
            <w:tcW w:w="169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3A71C5EA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Intervention</w:t>
            </w:r>
          </w:p>
        </w:tc>
        <w:tc>
          <w:tcPr>
            <w:tcW w:w="4689" w:type="dxa"/>
            <w:tcBorders>
              <w:left w:val="single" w:sz="4" w:space="0" w:color="FFFFFF"/>
            </w:tcBorders>
            <w:shd w:val="clear" w:color="auto" w:fill="000000" w:themeFill="text1"/>
          </w:tcPr>
          <w:p w14:paraId="39C26EA9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Outcomes</w:t>
            </w:r>
          </w:p>
        </w:tc>
      </w:tr>
    </w:tbl>
    <w:tbl>
      <w:tblPr>
        <w:tblStyle w:val="TableGrid"/>
        <w:tblW w:w="14312" w:type="dxa"/>
        <w:tblInd w:w="-5" w:type="dxa"/>
        <w:tblLook w:val="04A0" w:firstRow="1" w:lastRow="0" w:firstColumn="1" w:lastColumn="0" w:noHBand="0" w:noVBand="1"/>
      </w:tblPr>
      <w:tblGrid>
        <w:gridCol w:w="1381"/>
        <w:gridCol w:w="1316"/>
        <w:gridCol w:w="2010"/>
        <w:gridCol w:w="1522"/>
        <w:gridCol w:w="1702"/>
        <w:gridCol w:w="1692"/>
        <w:gridCol w:w="4689"/>
      </w:tblGrid>
      <w:tr w:rsidR="00DB211C" w:rsidRPr="00665726" w14:paraId="7A5F6F55" w14:textId="77777777" w:rsidTr="003D6E64">
        <w:tc>
          <w:tcPr>
            <w:tcW w:w="1381" w:type="dxa"/>
            <w:vAlign w:val="center"/>
          </w:tcPr>
          <w:bookmarkEnd w:id="4"/>
          <w:p w14:paraId="18753280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J. Raynsford et al. (2020)</w:t>
            </w:r>
          </w:p>
        </w:tc>
        <w:tc>
          <w:tcPr>
            <w:tcW w:w="1316" w:type="dxa"/>
            <w:vAlign w:val="center"/>
          </w:tcPr>
          <w:p w14:paraId="631F0B3A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UK</w:t>
            </w:r>
          </w:p>
        </w:tc>
        <w:tc>
          <w:tcPr>
            <w:tcW w:w="2010" w:type="dxa"/>
            <w:vAlign w:val="center"/>
          </w:tcPr>
          <w:p w14:paraId="38FE88C9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GP practice</w:t>
            </w:r>
          </w:p>
        </w:tc>
        <w:tc>
          <w:tcPr>
            <w:tcW w:w="1522" w:type="dxa"/>
            <w:vAlign w:val="center"/>
          </w:tcPr>
          <w:p w14:paraId="17D26342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7D36A574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Investigate the</w:t>
            </w:r>
          </w:p>
          <w:p w14:paraId="3476421C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contribution a specialist mental health clinical pharmacy</w:t>
            </w:r>
          </w:p>
          <w:p w14:paraId="37D30676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team could make to medicines optimisation for patients</w:t>
            </w:r>
          </w:p>
          <w:p w14:paraId="35ABB1FD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on the SMI register in primary care</w:t>
            </w:r>
          </w:p>
        </w:tc>
        <w:tc>
          <w:tcPr>
            <w:tcW w:w="1692" w:type="dxa"/>
            <w:vAlign w:val="center"/>
          </w:tcPr>
          <w:p w14:paraId="16D7F793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Specialist mental health pharmacy team medicines optimisation within GP practice</w:t>
            </w:r>
          </w:p>
        </w:tc>
        <w:tc>
          <w:tcPr>
            <w:tcW w:w="4689" w:type="dxa"/>
            <w:vAlign w:val="center"/>
          </w:tcPr>
          <w:p w14:paraId="764192DF" w14:textId="77777777" w:rsidR="00DB211C" w:rsidRDefault="00DB211C" w:rsidP="003D6E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% of interventions graded 1-4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1. Very significant hospital admission prevented 5.8%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2. Significant improved outcome if changed 40.4%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3. Somewhat significant understanding increased 30.8%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4. No clinical significance 23.1%</w:t>
            </w:r>
          </w:p>
          <w:p w14:paraId="4CAC785C" w14:textId="77777777" w:rsidR="00DB211C" w:rsidRDefault="00DB211C" w:rsidP="003D6E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0F924B4D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Scales used adapted from Nathan et al.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ADDIN EN.CITE &lt;EndNote&gt;&lt;Cite&gt;&lt;Author&gt;Nathan&lt;/Author&gt;&lt;Year&gt;1999&lt;/Year&gt;&lt;RecNum&gt;4829&lt;/RecNum&gt;&lt;DisplayText&gt;&lt;style face="superscript"&gt;(127)&lt;/style&gt;&lt;/DisplayText&gt;&lt;record&gt;&lt;rec-number&gt;4829&lt;/rec-number&gt;&lt;foreign-keys&gt;&lt;key app="EN" db-id="0vdz95501efease2s5exdss7vepes2vrvpt5" timestamp="1642854500"&gt;4829&lt;/key&gt;&lt;/foreign-keys&gt;&lt;ref-type name="Journal Article"&gt;17&lt;/ref-type&gt;&lt;contributors&gt;&lt;authors&gt;&lt;author&gt;Nathan, Alan&lt;/author&gt;&lt;author&gt;Goodyer, Larry&lt;/author&gt;&lt;author&gt;Lovejoy, Anne&lt;/author&gt;&lt;author&gt;Rashid, Aly&lt;/author&gt;&lt;/authors&gt;&lt;/contributors&gt;&lt;titles&gt;&lt;title&gt;‘Brown bag’ medication reviews as a means of optimizing patients&amp;apos; use of medication and of identifying potential clinical problems&lt;/title&gt;&lt;secondary-title&gt;Family Practice&lt;/secondary-title&gt;&lt;/titles&gt;&lt;periodical&gt;&lt;full-title&gt;FAMILY PRACTICE&lt;/full-title&gt;&lt;/periodical&gt;&lt;pages&gt;278-282&lt;/pages&gt;&lt;volume&gt;16&lt;/volume&gt;&lt;number&gt;3&lt;/number&gt;&lt;dates&gt;&lt;year&gt;1999&lt;/year&gt;&lt;/dates&gt;&lt;isbn&gt;0263-2136&lt;/isbn&gt;&lt;urls&gt;&lt;related-urls&gt;&lt;url&gt;https://doi.org/10.1093/fampra/16.3.278&lt;/url&gt;&lt;/related-urls&gt;&lt;/urls&gt;&lt;electronic-resource-num&gt;10.1093/fampra/16.3.278&lt;/electronic-resource-num&gt;&lt;access-date&gt;1/22/2022&lt;/access-date&gt;&lt;/record&gt;&lt;/Cite&gt;&lt;/EndNote&gt;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Pr="00D504FA">
              <w:rPr>
                <w:rFonts w:cstheme="minorHAnsi"/>
                <w:noProof/>
                <w:sz w:val="20"/>
                <w:szCs w:val="20"/>
                <w:vertAlign w:val="superscript"/>
              </w:rPr>
              <w:t>(127)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DB211C" w:rsidRPr="00665726" w14:paraId="79A7BA48" w14:textId="77777777" w:rsidTr="003D6E64">
        <w:tc>
          <w:tcPr>
            <w:tcW w:w="1381" w:type="dxa"/>
            <w:vAlign w:val="center"/>
          </w:tcPr>
          <w:p w14:paraId="3A3F1015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J. C. Fortney et al. (2011)</w:t>
            </w:r>
          </w:p>
        </w:tc>
        <w:tc>
          <w:tcPr>
            <w:tcW w:w="1316" w:type="dxa"/>
            <w:vAlign w:val="center"/>
          </w:tcPr>
          <w:p w14:paraId="2058C761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010" w:type="dxa"/>
            <w:vAlign w:val="center"/>
          </w:tcPr>
          <w:p w14:paraId="08E58E3D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GP practice</w:t>
            </w:r>
          </w:p>
        </w:tc>
        <w:tc>
          <w:tcPr>
            <w:tcW w:w="1522" w:type="dxa"/>
            <w:vAlign w:val="center"/>
          </w:tcPr>
          <w:p w14:paraId="698E5DE6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15B5330C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Test whether collaborative care improves antidepressant adherence</w:t>
            </w:r>
          </w:p>
        </w:tc>
        <w:tc>
          <w:tcPr>
            <w:tcW w:w="1692" w:type="dxa"/>
            <w:vAlign w:val="center"/>
          </w:tcPr>
          <w:p w14:paraId="63741BD0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Telemedicine-based collaborative care from 5 types of provider</w:t>
            </w:r>
          </w:p>
        </w:tc>
        <w:tc>
          <w:tcPr>
            <w:tcW w:w="4689" w:type="dxa"/>
            <w:vAlign w:val="center"/>
          </w:tcPr>
          <w:p w14:paraId="785BED33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Self-reported adherence significantly improved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 xml:space="preserve">●6 months OR = 2.11; 95% CI, 1.0-4.4;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>= 0.04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 xml:space="preserve">●12 months OR = 2.72; 95% CI, 1.4-5.4;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>&lt;0.01</w:t>
            </w:r>
          </w:p>
        </w:tc>
      </w:tr>
      <w:tr w:rsidR="00DB211C" w:rsidRPr="00665726" w14:paraId="008F51AE" w14:textId="77777777" w:rsidTr="003D6E64">
        <w:tc>
          <w:tcPr>
            <w:tcW w:w="1381" w:type="dxa"/>
            <w:vAlign w:val="center"/>
          </w:tcPr>
          <w:p w14:paraId="32A246A1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J. A. </w:t>
            </w:r>
            <w:proofErr w:type="spellStart"/>
            <w:r w:rsidRPr="00665726">
              <w:rPr>
                <w:rFonts w:cstheme="minorHAnsi"/>
                <w:color w:val="000000"/>
                <w:sz w:val="20"/>
                <w:szCs w:val="20"/>
              </w:rPr>
              <w:t>Sirey</w:t>
            </w:r>
            <w:proofErr w:type="spellEnd"/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et al. (2017)</w:t>
            </w:r>
          </w:p>
        </w:tc>
        <w:tc>
          <w:tcPr>
            <w:tcW w:w="1316" w:type="dxa"/>
            <w:vAlign w:val="center"/>
          </w:tcPr>
          <w:p w14:paraId="167C6CAD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010" w:type="dxa"/>
            <w:vAlign w:val="center"/>
          </w:tcPr>
          <w:p w14:paraId="3E61E8B0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GP practice*</w:t>
            </w:r>
          </w:p>
        </w:tc>
        <w:tc>
          <w:tcPr>
            <w:tcW w:w="1522" w:type="dxa"/>
            <w:vAlign w:val="center"/>
          </w:tcPr>
          <w:p w14:paraId="4D28787C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24A31101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eastAsia="GuardianSansGR-Regular" w:cstheme="minorHAnsi"/>
                <w:sz w:val="20"/>
                <w:szCs w:val="20"/>
              </w:rPr>
            </w:pPr>
            <w:r w:rsidRPr="00665726">
              <w:rPr>
                <w:rFonts w:eastAsia="GuardianSansGR-Regular" w:cstheme="minorHAnsi"/>
                <w:sz w:val="20"/>
                <w:szCs w:val="20"/>
              </w:rPr>
              <w:t>Evaluate the effectiveness of a psychosocial intervention to improve early</w:t>
            </w:r>
          </w:p>
          <w:p w14:paraId="1ED012AE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eastAsia="GuardianSansGR-Regular" w:cstheme="minorHAnsi"/>
                <w:sz w:val="20"/>
                <w:szCs w:val="20"/>
              </w:rPr>
            </w:pPr>
            <w:r w:rsidRPr="00665726">
              <w:rPr>
                <w:rFonts w:eastAsia="GuardianSansGR-Regular" w:cstheme="minorHAnsi"/>
                <w:sz w:val="20"/>
                <w:szCs w:val="20"/>
              </w:rPr>
              <w:t>adherence among older patients who are newly initiated on an antidepressant</w:t>
            </w:r>
          </w:p>
        </w:tc>
        <w:tc>
          <w:tcPr>
            <w:tcW w:w="1692" w:type="dxa"/>
            <w:vAlign w:val="center"/>
          </w:tcPr>
          <w:p w14:paraId="2F696358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Treatment Initiation and Participation Program (TIP) - identify barriers and develop personal adherence strategies</w:t>
            </w:r>
          </w:p>
        </w:tc>
        <w:tc>
          <w:tcPr>
            <w:tcW w:w="4689" w:type="dxa"/>
            <w:vAlign w:val="center"/>
          </w:tcPr>
          <w:p w14:paraId="79150167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eastAsia="GuardianSansGR-Regular"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TIP group </w:t>
            </w:r>
            <w:r w:rsidRPr="00665726">
              <w:rPr>
                <w:rFonts w:cstheme="minorHAnsi"/>
                <w:sz w:val="20"/>
                <w:szCs w:val="20"/>
                <w:u w:val="single"/>
              </w:rPr>
              <w:t xml:space="preserve">                                                                                                  </w:t>
            </w:r>
            <w:r w:rsidRPr="00665726">
              <w:rPr>
                <w:rFonts w:cstheme="minorHAnsi"/>
                <w:sz w:val="20"/>
                <w:szCs w:val="20"/>
              </w:rPr>
              <w:t xml:space="preserve">                 ●6 weeks = 5 times more likely to be adherent </w:t>
            </w:r>
            <w:r w:rsidRPr="00665726">
              <w:rPr>
                <w:rFonts w:eastAsia="GuardianSansGR-Regular" w:cstheme="minorHAnsi"/>
                <w:sz w:val="20"/>
                <w:szCs w:val="20"/>
              </w:rPr>
              <w:t xml:space="preserve">(OR = 5.54; 95% CI, 2.57-11.96; χ2 = 19.05; </w:t>
            </w:r>
            <w:r w:rsidRPr="00665726">
              <w:rPr>
                <w:rFonts w:eastAsia="GuardianSansGR-Regular"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eastAsia="GuardianSansGR-Regular" w:cstheme="minorHAnsi"/>
                <w:sz w:val="20"/>
                <w:szCs w:val="20"/>
              </w:rPr>
              <w:t>&lt;0.001)</w:t>
            </w:r>
            <w:r w:rsidRPr="00665726">
              <w:rPr>
                <w:rFonts w:cstheme="minorHAnsi"/>
                <w:sz w:val="20"/>
                <w:szCs w:val="20"/>
              </w:rPr>
              <w:t xml:space="preserve">                                 ●6 &amp; 12 weeks = 3 times more likely to be adherent </w:t>
            </w:r>
            <w:r w:rsidRPr="00665726">
              <w:rPr>
                <w:rFonts w:eastAsia="GuardianSansGR-Regular" w:cstheme="minorHAnsi"/>
                <w:sz w:val="20"/>
                <w:szCs w:val="20"/>
              </w:rPr>
              <w:t xml:space="preserve">(OR = 3.27; 95% CI, 1.73-6.17; χ2 = 13.34; </w:t>
            </w:r>
            <w:r w:rsidRPr="00665726">
              <w:rPr>
                <w:rFonts w:eastAsia="GuardianSansGR-Regular"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eastAsia="GuardianSansGR-Regular" w:cstheme="minorHAnsi"/>
                <w:sz w:val="20"/>
                <w:szCs w:val="20"/>
              </w:rPr>
              <w:t>&lt;0.001)</w:t>
            </w:r>
            <w:r w:rsidRPr="00665726">
              <w:rPr>
                <w:rFonts w:cstheme="minorHAnsi"/>
                <w:sz w:val="20"/>
                <w:szCs w:val="20"/>
              </w:rPr>
              <w:t xml:space="preserve">                              </w:t>
            </w:r>
          </w:p>
          <w:p w14:paraId="35E3D5D6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●Significant early improvement (24.9% change from baseline) in depressive symptoms at 6 weeks (95% CI, 13.9-35.9; t337 = 4.46; adjusted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>&lt;0.001)</w:t>
            </w:r>
          </w:p>
        </w:tc>
      </w:tr>
    </w:tbl>
    <w:p w14:paraId="153D3902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68C0CF6D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47E27BCD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56B4388B" w14:textId="1D45ABAB" w:rsidR="00DB211C" w:rsidRPr="00665726" w:rsidRDefault="00DB211C" w:rsidP="00DB211C">
      <w:pPr>
        <w:rPr>
          <w:rFonts w:cstheme="minorHAnsi"/>
          <w:b/>
          <w:bCs/>
          <w:u w:val="single"/>
        </w:rPr>
      </w:pPr>
      <w:bookmarkStart w:id="5" w:name="_Hlk88807735"/>
    </w:p>
    <w:tbl>
      <w:tblPr>
        <w:tblStyle w:val="TableGrid1"/>
        <w:tblW w:w="14312" w:type="dxa"/>
        <w:tblLook w:val="04A0" w:firstRow="1" w:lastRow="0" w:firstColumn="1" w:lastColumn="0" w:noHBand="0" w:noVBand="1"/>
      </w:tblPr>
      <w:tblGrid>
        <w:gridCol w:w="1381"/>
        <w:gridCol w:w="1316"/>
        <w:gridCol w:w="2010"/>
        <w:gridCol w:w="1522"/>
        <w:gridCol w:w="1702"/>
        <w:gridCol w:w="1692"/>
        <w:gridCol w:w="4689"/>
      </w:tblGrid>
      <w:tr w:rsidR="00DB211C" w:rsidRPr="00665726" w14:paraId="5576F1CC" w14:textId="77777777" w:rsidTr="003D6E64">
        <w:tc>
          <w:tcPr>
            <w:tcW w:w="1381" w:type="dxa"/>
            <w:tcBorders>
              <w:right w:val="single" w:sz="4" w:space="0" w:color="FFFFFF"/>
            </w:tcBorders>
            <w:shd w:val="clear" w:color="auto" w:fill="000000" w:themeFill="text1"/>
          </w:tcPr>
          <w:p w14:paraId="5AEA1ADD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Author &amp; Year</w:t>
            </w:r>
          </w:p>
        </w:tc>
        <w:tc>
          <w:tcPr>
            <w:tcW w:w="131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62157F7A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Country</w:t>
            </w:r>
          </w:p>
        </w:tc>
        <w:tc>
          <w:tcPr>
            <w:tcW w:w="201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6DC85A70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Primary care setting</w:t>
            </w:r>
          </w:p>
        </w:tc>
        <w:tc>
          <w:tcPr>
            <w:tcW w:w="152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3A4262D7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Study population</w:t>
            </w:r>
          </w:p>
        </w:tc>
        <w:tc>
          <w:tcPr>
            <w:tcW w:w="170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1FD6982A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Aim</w:t>
            </w:r>
          </w:p>
        </w:tc>
        <w:tc>
          <w:tcPr>
            <w:tcW w:w="169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069856BB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Intervention</w:t>
            </w:r>
          </w:p>
        </w:tc>
        <w:tc>
          <w:tcPr>
            <w:tcW w:w="4689" w:type="dxa"/>
            <w:tcBorders>
              <w:left w:val="single" w:sz="4" w:space="0" w:color="FFFFFF"/>
            </w:tcBorders>
            <w:shd w:val="clear" w:color="auto" w:fill="000000" w:themeFill="text1"/>
          </w:tcPr>
          <w:p w14:paraId="1D4404C0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Outcomes</w:t>
            </w:r>
          </w:p>
        </w:tc>
      </w:tr>
    </w:tbl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381"/>
        <w:gridCol w:w="1316"/>
        <w:gridCol w:w="2010"/>
        <w:gridCol w:w="1522"/>
        <w:gridCol w:w="1702"/>
        <w:gridCol w:w="1692"/>
        <w:gridCol w:w="4689"/>
      </w:tblGrid>
      <w:tr w:rsidR="00DB211C" w:rsidRPr="00665726" w14:paraId="2BC3E545" w14:textId="77777777" w:rsidTr="003D6E64">
        <w:tc>
          <w:tcPr>
            <w:tcW w:w="1381" w:type="dxa"/>
            <w:vAlign w:val="center"/>
          </w:tcPr>
          <w:bookmarkEnd w:id="5"/>
          <w:p w14:paraId="4F26F3DA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S. Priebe et al. (2013)</w:t>
            </w:r>
          </w:p>
        </w:tc>
        <w:tc>
          <w:tcPr>
            <w:tcW w:w="1316" w:type="dxa"/>
            <w:vAlign w:val="center"/>
          </w:tcPr>
          <w:p w14:paraId="2465DCBF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2010" w:type="dxa"/>
            <w:vAlign w:val="center"/>
          </w:tcPr>
          <w:p w14:paraId="72D24A19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CMHT</w:t>
            </w:r>
          </w:p>
        </w:tc>
        <w:tc>
          <w:tcPr>
            <w:tcW w:w="1522" w:type="dxa"/>
            <w:vAlign w:val="center"/>
          </w:tcPr>
          <w:p w14:paraId="0871A290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0A761CFF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Evaluate if financial incentives is effective in improving adherence to maintenance treatment with antipsychotics in patients with psychotic disorders</w:t>
            </w:r>
          </w:p>
        </w:tc>
        <w:tc>
          <w:tcPr>
            <w:tcW w:w="1692" w:type="dxa"/>
            <w:vAlign w:val="center"/>
          </w:tcPr>
          <w:p w14:paraId="70431C54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Patient offered £15 for each depot injection over a 12 month period</w:t>
            </w:r>
          </w:p>
        </w:tc>
        <w:tc>
          <w:tcPr>
            <w:tcW w:w="4689" w:type="dxa"/>
          </w:tcPr>
          <w:p w14:paraId="59A2BD79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●Baseline adherence - Control = 67%, Intervention = 69%                  </w:t>
            </w:r>
          </w:p>
          <w:p w14:paraId="534BA7A4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●12 month adherence - Control = 71%, Intervention = 85%               </w:t>
            </w:r>
          </w:p>
          <w:p w14:paraId="186B32DF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●Adjusted effect = 11.5% (95% confidence interval 3.9% to 19.0%,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sz w:val="20"/>
                <w:szCs w:val="20"/>
              </w:rPr>
              <w:t>= 0.003)</w:t>
            </w:r>
          </w:p>
          <w:p w14:paraId="638B44E4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●Adherence ≥95% achieved in 28% of the intervention group and 5% of the control group (OR = 8.21, 95% confidence interval 2.00 to 33.67,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sz w:val="20"/>
                <w:szCs w:val="20"/>
              </w:rPr>
              <w:t>= 0.003).</w:t>
            </w:r>
          </w:p>
          <w:p w14:paraId="70DEBB49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●Patients in the intervention group had more favourable QoL ratings (β=0.71, 95% CI, 0.26 to 1.15,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sz w:val="20"/>
                <w:szCs w:val="20"/>
              </w:rPr>
              <w:t>= 0.002)</w:t>
            </w:r>
          </w:p>
        </w:tc>
      </w:tr>
      <w:tr w:rsidR="00DB211C" w:rsidRPr="00665726" w14:paraId="66180AE0" w14:textId="77777777" w:rsidTr="003D6E64">
        <w:tc>
          <w:tcPr>
            <w:tcW w:w="1381" w:type="dxa"/>
            <w:vAlign w:val="center"/>
          </w:tcPr>
          <w:p w14:paraId="153F4463" w14:textId="77777777" w:rsidR="00DB211C" w:rsidRPr="00665726" w:rsidRDefault="00DB211C" w:rsidP="003D6E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S. Priebe et al. (2016)</w:t>
            </w:r>
          </w:p>
        </w:tc>
        <w:tc>
          <w:tcPr>
            <w:tcW w:w="1316" w:type="dxa"/>
            <w:vAlign w:val="center"/>
          </w:tcPr>
          <w:p w14:paraId="372F45E9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2010" w:type="dxa"/>
            <w:vAlign w:val="center"/>
          </w:tcPr>
          <w:p w14:paraId="2B99BB1C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CMHT</w:t>
            </w:r>
          </w:p>
        </w:tc>
        <w:tc>
          <w:tcPr>
            <w:tcW w:w="1522" w:type="dxa"/>
            <w:vAlign w:val="center"/>
          </w:tcPr>
          <w:p w14:paraId="43ABF53E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36EC1DB8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Evaluate whether the positive effect continues once the incentives stop</w:t>
            </w:r>
          </w:p>
        </w:tc>
        <w:tc>
          <w:tcPr>
            <w:tcW w:w="1692" w:type="dxa"/>
            <w:vAlign w:val="center"/>
          </w:tcPr>
          <w:p w14:paraId="1B3CFFA7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Discontinued £15 financial incentive - 2 year follow-up post intervention</w:t>
            </w:r>
          </w:p>
        </w:tc>
        <w:tc>
          <w:tcPr>
            <w:tcW w:w="4689" w:type="dxa"/>
          </w:tcPr>
          <w:p w14:paraId="0E285B0D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●No statistically significant difference in mean adherence between control and intervention groups                                                               ●Control - 6 months = 78%, 18 months = 74%                                          ●Intervention - 6 months = 71%, 18 months = 68%</w:t>
            </w:r>
          </w:p>
          <w:p w14:paraId="3D39A9BC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●6 months </w:t>
            </w:r>
            <w:r w:rsidRPr="00665726">
              <w:rPr>
                <w:rFonts w:eastAsia="AdvOT8608a8d1+22" w:cstheme="minorHAnsi"/>
                <w:sz w:val="20"/>
                <w:szCs w:val="20"/>
              </w:rPr>
              <w:t>−</w:t>
            </w:r>
            <w:r w:rsidRPr="00665726">
              <w:rPr>
                <w:rFonts w:cstheme="minorHAnsi"/>
                <w:sz w:val="20"/>
                <w:szCs w:val="20"/>
              </w:rPr>
              <w:t xml:space="preserve">7.4%, 95% CI, 17.0 to 2.1,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sz w:val="20"/>
                <w:szCs w:val="20"/>
              </w:rPr>
              <w:t>= 0.175</w:t>
            </w:r>
          </w:p>
          <w:p w14:paraId="68316AFC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●18 months </w:t>
            </w:r>
            <w:r w:rsidRPr="00665726">
              <w:rPr>
                <w:rFonts w:eastAsia="AdvOT8608a8d1+22" w:cstheme="minorHAnsi"/>
                <w:sz w:val="20"/>
                <w:szCs w:val="20"/>
              </w:rPr>
              <w:t>−</w:t>
            </w:r>
            <w:r w:rsidRPr="00665726">
              <w:rPr>
                <w:rFonts w:cstheme="minorHAnsi"/>
                <w:sz w:val="20"/>
                <w:szCs w:val="20"/>
              </w:rPr>
              <w:t xml:space="preserve">5.7, 95% CI, 13.1%-1.7%,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sz w:val="20"/>
                <w:szCs w:val="20"/>
              </w:rPr>
              <w:t>= 0.130</w:t>
            </w:r>
          </w:p>
          <w:p w14:paraId="4AE22FA5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●95% adherence during the 6-month and further 18-month follow-up was not significantly different </w:t>
            </w:r>
            <w:r w:rsidRPr="00665726">
              <w:rPr>
                <w:rFonts w:cstheme="minorHAnsi"/>
                <w:sz w:val="20"/>
                <w:szCs w:val="20"/>
              </w:rPr>
              <w:br/>
              <w:t xml:space="preserve">●6 months = OR = 0.42, 95% CI, 0.11-1.61,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sz w:val="20"/>
                <w:szCs w:val="20"/>
              </w:rPr>
              <w:t>= 0.205</w:t>
            </w:r>
          </w:p>
          <w:p w14:paraId="624AAE92" w14:textId="77777777" w:rsidR="00DB211C" w:rsidRPr="00665726" w:rsidRDefault="00DB211C" w:rsidP="003D6E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●24 months = OR = 0.42, 95% CI, 0.06-3.02,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 xml:space="preserve">p </w:t>
            </w:r>
            <w:r w:rsidRPr="00665726">
              <w:rPr>
                <w:rFonts w:cstheme="minorHAnsi"/>
                <w:sz w:val="20"/>
                <w:szCs w:val="20"/>
              </w:rPr>
              <w:t>= 0.392</w:t>
            </w:r>
          </w:p>
        </w:tc>
      </w:tr>
      <w:tr w:rsidR="00DB211C" w:rsidRPr="00665726" w14:paraId="42A49D21" w14:textId="77777777" w:rsidTr="003D6E64">
        <w:tc>
          <w:tcPr>
            <w:tcW w:w="1381" w:type="dxa"/>
            <w:vAlign w:val="center"/>
          </w:tcPr>
          <w:p w14:paraId="43662C89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S. Bhat et al. (2018)</w:t>
            </w:r>
          </w:p>
        </w:tc>
        <w:tc>
          <w:tcPr>
            <w:tcW w:w="1316" w:type="dxa"/>
            <w:vAlign w:val="center"/>
          </w:tcPr>
          <w:p w14:paraId="41C75298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010" w:type="dxa"/>
            <w:vAlign w:val="center"/>
          </w:tcPr>
          <w:p w14:paraId="16B86E5C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GP practice*</w:t>
            </w:r>
          </w:p>
        </w:tc>
        <w:tc>
          <w:tcPr>
            <w:tcW w:w="1522" w:type="dxa"/>
            <w:vAlign w:val="center"/>
          </w:tcPr>
          <w:p w14:paraId="3C6E6A6E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72F5E1D6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Evaluate a service to monitor</w:t>
            </w:r>
          </w:p>
          <w:p w14:paraId="5DE5D3D0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patients after antidepressant initiation or titration in primary care settings</w:t>
            </w:r>
          </w:p>
        </w:tc>
        <w:tc>
          <w:tcPr>
            <w:tcW w:w="1692" w:type="dxa"/>
            <w:vAlign w:val="center"/>
          </w:tcPr>
          <w:p w14:paraId="54FBC32E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Pharmacist-led multidisciplinary telemonitoring service</w:t>
            </w:r>
          </w:p>
        </w:tc>
        <w:tc>
          <w:tcPr>
            <w:tcW w:w="4689" w:type="dxa"/>
          </w:tcPr>
          <w:p w14:paraId="597B95C6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●Identified medication nonadherence in 19%, suicidal ideation in 4%, and provided interventions in 42% of calls                                   </w:t>
            </w:r>
          </w:p>
          <w:p w14:paraId="752DB381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●109 interventions for 102/258 (40%) unique patients</w:t>
            </w:r>
          </w:p>
          <w:p w14:paraId="754C4F40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●Improved medication possession ratio (0.81</w:t>
            </w:r>
          </w:p>
          <w:p w14:paraId="0B893FF7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vs. 0.66;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 xml:space="preserve"> = 0.0001)</w:t>
            </w:r>
          </w:p>
          <w:p w14:paraId="2B67A7FF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●Medication switch rates (Pharmacist 24% vs. PCP 5%;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 xml:space="preserve"> = 0.0001)</w:t>
            </w:r>
          </w:p>
        </w:tc>
      </w:tr>
    </w:tbl>
    <w:p w14:paraId="402CDD5F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14354BF3" w14:textId="00BF5816" w:rsidR="00DB211C" w:rsidRPr="00665726" w:rsidRDefault="00DB211C" w:rsidP="00DB211C">
      <w:pPr>
        <w:rPr>
          <w:rFonts w:cstheme="minorHAnsi"/>
          <w:b/>
          <w:bCs/>
          <w:u w:val="single"/>
        </w:rPr>
      </w:pPr>
    </w:p>
    <w:tbl>
      <w:tblPr>
        <w:tblStyle w:val="TableGrid1"/>
        <w:tblW w:w="14312" w:type="dxa"/>
        <w:tblLook w:val="04A0" w:firstRow="1" w:lastRow="0" w:firstColumn="1" w:lastColumn="0" w:noHBand="0" w:noVBand="1"/>
      </w:tblPr>
      <w:tblGrid>
        <w:gridCol w:w="1381"/>
        <w:gridCol w:w="1316"/>
        <w:gridCol w:w="2010"/>
        <w:gridCol w:w="1522"/>
        <w:gridCol w:w="1702"/>
        <w:gridCol w:w="1692"/>
        <w:gridCol w:w="4689"/>
      </w:tblGrid>
      <w:tr w:rsidR="00DB211C" w:rsidRPr="00665726" w14:paraId="18FE05C3" w14:textId="77777777" w:rsidTr="003D6E64">
        <w:tc>
          <w:tcPr>
            <w:tcW w:w="1381" w:type="dxa"/>
            <w:tcBorders>
              <w:right w:val="single" w:sz="4" w:space="0" w:color="FFFFFF"/>
            </w:tcBorders>
            <w:shd w:val="clear" w:color="auto" w:fill="000000" w:themeFill="text1"/>
          </w:tcPr>
          <w:p w14:paraId="5BAF52DC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Author &amp; Year</w:t>
            </w:r>
          </w:p>
        </w:tc>
        <w:tc>
          <w:tcPr>
            <w:tcW w:w="131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700ABADB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Country</w:t>
            </w:r>
          </w:p>
        </w:tc>
        <w:tc>
          <w:tcPr>
            <w:tcW w:w="201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66AF43D7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Primary care setting</w:t>
            </w:r>
          </w:p>
        </w:tc>
        <w:tc>
          <w:tcPr>
            <w:tcW w:w="152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6CCA78AD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Study population</w:t>
            </w:r>
          </w:p>
        </w:tc>
        <w:tc>
          <w:tcPr>
            <w:tcW w:w="170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2E84826E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Aim</w:t>
            </w:r>
          </w:p>
        </w:tc>
        <w:tc>
          <w:tcPr>
            <w:tcW w:w="169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2C8C79EC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Intervention</w:t>
            </w:r>
          </w:p>
        </w:tc>
        <w:tc>
          <w:tcPr>
            <w:tcW w:w="4689" w:type="dxa"/>
            <w:tcBorders>
              <w:left w:val="single" w:sz="4" w:space="0" w:color="FFFFFF"/>
            </w:tcBorders>
            <w:shd w:val="clear" w:color="auto" w:fill="000000" w:themeFill="text1"/>
          </w:tcPr>
          <w:p w14:paraId="242E22E9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Outcomes</w:t>
            </w:r>
          </w:p>
        </w:tc>
      </w:tr>
      <w:tr w:rsidR="00DB211C" w:rsidRPr="00665726" w14:paraId="44F336FF" w14:textId="77777777" w:rsidTr="003D6E64">
        <w:tc>
          <w:tcPr>
            <w:tcW w:w="1381" w:type="dxa"/>
            <w:vAlign w:val="center"/>
          </w:tcPr>
          <w:p w14:paraId="642FB765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L. Dou et al. (2020)</w:t>
            </w:r>
          </w:p>
        </w:tc>
        <w:tc>
          <w:tcPr>
            <w:tcW w:w="1316" w:type="dxa"/>
            <w:vAlign w:val="center"/>
          </w:tcPr>
          <w:p w14:paraId="159B8851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2010" w:type="dxa"/>
            <w:vAlign w:val="center"/>
          </w:tcPr>
          <w:p w14:paraId="0AC9511D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Community-dwelling</w:t>
            </w:r>
          </w:p>
        </w:tc>
        <w:tc>
          <w:tcPr>
            <w:tcW w:w="1522" w:type="dxa"/>
            <w:vAlign w:val="center"/>
          </w:tcPr>
          <w:p w14:paraId="68397629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7F76FEAC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Evaluate the effectiveness of the 686 on patient medication adherence</w:t>
            </w:r>
          </w:p>
        </w:tc>
        <w:tc>
          <w:tcPr>
            <w:tcW w:w="1692" w:type="dxa"/>
            <w:vAlign w:val="center"/>
          </w:tcPr>
          <w:p w14:paraId="13150F63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686 project - free essential drugs and follow-up</w:t>
            </w:r>
          </w:p>
        </w:tc>
        <w:tc>
          <w:tcPr>
            <w:tcW w:w="4689" w:type="dxa"/>
            <w:vAlign w:val="center"/>
          </w:tcPr>
          <w:p w14:paraId="29FC0908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●686 project group = 92.6% adherence                                          ●Non-policy group = 61.2% adherence</w:t>
            </w:r>
          </w:p>
        </w:tc>
      </w:tr>
      <w:tr w:rsidR="00DB211C" w:rsidRPr="00665726" w14:paraId="4EFEC155" w14:textId="77777777" w:rsidTr="003D6E64">
        <w:tc>
          <w:tcPr>
            <w:tcW w:w="1381" w:type="dxa"/>
            <w:vAlign w:val="center"/>
          </w:tcPr>
          <w:p w14:paraId="4191AC3A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L. Hoffman et al. (2003)</w:t>
            </w:r>
          </w:p>
        </w:tc>
        <w:tc>
          <w:tcPr>
            <w:tcW w:w="1316" w:type="dxa"/>
            <w:vAlign w:val="center"/>
          </w:tcPr>
          <w:p w14:paraId="0C8913E0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010" w:type="dxa"/>
            <w:vAlign w:val="center"/>
          </w:tcPr>
          <w:p w14:paraId="01CC33F2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Pharmacy</w:t>
            </w:r>
          </w:p>
        </w:tc>
        <w:tc>
          <w:tcPr>
            <w:tcW w:w="1522" w:type="dxa"/>
            <w:vAlign w:val="center"/>
          </w:tcPr>
          <w:p w14:paraId="11F18DE7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7ADD993B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Evaluate the impact of mail-based physician</w:t>
            </w:r>
          </w:p>
          <w:p w14:paraId="224C53C3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and educational interventions on patient adherence to</w:t>
            </w:r>
          </w:p>
          <w:p w14:paraId="653625E5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antidepressant medications</w:t>
            </w:r>
          </w:p>
        </w:tc>
        <w:tc>
          <w:tcPr>
            <w:tcW w:w="1692" w:type="dxa"/>
            <w:vAlign w:val="center"/>
          </w:tcPr>
          <w:p w14:paraId="6958BC06" w14:textId="77777777" w:rsidR="00DB211C" w:rsidRPr="00665726" w:rsidRDefault="00DB211C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Educational intervention for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patients and prescribers</w:t>
            </w:r>
          </w:p>
          <w:p w14:paraId="0C32195C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1. Health Plan Employer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Data and Information Set (</w:t>
            </w:r>
            <w:proofErr w:type="gramStart"/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HEDIS)   </w:t>
            </w:r>
            <w:proofErr w:type="gramEnd"/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2. Information regarding the importance of medication adherence</w:t>
            </w:r>
          </w:p>
        </w:tc>
        <w:tc>
          <w:tcPr>
            <w:tcW w:w="4689" w:type="dxa"/>
          </w:tcPr>
          <w:p w14:paraId="79039677" w14:textId="77777777" w:rsidR="00DB211C" w:rsidRPr="00665726" w:rsidRDefault="00DB211C" w:rsidP="003D6E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Adherence rates                                                                                             ●First observation - Control = 57.4%, Intervention = 58.9%                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 xml:space="preserve">Medication possession ratio                                                                                  ●Second observation - Control = 65.5%, Intervention = 66.9%          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 xml:space="preserve">●Third observation - Control = 50.2%, Intervention = 52.3%         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 xml:space="preserve">HEDIS                                                                                             ●Second observation - Control = 56.6%, Intervention = 59.6%          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br/>
              <w:t>●Third observation - Control = 29.4%, Intervention = 31.4%</w:t>
            </w:r>
          </w:p>
          <w:p w14:paraId="19B04E57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>Intervention group demonstrated greater adherence compared with the control group at 90 and 180 days (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>&lt;0.05)</w:t>
            </w:r>
          </w:p>
          <w:p w14:paraId="1BBA23DE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>Intervention variable stood alone in its significant impact on adherence (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>&lt;0.01; CI, 1.003-1.197)</w:t>
            </w:r>
          </w:p>
        </w:tc>
      </w:tr>
    </w:tbl>
    <w:p w14:paraId="1E4BB0DF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58CD306E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52C7C87F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5563967D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689117E5" w14:textId="77777777" w:rsidR="00DB211C" w:rsidRDefault="00DB211C" w:rsidP="00DB211C">
      <w:pPr>
        <w:tabs>
          <w:tab w:val="left" w:pos="1104"/>
        </w:tabs>
        <w:rPr>
          <w:rFonts w:cstheme="minorHAnsi"/>
        </w:rPr>
      </w:pPr>
    </w:p>
    <w:p w14:paraId="214E87E8" w14:textId="7765BD06" w:rsidR="00DB211C" w:rsidRPr="00665726" w:rsidRDefault="00DB211C" w:rsidP="00DB211C">
      <w:pPr>
        <w:rPr>
          <w:rFonts w:cstheme="minorHAnsi"/>
          <w:b/>
          <w:bCs/>
          <w:u w:val="single"/>
        </w:rPr>
      </w:pPr>
    </w:p>
    <w:tbl>
      <w:tblPr>
        <w:tblStyle w:val="TableGrid1"/>
        <w:tblW w:w="14312" w:type="dxa"/>
        <w:tblLook w:val="04A0" w:firstRow="1" w:lastRow="0" w:firstColumn="1" w:lastColumn="0" w:noHBand="0" w:noVBand="1"/>
      </w:tblPr>
      <w:tblGrid>
        <w:gridCol w:w="1381"/>
        <w:gridCol w:w="1316"/>
        <w:gridCol w:w="2010"/>
        <w:gridCol w:w="1522"/>
        <w:gridCol w:w="1702"/>
        <w:gridCol w:w="1692"/>
        <w:gridCol w:w="4689"/>
      </w:tblGrid>
      <w:tr w:rsidR="00DB211C" w:rsidRPr="00665726" w14:paraId="3296BEA8" w14:textId="77777777" w:rsidTr="003D6E64">
        <w:tc>
          <w:tcPr>
            <w:tcW w:w="1381" w:type="dxa"/>
            <w:tcBorders>
              <w:right w:val="single" w:sz="4" w:space="0" w:color="FFFFFF"/>
            </w:tcBorders>
            <w:shd w:val="clear" w:color="auto" w:fill="000000" w:themeFill="text1"/>
          </w:tcPr>
          <w:p w14:paraId="5CC08F58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Author &amp; Year</w:t>
            </w:r>
          </w:p>
        </w:tc>
        <w:tc>
          <w:tcPr>
            <w:tcW w:w="131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6248086B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Country</w:t>
            </w:r>
          </w:p>
        </w:tc>
        <w:tc>
          <w:tcPr>
            <w:tcW w:w="201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0077EED4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Primary care setting</w:t>
            </w:r>
          </w:p>
        </w:tc>
        <w:tc>
          <w:tcPr>
            <w:tcW w:w="152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1411FB75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Study population</w:t>
            </w:r>
          </w:p>
        </w:tc>
        <w:tc>
          <w:tcPr>
            <w:tcW w:w="170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10E87314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Aim</w:t>
            </w:r>
          </w:p>
        </w:tc>
        <w:tc>
          <w:tcPr>
            <w:tcW w:w="169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 w:themeFill="text1"/>
          </w:tcPr>
          <w:p w14:paraId="40936E64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Intervention</w:t>
            </w:r>
          </w:p>
        </w:tc>
        <w:tc>
          <w:tcPr>
            <w:tcW w:w="4689" w:type="dxa"/>
            <w:tcBorders>
              <w:left w:val="single" w:sz="4" w:space="0" w:color="FFFFFF"/>
            </w:tcBorders>
            <w:shd w:val="clear" w:color="auto" w:fill="000000" w:themeFill="text1"/>
          </w:tcPr>
          <w:p w14:paraId="72FEC349" w14:textId="77777777" w:rsidR="00DB211C" w:rsidRPr="00665726" w:rsidRDefault="00DB211C" w:rsidP="003D6E64">
            <w:pPr>
              <w:jc w:val="center"/>
              <w:rPr>
                <w:rFonts w:cstheme="minorHAnsi"/>
                <w:color w:val="FFFFFF" w:themeColor="background1"/>
              </w:rPr>
            </w:pPr>
            <w:r w:rsidRPr="00665726">
              <w:rPr>
                <w:rFonts w:cstheme="minorHAnsi"/>
                <w:color w:val="FFFFFF" w:themeColor="background1"/>
              </w:rPr>
              <w:t>Outcomes</w:t>
            </w:r>
          </w:p>
        </w:tc>
      </w:tr>
      <w:tr w:rsidR="00DB211C" w:rsidRPr="00665726" w14:paraId="57F303CB" w14:textId="77777777" w:rsidTr="003D6E64">
        <w:tc>
          <w:tcPr>
            <w:tcW w:w="1381" w:type="dxa"/>
            <w:vAlign w:val="center"/>
          </w:tcPr>
          <w:p w14:paraId="5C1D05AD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M. E. Corden et al. (2016)</w:t>
            </w:r>
          </w:p>
        </w:tc>
        <w:tc>
          <w:tcPr>
            <w:tcW w:w="1316" w:type="dxa"/>
            <w:vAlign w:val="center"/>
          </w:tcPr>
          <w:p w14:paraId="606FA519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USA</w:t>
            </w:r>
          </w:p>
        </w:tc>
        <w:tc>
          <w:tcPr>
            <w:tcW w:w="2010" w:type="dxa"/>
            <w:vAlign w:val="center"/>
          </w:tcPr>
          <w:p w14:paraId="361D9576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GP practice*</w:t>
            </w:r>
          </w:p>
        </w:tc>
        <w:tc>
          <w:tcPr>
            <w:tcW w:w="1522" w:type="dxa"/>
            <w:vAlign w:val="center"/>
          </w:tcPr>
          <w:p w14:paraId="27FBA07E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7B48C654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Evaluate the feasibility of a digital intervention to improve antidepressant adherence</w:t>
            </w:r>
          </w:p>
        </w:tc>
        <w:tc>
          <w:tcPr>
            <w:tcW w:w="1692" w:type="dxa"/>
            <w:vAlign w:val="center"/>
          </w:tcPr>
          <w:p w14:paraId="31ED8C70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Digital intervention (MedLink) - mobile app that provided dose reminders, information and surveys</w:t>
            </w:r>
            <w:r w:rsidRPr="00665726">
              <w:rPr>
                <w:rFonts w:cstheme="minorHAnsi"/>
                <w:sz w:val="20"/>
                <w:szCs w:val="20"/>
              </w:rPr>
              <w:br/>
              <w:t>of symptoms and side effects</w:t>
            </w:r>
          </w:p>
        </w:tc>
        <w:tc>
          <w:tcPr>
            <w:tcW w:w="4689" w:type="dxa"/>
            <w:vAlign w:val="center"/>
          </w:tcPr>
          <w:p w14:paraId="01316B59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●Mean medication adherence = 82% </w:t>
            </w:r>
          </w:p>
          <w:p w14:paraId="5FEFF3D2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●Adherence was 88.5% during the first four weeks and dropped to 73.0% in the last four weeks (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 xml:space="preserve"> = 0.16)</w:t>
            </w:r>
          </w:p>
          <w:p w14:paraId="1369ABDD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●91% continued medication at the end of the trial                             ●Significant decreases in depressive symptoms (PHQ-9) (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 xml:space="preserve"> = 0.0005) and QIDS (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 xml:space="preserve"> = 0.0008)</w:t>
            </w:r>
          </w:p>
        </w:tc>
      </w:tr>
      <w:tr w:rsidR="00DB211C" w:rsidRPr="00665726" w14:paraId="654423A8" w14:textId="77777777" w:rsidTr="003D6E64">
        <w:tc>
          <w:tcPr>
            <w:tcW w:w="1381" w:type="dxa"/>
            <w:vAlign w:val="center"/>
          </w:tcPr>
          <w:p w14:paraId="20E559AA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O. H. Brook et al. (2005)</w:t>
            </w:r>
          </w:p>
        </w:tc>
        <w:tc>
          <w:tcPr>
            <w:tcW w:w="1316" w:type="dxa"/>
            <w:vAlign w:val="center"/>
          </w:tcPr>
          <w:p w14:paraId="19AD9D36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Netherlands</w:t>
            </w:r>
          </w:p>
        </w:tc>
        <w:tc>
          <w:tcPr>
            <w:tcW w:w="2010" w:type="dxa"/>
            <w:vAlign w:val="center"/>
          </w:tcPr>
          <w:p w14:paraId="3474DAEA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Pharmacy</w:t>
            </w:r>
          </w:p>
        </w:tc>
        <w:tc>
          <w:tcPr>
            <w:tcW w:w="1522" w:type="dxa"/>
            <w:vAlign w:val="center"/>
          </w:tcPr>
          <w:p w14:paraId="01FF02A0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2F146FC5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Evaluate the effects on adherence and depressive</w:t>
            </w:r>
          </w:p>
          <w:p w14:paraId="3E10A286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symptoms of a community</w:t>
            </w:r>
          </w:p>
          <w:p w14:paraId="1F37C3E0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pharmacy-based coaching program</w:t>
            </w:r>
          </w:p>
        </w:tc>
        <w:tc>
          <w:tcPr>
            <w:tcW w:w="1692" w:type="dxa"/>
            <w:vAlign w:val="center"/>
          </w:tcPr>
          <w:p w14:paraId="39623002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Community pharmacy-based coaching program</w:t>
            </w:r>
          </w:p>
        </w:tc>
        <w:tc>
          <w:tcPr>
            <w:tcW w:w="4689" w:type="dxa"/>
            <w:vAlign w:val="center"/>
          </w:tcPr>
          <w:p w14:paraId="06D88915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●Intention-to-treat analysis                                                                        Mean adherence - Control = 73%, Intervention = 76%                       </w:t>
            </w:r>
          </w:p>
          <w:p w14:paraId="3C0FA1A0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●Per-protocol                                                                                       Control = 73%, Intervention = 90%</w:t>
            </w:r>
          </w:p>
          <w:p w14:paraId="3EB85D67" w14:textId="77777777" w:rsidR="00DB211C" w:rsidRPr="00665726" w:rsidRDefault="00DB211C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●Only the per-protocol analysis indicated significantly better adherence in the intervention group</w:t>
            </w:r>
          </w:p>
          <w:p w14:paraId="41E40FEF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than in the control group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 xml:space="preserve">&lt;0.05   </w:t>
            </w:r>
          </w:p>
        </w:tc>
      </w:tr>
      <w:tr w:rsidR="00DB211C" w:rsidRPr="00665726" w14:paraId="65D5F688" w14:textId="77777777" w:rsidTr="003D6E64">
        <w:tc>
          <w:tcPr>
            <w:tcW w:w="1381" w:type="dxa"/>
            <w:vAlign w:val="center"/>
          </w:tcPr>
          <w:p w14:paraId="0218CA16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D. </w:t>
            </w:r>
            <w:proofErr w:type="spellStart"/>
            <w:r w:rsidRPr="00665726">
              <w:rPr>
                <w:rFonts w:cstheme="minorHAnsi"/>
                <w:sz w:val="20"/>
                <w:szCs w:val="20"/>
              </w:rPr>
              <w:t>Velligan</w:t>
            </w:r>
            <w:proofErr w:type="spellEnd"/>
            <w:r w:rsidRPr="00665726">
              <w:rPr>
                <w:rFonts w:cstheme="minorHAnsi"/>
                <w:sz w:val="20"/>
                <w:szCs w:val="20"/>
              </w:rPr>
              <w:t xml:space="preserve"> et al. (2013)</w:t>
            </w:r>
          </w:p>
        </w:tc>
        <w:tc>
          <w:tcPr>
            <w:tcW w:w="1316" w:type="dxa"/>
            <w:vAlign w:val="center"/>
          </w:tcPr>
          <w:p w14:paraId="0C0D709B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USA</w:t>
            </w:r>
          </w:p>
        </w:tc>
        <w:tc>
          <w:tcPr>
            <w:tcW w:w="2010" w:type="dxa"/>
            <w:vAlign w:val="center"/>
          </w:tcPr>
          <w:p w14:paraId="7AA5B024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CMHC</w:t>
            </w:r>
          </w:p>
        </w:tc>
        <w:tc>
          <w:tcPr>
            <w:tcW w:w="1522" w:type="dxa"/>
            <w:vAlign w:val="center"/>
          </w:tcPr>
          <w:p w14:paraId="41635100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MH patients</w:t>
            </w:r>
          </w:p>
        </w:tc>
        <w:tc>
          <w:tcPr>
            <w:tcW w:w="1702" w:type="dxa"/>
            <w:vAlign w:val="center"/>
          </w:tcPr>
          <w:p w14:paraId="1A274857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Evaluate the effectiveness of two interventions on adherence</w:t>
            </w:r>
          </w:p>
        </w:tc>
        <w:tc>
          <w:tcPr>
            <w:tcW w:w="1692" w:type="dxa"/>
            <w:vAlign w:val="center"/>
          </w:tcPr>
          <w:p w14:paraId="700EF530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08E12C80" w14:textId="77777777" w:rsidR="00DB211C" w:rsidRPr="00665726" w:rsidRDefault="00DB211C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3 treatment groups</w:t>
            </w:r>
          </w:p>
          <w:p w14:paraId="4174D9EE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1. PharmCAT                           2. Med-eMonitor                       3. Treatment as usual (TAU)</w:t>
            </w:r>
          </w:p>
          <w:p w14:paraId="3AD9587A" w14:textId="77777777" w:rsidR="00DB211C" w:rsidRPr="00665726" w:rsidRDefault="00DB211C" w:rsidP="003D6E6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89" w:type="dxa"/>
            <w:vAlign w:val="center"/>
          </w:tcPr>
          <w:p w14:paraId="3F241211" w14:textId="77777777" w:rsidR="00DB211C" w:rsidRPr="00665726" w:rsidRDefault="00DB211C" w:rsidP="003D6E64">
            <w:pPr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●Mean adherence                                                                                          1. PharmCAT = 90%                                                                                          2. Med-eMonitor = 91%                                                                                   3. TAU = 72%                                                                                                        ●Adherence significantly better in the 2 active interventions (both </w:t>
            </w:r>
            <w:r w:rsidRPr="00665726">
              <w:rPr>
                <w:rFonts w:cstheme="minorHAnsi"/>
                <w:i/>
                <w:iCs/>
                <w:sz w:val="20"/>
                <w:szCs w:val="20"/>
              </w:rPr>
              <w:t>p</w:t>
            </w:r>
            <w:r w:rsidRPr="00665726">
              <w:rPr>
                <w:rFonts w:cstheme="minorHAnsi"/>
                <w:sz w:val="20"/>
                <w:szCs w:val="20"/>
              </w:rPr>
              <w:t>&lt;0.0001)</w:t>
            </w:r>
          </w:p>
        </w:tc>
      </w:tr>
    </w:tbl>
    <w:p w14:paraId="7332C1A1" w14:textId="692CA47F" w:rsidR="00B147DC" w:rsidRPr="00A14D75" w:rsidRDefault="00DB211C">
      <w:pPr>
        <w:rPr>
          <w:sz w:val="18"/>
          <w:szCs w:val="18"/>
        </w:rPr>
      </w:pPr>
      <w:r w:rsidRPr="00A14D75">
        <w:rPr>
          <w:rFonts w:cstheme="minorHAnsi"/>
          <w:sz w:val="18"/>
          <w:szCs w:val="18"/>
        </w:rPr>
        <w:t>*setting converted to UK equivalent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ADR = Adverse drug reaction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APS = Antipsychotic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CMHT = Community mental health team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CPI = Community pharmacist intervention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DDI = Drug-Drug interaction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DRP = Drug-related problem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GP = General practitioner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MH = Mental health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pDDI = Potentially drug-drug interactions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PIM = Potentially inappropriate medication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pXDDI = Potential type X drug-drug interactions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QoL = Quality of life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SSRI = Selective serotonin reuptake inhibitors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Type D pDDI = Minor interactions to be avoided if possible</w:t>
      </w:r>
      <w:r w:rsidR="003845DB" w:rsidRPr="00A14D75">
        <w:rPr>
          <w:rFonts w:cstheme="minorHAnsi"/>
          <w:sz w:val="18"/>
          <w:szCs w:val="18"/>
        </w:rPr>
        <w:t xml:space="preserve">; </w:t>
      </w:r>
      <w:r w:rsidRPr="00A14D75">
        <w:rPr>
          <w:rFonts w:cstheme="minorHAnsi"/>
          <w:sz w:val="18"/>
          <w:szCs w:val="18"/>
        </w:rPr>
        <w:t>Type X pDDI = Major interactions which should be avoided</w:t>
      </w:r>
    </w:p>
    <w:sectPr w:rsidR="00B147DC" w:rsidRPr="00A14D75" w:rsidSect="00DB211C">
      <w:type w:val="continuous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ardianSansGR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OT8608a8d1+2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11C"/>
    <w:rsid w:val="003845DB"/>
    <w:rsid w:val="00656B04"/>
    <w:rsid w:val="00693115"/>
    <w:rsid w:val="00A14D75"/>
    <w:rsid w:val="00B147DC"/>
    <w:rsid w:val="00B82C88"/>
    <w:rsid w:val="00D12909"/>
    <w:rsid w:val="00D31CA2"/>
    <w:rsid w:val="00DB211C"/>
    <w:rsid w:val="00F6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621A3"/>
  <w15:chartTrackingRefBased/>
  <w15:docId w15:val="{8135B045-C60E-4EA9-B001-177BB45E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1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B211C"/>
  </w:style>
  <w:style w:type="paragraph" w:styleId="Caption">
    <w:name w:val="caption"/>
    <w:basedOn w:val="Normal"/>
    <w:next w:val="Normal"/>
    <w:autoRedefine/>
    <w:uiPriority w:val="35"/>
    <w:unhideWhenUsed/>
    <w:qFormat/>
    <w:rsid w:val="00D12909"/>
    <w:pPr>
      <w:keepNext/>
      <w:spacing w:after="200" w:line="240" w:lineRule="auto"/>
    </w:pPr>
    <w:rPr>
      <w:b/>
      <w:bCs/>
      <w:iCs/>
      <w:color w:val="000000" w:themeColor="text1"/>
      <w:u w:val="single"/>
    </w:rPr>
  </w:style>
  <w:style w:type="table" w:styleId="TableGrid">
    <w:name w:val="Table Grid"/>
    <w:basedOn w:val="TableNormal"/>
    <w:uiPriority w:val="39"/>
    <w:rsid w:val="00DB2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B2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2003</Words>
  <Characters>11419</Characters>
  <Application>Microsoft Office Word</Application>
  <DocSecurity>0</DocSecurity>
  <Lines>95</Lines>
  <Paragraphs>26</Paragraphs>
  <ScaleCrop>false</ScaleCrop>
  <Company/>
  <LinksUpToDate>false</LinksUpToDate>
  <CharactersWithSpaces>13396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Ayre</dc:creator>
  <cp:keywords/>
  <dc:description/>
  <cp:lastModifiedBy>Matthew Ayre</cp:lastModifiedBy>
  <cp:revision>4</cp:revision>
  <dcterms:created xsi:type="dcterms:W3CDTF">2023-03-31T13:38:00Z</dcterms:created>
  <dcterms:modified xsi:type="dcterms:W3CDTF">2023-04-17T06:45:00Z</dcterms:modified>
</cp:coreProperties>
</file>