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EC762" w14:textId="257B5F6A" w:rsidR="0077537C" w:rsidRPr="0077537C" w:rsidRDefault="005F249D" w:rsidP="0077537C">
      <w:pPr>
        <w:jc w:val="center"/>
        <w:rPr>
          <w:rFonts w:ascii="Times New Roman" w:hAnsi="Times New Roman" w:cs="Times New Roman"/>
          <w:b/>
          <w:bCs/>
          <w:lang w:val="en-GB"/>
        </w:rPr>
      </w:pPr>
      <w:r>
        <w:rPr>
          <w:rFonts w:ascii="Times New Roman" w:hAnsi="Times New Roman" w:cs="Times New Roman"/>
          <w:b/>
          <w:bCs/>
          <w:lang w:val="en-GB"/>
        </w:rPr>
        <w:t>COVID</w:t>
      </w:r>
      <w:r w:rsidR="0077537C" w:rsidRPr="0077537C">
        <w:rPr>
          <w:rFonts w:ascii="Times New Roman" w:hAnsi="Times New Roman" w:cs="Times New Roman"/>
          <w:b/>
          <w:bCs/>
          <w:lang w:val="en-GB"/>
        </w:rPr>
        <w:t xml:space="preserve">-19 Phases </w:t>
      </w:r>
      <w:r w:rsidR="00311BFD">
        <w:rPr>
          <w:rFonts w:ascii="Times New Roman" w:hAnsi="Times New Roman" w:cs="Times New Roman"/>
          <w:b/>
          <w:bCs/>
          <w:lang w:val="en-GB"/>
        </w:rPr>
        <w:t>W</w:t>
      </w:r>
      <w:r w:rsidR="0077537C" w:rsidRPr="0077537C">
        <w:rPr>
          <w:rFonts w:ascii="Times New Roman" w:hAnsi="Times New Roman" w:cs="Times New Roman"/>
          <w:b/>
          <w:bCs/>
          <w:lang w:val="en-GB"/>
        </w:rPr>
        <w:t xml:space="preserve">ithin the </w:t>
      </w:r>
      <w:r>
        <w:rPr>
          <w:rFonts w:ascii="Times New Roman" w:hAnsi="Times New Roman" w:cs="Times New Roman"/>
          <w:b/>
          <w:bCs/>
          <w:lang w:val="en-GB"/>
        </w:rPr>
        <w:t>COVID</w:t>
      </w:r>
      <w:r w:rsidR="0077537C" w:rsidRPr="0077537C">
        <w:rPr>
          <w:rFonts w:ascii="Times New Roman" w:hAnsi="Times New Roman" w:cs="Times New Roman"/>
          <w:b/>
          <w:bCs/>
          <w:lang w:val="en-GB"/>
        </w:rPr>
        <w:t>-19 Questionnaire</w:t>
      </w:r>
    </w:p>
    <w:p w14:paraId="07A1B673" w14:textId="70287977" w:rsidR="0077537C" w:rsidRPr="0077537C" w:rsidRDefault="0077537C" w:rsidP="0077537C">
      <w:pPr>
        <w:rPr>
          <w:rFonts w:ascii="Times New Roman" w:hAnsi="Times New Roman" w:cs="Times New Roman"/>
          <w:lang w:val="en-GB"/>
        </w:rPr>
      </w:pPr>
      <w:r w:rsidRPr="0077537C">
        <w:rPr>
          <w:rFonts w:ascii="Times New Roman" w:hAnsi="Times New Roman" w:cs="Times New Roman"/>
          <w:lang w:val="en-GB"/>
        </w:rPr>
        <w:t xml:space="preserve">For each item in the </w:t>
      </w:r>
      <w:r w:rsidR="005F249D">
        <w:rPr>
          <w:rFonts w:ascii="Times New Roman" w:hAnsi="Times New Roman" w:cs="Times New Roman"/>
          <w:lang w:val="en-GB"/>
        </w:rPr>
        <w:t>COVID</w:t>
      </w:r>
      <w:r w:rsidRPr="0077537C">
        <w:rPr>
          <w:rFonts w:ascii="Times New Roman" w:hAnsi="Times New Roman" w:cs="Times New Roman"/>
          <w:lang w:val="en-GB"/>
        </w:rPr>
        <w:t xml:space="preserve">-19 questionnaire, participants were asked to give separate ratings for three phases of the Pandemic: </w:t>
      </w:r>
      <w:r w:rsidR="005F249D">
        <w:rPr>
          <w:rFonts w:ascii="Times New Roman" w:hAnsi="Times New Roman" w:cs="Times New Roman"/>
          <w:lang w:val="en-GB"/>
        </w:rPr>
        <w:t>COVID</w:t>
      </w:r>
      <w:r w:rsidRPr="0077537C">
        <w:rPr>
          <w:rFonts w:ascii="Times New Roman" w:hAnsi="Times New Roman" w:cs="Times New Roman"/>
          <w:lang w:val="en-GB"/>
        </w:rPr>
        <w:t>-19’s Beginning, the Circuit Breaker (Lockdown), and Post-Circuit Breaker.</w:t>
      </w:r>
    </w:p>
    <w:p w14:paraId="7D057E6F" w14:textId="3FCD50DE" w:rsidR="0077537C" w:rsidRPr="0077537C" w:rsidRDefault="0077537C" w:rsidP="0077537C">
      <w:pPr>
        <w:rPr>
          <w:rFonts w:ascii="Times New Roman" w:hAnsi="Times New Roman" w:cs="Times New Roman"/>
          <w:lang w:val="en-GB"/>
        </w:rPr>
      </w:pPr>
      <w:r w:rsidRPr="0077537C">
        <w:rPr>
          <w:rFonts w:ascii="Times New Roman" w:hAnsi="Times New Roman" w:cs="Times New Roman"/>
          <w:lang w:val="en-GB"/>
        </w:rPr>
        <w:t xml:space="preserve">The </w:t>
      </w:r>
      <w:r w:rsidRPr="0077537C">
        <w:rPr>
          <w:rFonts w:ascii="Times New Roman" w:hAnsi="Times New Roman" w:cs="Times New Roman"/>
          <w:i/>
          <w:iCs/>
          <w:lang w:val="en-GB"/>
        </w:rPr>
        <w:t>Beginning</w:t>
      </w:r>
      <w:r w:rsidRPr="0077537C">
        <w:rPr>
          <w:rFonts w:ascii="Times New Roman" w:hAnsi="Times New Roman" w:cs="Times New Roman"/>
          <w:lang w:val="en-GB"/>
        </w:rPr>
        <w:t xml:space="preserve"> period refers to February-March 2020. Singapore’s first imported case was reported on 23</w:t>
      </w:r>
      <w:r w:rsidRPr="0077537C">
        <w:rPr>
          <w:rFonts w:ascii="Times New Roman" w:hAnsi="Times New Roman" w:cs="Times New Roman"/>
          <w:vertAlign w:val="superscript"/>
          <w:lang w:val="en-GB"/>
        </w:rPr>
        <w:t>rd</w:t>
      </w:r>
      <w:r w:rsidRPr="0077537C">
        <w:rPr>
          <w:rFonts w:ascii="Times New Roman" w:hAnsi="Times New Roman" w:cs="Times New Roman"/>
          <w:lang w:val="en-GB"/>
        </w:rPr>
        <w:t xml:space="preserve"> January 2020, and local transmission was first reported on 4</w:t>
      </w:r>
      <w:r w:rsidRPr="0077537C">
        <w:rPr>
          <w:rFonts w:ascii="Times New Roman" w:hAnsi="Times New Roman" w:cs="Times New Roman"/>
          <w:vertAlign w:val="superscript"/>
          <w:lang w:val="en-GB"/>
        </w:rPr>
        <w:t>th</w:t>
      </w:r>
      <w:r w:rsidRPr="0077537C">
        <w:rPr>
          <w:rFonts w:ascii="Times New Roman" w:hAnsi="Times New Roman" w:cs="Times New Roman"/>
          <w:lang w:val="en-GB"/>
        </w:rPr>
        <w:t xml:space="preserve"> February 2020 </w:t>
      </w:r>
      <w:r w:rsidRPr="0077537C">
        <w:rPr>
          <w:rFonts w:ascii="Times New Roman" w:hAnsi="Times New Roman" w:cs="Times New Roman"/>
          <w:lang w:val="en-GB"/>
        </w:rPr>
        <w:fldChar w:fldCharType="begin"/>
      </w:r>
      <w:r w:rsidR="002B085B">
        <w:rPr>
          <w:rFonts w:ascii="Times New Roman" w:hAnsi="Times New Roman" w:cs="Times New Roman"/>
          <w:lang w:val="en-GB"/>
        </w:rPr>
        <w:instrText xml:space="preserve"> ADDIN EN.CITE &lt;EndNote&gt;&lt;Cite&gt;&lt;Author&gt;Ministry of Health Singapore&lt;/Author&gt;&lt;Year&gt;2022&lt;/Year&gt;&lt;RecNum&gt;115&lt;/RecNum&gt;&lt;DisplayText&gt;[1]&lt;/DisplayText&gt;&lt;record&gt;&lt;rec-number&gt;115&lt;/rec-number&gt;&lt;foreign-keys&gt;&lt;key app="EN" db-id="fxf2swr29px0pvef2t1v0f5oee022tfxpsed" timestamp="1643469683"&gt;115&lt;/key&gt;&lt;/foreign-keys&gt;&lt;ref-type name="Web Page"&gt;12&lt;/ref-type&gt;&lt;contributors&gt;&lt;authors&gt;&lt;author&gt;Ministry of Health Singapore,&lt;/author&gt;&lt;/authors&gt;&lt;/contributors&gt;&lt;titles&gt;&lt;title&gt;COVID-19 situation report&lt;/title&gt;&lt;/titles&gt;&lt;number&gt;29 January 2022&lt;/number&gt;&lt;dates&gt;&lt;year&gt;2022&lt;/year&gt;&lt;/dates&gt;&lt;urls&gt;&lt;related-urls&gt;&lt;url&gt;https://covidsitrep.moh.gov.sg/&lt;/url&gt;&lt;/related-urls&gt;&lt;/urls&gt;&lt;/record&gt;&lt;/Cite&gt;&lt;/EndNote&gt;</w:instrText>
      </w:r>
      <w:r w:rsidRPr="0077537C">
        <w:rPr>
          <w:rFonts w:ascii="Times New Roman" w:hAnsi="Times New Roman" w:cs="Times New Roman"/>
          <w:lang w:val="en-GB"/>
        </w:rPr>
        <w:fldChar w:fldCharType="separate"/>
      </w:r>
      <w:r w:rsidR="002B085B">
        <w:rPr>
          <w:rFonts w:ascii="Times New Roman" w:hAnsi="Times New Roman" w:cs="Times New Roman"/>
          <w:noProof/>
          <w:lang w:val="en-GB"/>
        </w:rPr>
        <w:t>[1]</w:t>
      </w:r>
      <w:r w:rsidRPr="0077537C">
        <w:rPr>
          <w:rFonts w:ascii="Times New Roman" w:hAnsi="Times New Roman" w:cs="Times New Roman"/>
          <w:lang w:val="en-GB"/>
        </w:rPr>
        <w:fldChar w:fldCharType="end"/>
      </w:r>
      <w:r w:rsidRPr="0077537C">
        <w:rPr>
          <w:rFonts w:ascii="Times New Roman" w:hAnsi="Times New Roman" w:cs="Times New Roman"/>
          <w:lang w:val="en-GB"/>
        </w:rPr>
        <w:t xml:space="preserve">. Between February to early March 2020, local transmission remained low, and infection control measures mainly included travel restrictions, quarantine orders for inbound visitors and contact tracing, and some additional safe distancing precautions </w:t>
      </w:r>
      <w:r w:rsidRPr="0077537C">
        <w:rPr>
          <w:rFonts w:ascii="Times New Roman" w:hAnsi="Times New Roman" w:cs="Times New Roman"/>
          <w:lang w:val="en-GB"/>
        </w:rPr>
        <w:fldChar w:fldCharType="begin"/>
      </w:r>
      <w:r w:rsidR="006C569F">
        <w:rPr>
          <w:rFonts w:ascii="Times New Roman" w:hAnsi="Times New Roman" w:cs="Times New Roman"/>
          <w:lang w:val="en-GB"/>
        </w:rPr>
        <w:instrText xml:space="preserve"> ADDIN EN.CITE &lt;EndNote&gt;&lt;Cite&gt;&lt;Author&gt;Lee&lt;/Author&gt;&lt;Year&gt;2020&lt;/Year&gt;&lt;RecNum&gt;109&lt;/RecNum&gt;&lt;DisplayText&gt;[2]&lt;/DisplayText&gt;&lt;record&gt;&lt;rec-number&gt;109&lt;/rec-number&gt;&lt;foreign-keys&gt;&lt;key app="EN" db-id="fxf2swr29px0pvef2t1v0f5oee022tfxpsed" timestamp="1642410455"&gt;109&lt;/key&gt;&lt;/foreign-keys&gt;&lt;ref-type name="Journal Article"&gt;17&lt;/ref-type&gt;&lt;contributors&gt;&lt;authors&gt;&lt;author&gt;Lee, Vernon J.&lt;/author&gt;&lt;author&gt;Chiew, Calvin J.&lt;/author&gt;&lt;author&gt;Khong, Wei Xin&lt;/author&gt;&lt;/authors&gt;&lt;/contributors&gt;&lt;titles&gt;&lt;title&gt;Interrupting transmission of COVID-19: Lessons from containment efforts in Singapore&lt;/title&gt;&lt;secondary-title&gt;Journal of Travel Medicine&lt;/secondary-title&gt;&lt;/titles&gt;&lt;periodical&gt;&lt;full-title&gt;Journal of Travel Medicine&lt;/full-title&gt;&lt;/periodical&gt;&lt;volume&gt;27&lt;/volume&gt;&lt;number&gt;3&lt;/number&gt;&lt;dates&gt;&lt;year&gt;2020&lt;/year&gt;&lt;/dates&gt;&lt;publisher&gt;Oxford University Press (OUP)&lt;/publisher&gt;&lt;isbn&gt;1195-1982&lt;/isbn&gt;&lt;urls&gt;&lt;related-urls&gt;&lt;url&gt;https://dx.doi.org/10.1093/jtm/taaa039&lt;/url&gt;&lt;/related-urls&gt;&lt;/urls&gt;&lt;electronic-resource-num&gt;10.1093/jtm/taaa039&lt;/electronic-resource-num&gt;&lt;/record&gt;&lt;/Cite&gt;&lt;/EndNote&gt;</w:instrText>
      </w:r>
      <w:r w:rsidRPr="0077537C">
        <w:rPr>
          <w:rFonts w:ascii="Times New Roman" w:hAnsi="Times New Roman" w:cs="Times New Roman"/>
          <w:lang w:val="en-GB"/>
        </w:rPr>
        <w:fldChar w:fldCharType="separate"/>
      </w:r>
      <w:r w:rsidR="002B085B">
        <w:rPr>
          <w:rFonts w:ascii="Times New Roman" w:hAnsi="Times New Roman" w:cs="Times New Roman"/>
          <w:noProof/>
          <w:lang w:val="en-GB"/>
        </w:rPr>
        <w:t>[2]</w:t>
      </w:r>
      <w:r w:rsidRPr="0077537C">
        <w:rPr>
          <w:rFonts w:ascii="Times New Roman" w:hAnsi="Times New Roman" w:cs="Times New Roman"/>
          <w:lang w:val="en-GB"/>
        </w:rPr>
        <w:fldChar w:fldCharType="end"/>
      </w:r>
      <w:r w:rsidRPr="0077537C">
        <w:rPr>
          <w:rFonts w:ascii="Times New Roman" w:hAnsi="Times New Roman" w:cs="Times New Roman"/>
          <w:lang w:val="en-GB"/>
        </w:rPr>
        <w:t xml:space="preserve">. </w:t>
      </w:r>
    </w:p>
    <w:p w14:paraId="56D05C9D" w14:textId="37D27B6D" w:rsidR="0077537C" w:rsidRPr="0077537C" w:rsidRDefault="0077537C" w:rsidP="0077537C">
      <w:pPr>
        <w:rPr>
          <w:rFonts w:ascii="Times New Roman" w:hAnsi="Times New Roman" w:cs="Times New Roman"/>
          <w:lang w:val="en-GB"/>
        </w:rPr>
      </w:pPr>
      <w:r w:rsidRPr="0077537C">
        <w:rPr>
          <w:rFonts w:ascii="Times New Roman" w:hAnsi="Times New Roman" w:cs="Times New Roman"/>
          <w:lang w:val="en-GB"/>
        </w:rPr>
        <w:t xml:space="preserve">The </w:t>
      </w:r>
      <w:r w:rsidRPr="0077537C">
        <w:rPr>
          <w:rFonts w:ascii="Times New Roman" w:hAnsi="Times New Roman" w:cs="Times New Roman"/>
          <w:i/>
          <w:iCs/>
          <w:lang w:val="en-GB"/>
        </w:rPr>
        <w:t xml:space="preserve">Circuit Breaker </w:t>
      </w:r>
      <w:r w:rsidRPr="0077537C">
        <w:rPr>
          <w:rFonts w:ascii="Times New Roman" w:hAnsi="Times New Roman" w:cs="Times New Roman"/>
          <w:lang w:val="en-GB"/>
        </w:rPr>
        <w:t xml:space="preserve">refers to April and May of 2020. Infections rose to above 1,000 in March and April 2020 </w:t>
      </w:r>
      <w:r w:rsidRPr="0077537C">
        <w:rPr>
          <w:rFonts w:ascii="Times New Roman" w:hAnsi="Times New Roman" w:cs="Times New Roman"/>
          <w:lang w:val="en-GB"/>
        </w:rPr>
        <w:fldChar w:fldCharType="begin"/>
      </w:r>
      <w:r w:rsidR="002B085B">
        <w:rPr>
          <w:rFonts w:ascii="Times New Roman" w:hAnsi="Times New Roman" w:cs="Times New Roman"/>
          <w:lang w:val="en-GB"/>
        </w:rPr>
        <w:instrText xml:space="preserve"> ADDIN EN.CITE &lt;EndNote&gt;&lt;Cite&gt;&lt;Author&gt;Lai&lt;/Author&gt;&lt;Year&gt;2020&lt;/Year&gt;&lt;RecNum&gt;129&lt;/RecNum&gt;&lt;DisplayText&gt;[3]&lt;/DisplayText&gt;&lt;record&gt;&lt;rec-number&gt;129&lt;/rec-number&gt;&lt;foreign-keys&gt;&lt;key app="EN" db-id="fxf2swr29px0pvef2t1v0f5oee022tfxpsed" timestamp="1643602490"&gt;129&lt;/key&gt;&lt;/foreign-keys&gt;&lt;ref-type name="Newspaper Article"&gt;23&lt;/ref-type&gt;&lt;contributors&gt;&lt;authors&gt;&lt;author&gt;Linette Lai&lt;/author&gt;&lt;/authors&gt;&lt;/contributors&gt;&lt;titles&gt;&lt;title&gt;Singapore to enter phase 3 on Dec 28: Groups of 8 to be allowed for social gatherings&lt;/title&gt;&lt;secondary-title&gt;The Straits Times&lt;/secondary-title&gt;&lt;/titles&gt;&lt;dates&gt;&lt;year&gt;2020&lt;/year&gt;&lt;pub-dates&gt;&lt;date&gt;14 December 2020&lt;/date&gt;&lt;/pub-dates&gt;&lt;/dates&gt;&lt;pub-location&gt;Singapore&lt;/pub-location&gt;&lt;urls&gt;&lt;related-urls&gt;&lt;url&gt;https://www.straitstimes.com/singapore/singapore-to-enter-phase-3-on-dec-28-groups-of-8-to-be-allowed-for-social-gatherings&lt;/url&gt;&lt;/related-urls&gt;&lt;/urls&gt;&lt;access-date&gt;31 January 2022&lt;/access-date&gt;&lt;/record&gt;&lt;/Cite&gt;&lt;/EndNote&gt;</w:instrText>
      </w:r>
      <w:r w:rsidRPr="0077537C">
        <w:rPr>
          <w:rFonts w:ascii="Times New Roman" w:hAnsi="Times New Roman" w:cs="Times New Roman"/>
          <w:lang w:val="en-GB"/>
        </w:rPr>
        <w:fldChar w:fldCharType="separate"/>
      </w:r>
      <w:r w:rsidR="002B085B">
        <w:rPr>
          <w:rFonts w:ascii="Times New Roman" w:hAnsi="Times New Roman" w:cs="Times New Roman"/>
          <w:noProof/>
          <w:lang w:val="en-GB"/>
        </w:rPr>
        <w:t>[3]</w:t>
      </w:r>
      <w:r w:rsidRPr="0077537C">
        <w:rPr>
          <w:rFonts w:ascii="Times New Roman" w:hAnsi="Times New Roman" w:cs="Times New Roman"/>
          <w:lang w:val="en-GB"/>
        </w:rPr>
        <w:fldChar w:fldCharType="end"/>
      </w:r>
      <w:r w:rsidRPr="0077537C">
        <w:rPr>
          <w:rFonts w:ascii="Times New Roman" w:hAnsi="Times New Roman" w:cs="Times New Roman"/>
          <w:lang w:val="en-GB"/>
        </w:rPr>
        <w:t>. In order to curb escalating infections, a nationwide lockdown was imposed from 7</w:t>
      </w:r>
      <w:r w:rsidRPr="0077537C">
        <w:rPr>
          <w:rFonts w:ascii="Times New Roman" w:hAnsi="Times New Roman" w:cs="Times New Roman"/>
          <w:vertAlign w:val="superscript"/>
          <w:lang w:val="en-GB"/>
        </w:rPr>
        <w:t>th</w:t>
      </w:r>
      <w:r w:rsidRPr="0077537C">
        <w:rPr>
          <w:rFonts w:ascii="Times New Roman" w:hAnsi="Times New Roman" w:cs="Times New Roman"/>
          <w:lang w:val="en-GB"/>
        </w:rPr>
        <w:t xml:space="preserve"> April 2020 to 1</w:t>
      </w:r>
      <w:r w:rsidRPr="0077537C">
        <w:rPr>
          <w:rFonts w:ascii="Times New Roman" w:hAnsi="Times New Roman" w:cs="Times New Roman"/>
          <w:vertAlign w:val="superscript"/>
          <w:lang w:val="en-GB"/>
        </w:rPr>
        <w:t>st</w:t>
      </w:r>
      <w:r w:rsidRPr="0077537C">
        <w:rPr>
          <w:rFonts w:ascii="Times New Roman" w:hAnsi="Times New Roman" w:cs="Times New Roman"/>
          <w:lang w:val="en-GB"/>
        </w:rPr>
        <w:t xml:space="preserve"> June 2020 </w:t>
      </w:r>
      <w:r w:rsidRPr="0077537C">
        <w:rPr>
          <w:rFonts w:ascii="Times New Roman" w:hAnsi="Times New Roman" w:cs="Times New Roman"/>
          <w:lang w:val="en-GB"/>
        </w:rPr>
        <w:fldChar w:fldCharType="begin"/>
      </w:r>
      <w:r w:rsidR="002B085B">
        <w:rPr>
          <w:rFonts w:ascii="Times New Roman" w:hAnsi="Times New Roman" w:cs="Times New Roman"/>
          <w:lang w:val="en-GB"/>
        </w:rPr>
        <w:instrText xml:space="preserve"> ADDIN EN.CITE &lt;EndNote&gt;&lt;Cite&gt;&lt;Author&gt;Cheong&lt;/Author&gt;&lt;Year&gt;2020&lt;/Year&gt;&lt;RecNum&gt;127&lt;/RecNum&gt;&lt;DisplayText&gt;[4]&lt;/DisplayText&gt;&lt;record&gt;&lt;rec-number&gt;127&lt;/rec-number&gt;&lt;foreign-keys&gt;&lt;key app="EN" db-id="fxf2swr29px0pvef2t1v0f5oee022tfxpsed" timestamp="1643599121"&gt;127&lt;/key&gt;&lt;/foreign-keys&gt;&lt;ref-type name="Newspaper Article"&gt;23&lt;/ref-type&gt;&lt;contributors&gt;&lt;authors&gt;&lt;author&gt;Danson Cheong&lt;/author&gt;&lt;/authors&gt;&lt;/contributors&gt;&lt;titles&gt;&lt;title&gt;Coronavirus: Most workplaces to close, schools will move to full home-based learning from next week, says PM Lee&lt;/title&gt;&lt;secondary-title&gt;The Straits Times&lt;/secondary-title&gt;&lt;/titles&gt;&lt;dates&gt;&lt;year&gt;2020&lt;/year&gt;&lt;pub-dates&gt;&lt;date&gt;3 April 2020&lt;/date&gt;&lt;/pub-dates&gt;&lt;/dates&gt;&lt;pub-location&gt;Singapore&lt;/pub-location&gt;&lt;urls&gt;&lt;related-urls&gt;&lt;url&gt;https://www.straitstimes.com/singapore/health/most-workplaces-to-close-schools-will-move-to-full-home-based-learning-from-next&lt;/url&gt;&lt;/related-urls&gt;&lt;/urls&gt;&lt;access-date&gt;31 January 2022&lt;/access-date&gt;&lt;/record&gt;&lt;/Cite&gt;&lt;/EndNote&gt;</w:instrText>
      </w:r>
      <w:r w:rsidRPr="0077537C">
        <w:rPr>
          <w:rFonts w:ascii="Times New Roman" w:hAnsi="Times New Roman" w:cs="Times New Roman"/>
          <w:lang w:val="en-GB"/>
        </w:rPr>
        <w:fldChar w:fldCharType="separate"/>
      </w:r>
      <w:r w:rsidR="002B085B">
        <w:rPr>
          <w:rFonts w:ascii="Times New Roman" w:hAnsi="Times New Roman" w:cs="Times New Roman"/>
          <w:noProof/>
          <w:lang w:val="en-GB"/>
        </w:rPr>
        <w:t>[4]</w:t>
      </w:r>
      <w:r w:rsidRPr="0077537C">
        <w:rPr>
          <w:rFonts w:ascii="Times New Roman" w:hAnsi="Times New Roman" w:cs="Times New Roman"/>
          <w:lang w:val="en-GB"/>
        </w:rPr>
        <w:fldChar w:fldCharType="end"/>
      </w:r>
      <w:r w:rsidRPr="0077537C">
        <w:rPr>
          <w:rFonts w:ascii="Times New Roman" w:hAnsi="Times New Roman" w:cs="Times New Roman"/>
          <w:lang w:val="en-GB"/>
        </w:rPr>
        <w:t xml:space="preserve">. All workplaces, schools, and businesses were ordered to close or adopt home-based arrangements, except for those that provided essential services or operated in essential sectors. Social gatherings and visits were disallowed, and all residents were required to stay home except to carry out essential activities </w:t>
      </w:r>
      <w:r w:rsidRPr="0077537C">
        <w:rPr>
          <w:rFonts w:ascii="Times New Roman" w:hAnsi="Times New Roman" w:cs="Times New Roman"/>
          <w:lang w:val="en-GB"/>
        </w:rPr>
        <w:fldChar w:fldCharType="begin"/>
      </w:r>
      <w:r w:rsidR="002B085B">
        <w:rPr>
          <w:rFonts w:ascii="Times New Roman" w:hAnsi="Times New Roman" w:cs="Times New Roman"/>
          <w:lang w:val="en-GB"/>
        </w:rPr>
        <w:instrText xml:space="preserve"> ADDIN EN.CITE &lt;EndNote&gt;&lt;Cite&gt;&lt;Author&gt;Ministry of Health Singapore&lt;/Author&gt;&lt;Year&gt;2020&lt;/Year&gt;&lt;RecNum&gt;122&lt;/RecNum&gt;&lt;DisplayText&gt;[5, 6]&lt;/DisplayText&gt;&lt;record&gt;&lt;rec-number&gt;122&lt;/rec-number&gt;&lt;foreign-keys&gt;&lt;key app="EN" db-id="fxf2swr29px0pvef2t1v0f5oee022tfxpsed" timestamp="1643537302"&gt;122&lt;/key&gt;&lt;/foreign-keys&gt;&lt;ref-type name="Web Page"&gt;12&lt;/ref-type&gt;&lt;contributors&gt;&lt;authors&gt;&lt;author&gt;Ministry of Health Singapore,&lt;/author&gt;&lt;/authors&gt;&lt;/contributors&gt;&lt;titles&gt;&lt;title&gt;Circuit Breaker to minimise further spread of COVID-19&lt;/title&gt;&lt;/titles&gt;&lt;number&gt;30 January 2022&lt;/number&gt;&lt;dates&gt;&lt;year&gt;2020&lt;/year&gt;&lt;pub-dates&gt;&lt;date&gt;3 April 2020&lt;/date&gt;&lt;/pub-dates&gt;&lt;/dates&gt;&lt;urls&gt;&lt;related-urls&gt;&lt;url&gt;https://www.moh.gov.sg/news-highlights/details/circuit-breaker-to-minimise-further-spread-of-covid-19&lt;/url&gt;&lt;/related-urls&gt;&lt;/urls&gt;&lt;/record&gt;&lt;/Cite&gt;&lt;Cite&gt;&lt;Author&gt;Ministry of Health Singapore&lt;/Author&gt;&lt;Year&gt;2020&lt;/Year&gt;&lt;RecNum&gt;124&lt;/RecNum&gt;&lt;record&gt;&lt;rec-number&gt;124&lt;/rec-number&gt;&lt;foreign-keys&gt;&lt;key app="EN" db-id="fxf2swr29px0pvef2t1v0f5oee022tfxpsed" timestamp="1643538570"&gt;124&lt;/key&gt;&lt;/foreign-keys&gt;&lt;ref-type name="Web Page"&gt;12&lt;/ref-type&gt;&lt;contributors&gt;&lt;authors&gt;&lt;author&gt;Ministry of Health Singapore,&lt;/author&gt;&lt;/authors&gt;&lt;/contributors&gt;&lt;titles&gt;&lt;title&gt;Easing the tighter Circuit Breaker measures, preparing for gradual resumption of activity after 1 June&lt;/title&gt;&lt;/titles&gt;&lt;number&gt;30 January 2022&lt;/number&gt;&lt;dates&gt;&lt;year&gt;2020&lt;/year&gt;&lt;pub-dates&gt;&lt;date&gt;2 May 2020&lt;/date&gt;&lt;/pub-dates&gt;&lt;/dates&gt;&lt;urls&gt;&lt;related-urls&gt;&lt;url&gt;https://www.moh.gov.sg/news-highlights/details/easing-the-tighter-circuit-breaker-measures-preparing-for-gradual-resumption-of-activity-after-1-june&lt;/url&gt;&lt;/related-urls&gt;&lt;/urls&gt;&lt;/record&gt;&lt;/Cite&gt;&lt;/EndNote&gt;</w:instrText>
      </w:r>
      <w:r w:rsidRPr="0077537C">
        <w:rPr>
          <w:rFonts w:ascii="Times New Roman" w:hAnsi="Times New Roman" w:cs="Times New Roman"/>
          <w:lang w:val="en-GB"/>
        </w:rPr>
        <w:fldChar w:fldCharType="separate"/>
      </w:r>
      <w:r w:rsidR="002B085B">
        <w:rPr>
          <w:rFonts w:ascii="Times New Roman" w:hAnsi="Times New Roman" w:cs="Times New Roman"/>
          <w:noProof/>
          <w:lang w:val="en-GB"/>
        </w:rPr>
        <w:t>[5, 6]</w:t>
      </w:r>
      <w:r w:rsidRPr="0077537C">
        <w:rPr>
          <w:rFonts w:ascii="Times New Roman" w:hAnsi="Times New Roman" w:cs="Times New Roman"/>
          <w:lang w:val="en-GB"/>
        </w:rPr>
        <w:fldChar w:fldCharType="end"/>
      </w:r>
      <w:r w:rsidRPr="0077537C">
        <w:rPr>
          <w:rFonts w:ascii="Times New Roman" w:hAnsi="Times New Roman" w:cs="Times New Roman"/>
          <w:lang w:val="en-GB"/>
        </w:rPr>
        <w:t xml:space="preserve"> (see </w:t>
      </w:r>
      <w:r w:rsidRPr="0077537C">
        <w:rPr>
          <w:rFonts w:ascii="Times New Roman" w:hAnsi="Times New Roman" w:cs="Times New Roman"/>
          <w:lang w:val="en-GB"/>
        </w:rPr>
        <w:fldChar w:fldCharType="begin"/>
      </w:r>
      <w:r w:rsidR="002B085B">
        <w:rPr>
          <w:rFonts w:ascii="Times New Roman" w:hAnsi="Times New Roman" w:cs="Times New Roman"/>
          <w:lang w:val="en-GB"/>
        </w:rPr>
        <w:instrText xml:space="preserve"> ADDIN EN.CITE &lt;EndNote&gt;&lt;Cite&gt;&lt;Author&gt;Jacinta&lt;/Author&gt;&lt;Year&gt;2020&lt;/Year&gt;&lt;RecNum&gt;123&lt;/RecNum&gt;&lt;DisplayText&gt;[7]&lt;/DisplayText&gt;&lt;record&gt;&lt;rec-number&gt;123&lt;/rec-number&gt;&lt;foreign-keys&gt;&lt;key app="EN" db-id="fxf2swr29px0pvef2t1v0f5oee022tfxpsed" timestamp="1643537824"&gt;123&lt;/key&gt;&lt;/foreign-keys&gt;&lt;ref-type name="Journal Article"&gt;17&lt;/ref-type&gt;&lt;contributors&gt;&lt;authors&gt;&lt;author&gt;Jacinta, I&lt;/author&gt;&lt;author&gt;Chen, Pei&lt;/author&gt;&lt;author&gt;Yap, Jason Chin-Huat&lt;/author&gt;&lt;author&gt;Hsu, Li Yang&lt;/author&gt;&lt;author&gt;Teo, Yik Ying&lt;/author&gt;&lt;/authors&gt;&lt;/contributors&gt;&lt;titles&gt;&lt;title&gt;COVID-19 and Singapore: From early response to circuit breaker&lt;/title&gt;&lt;secondary-title&gt;Annals, Academy of Medicine, Singapore&lt;/secondary-title&gt;&lt;/titles&gt;&lt;periodical&gt;&lt;full-title&gt;Annals, Academy of Medicine, Singapore&lt;/full-title&gt;&lt;/periodical&gt;&lt;pages&gt;561-72&lt;/pages&gt;&lt;volume&gt;49&lt;/volume&gt;&lt;dates&gt;&lt;year&gt;2020&lt;/year&gt;&lt;/dates&gt;&lt;urls&gt;&lt;/urls&gt;&lt;/record&gt;&lt;/Cite&gt;&lt;/EndNote&gt;</w:instrText>
      </w:r>
      <w:r w:rsidRPr="0077537C">
        <w:rPr>
          <w:rFonts w:ascii="Times New Roman" w:hAnsi="Times New Roman" w:cs="Times New Roman"/>
          <w:lang w:val="en-GB"/>
        </w:rPr>
        <w:fldChar w:fldCharType="separate"/>
      </w:r>
      <w:r w:rsidR="002B085B">
        <w:rPr>
          <w:rFonts w:ascii="Times New Roman" w:hAnsi="Times New Roman" w:cs="Times New Roman"/>
          <w:noProof/>
          <w:lang w:val="en-GB"/>
        </w:rPr>
        <w:t>[7]</w:t>
      </w:r>
      <w:r w:rsidRPr="0077537C">
        <w:rPr>
          <w:rFonts w:ascii="Times New Roman" w:hAnsi="Times New Roman" w:cs="Times New Roman"/>
          <w:lang w:val="en-GB"/>
        </w:rPr>
        <w:fldChar w:fldCharType="end"/>
      </w:r>
      <w:r w:rsidRPr="0077537C">
        <w:rPr>
          <w:rFonts w:ascii="Times New Roman" w:hAnsi="Times New Roman" w:cs="Times New Roman"/>
          <w:lang w:val="en-GB"/>
        </w:rPr>
        <w:t xml:space="preserve"> for a summary of events leading up to and describing the lockdown measures).  </w:t>
      </w:r>
    </w:p>
    <w:p w14:paraId="3C1500C6" w14:textId="6E3F5622" w:rsidR="002B085B" w:rsidRDefault="0077537C">
      <w:pPr>
        <w:rPr>
          <w:rFonts w:ascii="Times New Roman" w:hAnsi="Times New Roman" w:cs="Times New Roman"/>
          <w:lang w:val="en-GB"/>
        </w:rPr>
      </w:pPr>
      <w:r w:rsidRPr="0077537C">
        <w:rPr>
          <w:rFonts w:ascii="Times New Roman" w:hAnsi="Times New Roman" w:cs="Times New Roman"/>
          <w:i/>
          <w:iCs/>
          <w:color w:val="000000" w:themeColor="text1"/>
          <w:lang w:val="en-GB"/>
        </w:rPr>
        <w:t xml:space="preserve">Post Circuit-Breaker </w:t>
      </w:r>
      <w:r w:rsidRPr="0077537C">
        <w:rPr>
          <w:rFonts w:ascii="Times New Roman" w:hAnsi="Times New Roman" w:cs="Times New Roman"/>
          <w:color w:val="000000" w:themeColor="text1"/>
          <w:lang w:val="en-GB"/>
        </w:rPr>
        <w:t xml:space="preserve">refers to the period starting in June 2020. As infections within the community stabilized and cases among migrant worker populations declined, restrictions were slowly eased </w:t>
      </w:r>
      <w:r w:rsidRPr="0077537C">
        <w:rPr>
          <w:rFonts w:ascii="Times New Roman" w:hAnsi="Times New Roman" w:cs="Times New Roman"/>
          <w:color w:val="000000" w:themeColor="text1"/>
          <w:lang w:val="en-GB"/>
        </w:rPr>
        <w:fldChar w:fldCharType="begin"/>
      </w:r>
      <w:r w:rsidR="002B085B">
        <w:rPr>
          <w:rFonts w:ascii="Times New Roman" w:hAnsi="Times New Roman" w:cs="Times New Roman"/>
          <w:color w:val="000000" w:themeColor="text1"/>
          <w:lang w:val="en-GB"/>
        </w:rPr>
        <w:instrText xml:space="preserve"> ADDIN EN.CITE &lt;EndNote&gt;&lt;Cite&gt;&lt;Author&gt;Sin&lt;/Author&gt;&lt;Year&gt;2020&lt;/Year&gt;&lt;RecNum&gt;128&lt;/RecNum&gt;&lt;DisplayText&gt;[8]&lt;/DisplayText&gt;&lt;record&gt;&lt;rec-number&gt;128&lt;/rec-number&gt;&lt;foreign-keys&gt;&lt;key app="EN" db-id="fxf2swr29px0pvef2t1v0f5oee022tfxpsed" timestamp="1643599809"&gt;128&lt;/key&gt;&lt;/foreign-keys&gt;&lt;ref-type name="Newspaper Article"&gt;23&lt;/ref-type&gt;&lt;contributors&gt;&lt;authors&gt;&lt;author&gt;Yuen Sin&lt;/author&gt;&lt;/authors&gt;&lt;/contributors&gt;&lt;titles&gt;&lt;title&gt;Coronavirus: S&amp;apos;pore to start phase 2 reopening on June 19; F&amp;amp;B dine-in, social gatherings of up to 5 people allowed&lt;/title&gt;&lt;secondary-title&gt;The Straits Times&lt;/secondary-title&gt;&lt;/titles&gt;&lt;dates&gt;&lt;year&gt;2020&lt;/year&gt;&lt;pub-dates&gt;&lt;date&gt;15 June 2020&lt;/date&gt;&lt;/pub-dates&gt;&lt;/dates&gt;&lt;pub-location&gt;Singapore&lt;/pub-location&gt;&lt;urls&gt;&lt;related-urls&gt;&lt;url&gt;https://www.straitstimes.com/singapore/coronavirus-spore-to-start-phase-2-reopening-on-june-19-dining-in-public-social-gatherings&lt;/url&gt;&lt;/related-urls&gt;&lt;/urls&gt;&lt;access-date&gt;31 January 2022&lt;/access-date&gt;&lt;/record&gt;&lt;/Cite&gt;&lt;/EndNote&gt;</w:instrText>
      </w:r>
      <w:r w:rsidRPr="0077537C">
        <w:rPr>
          <w:rFonts w:ascii="Times New Roman" w:hAnsi="Times New Roman" w:cs="Times New Roman"/>
          <w:color w:val="000000" w:themeColor="text1"/>
          <w:lang w:val="en-GB"/>
        </w:rPr>
        <w:fldChar w:fldCharType="separate"/>
      </w:r>
      <w:r w:rsidR="002B085B">
        <w:rPr>
          <w:rFonts w:ascii="Times New Roman" w:hAnsi="Times New Roman" w:cs="Times New Roman"/>
          <w:noProof/>
          <w:color w:val="000000" w:themeColor="text1"/>
          <w:lang w:val="en-GB"/>
        </w:rPr>
        <w:t>[8]</w:t>
      </w:r>
      <w:r w:rsidRPr="0077537C">
        <w:rPr>
          <w:rFonts w:ascii="Times New Roman" w:hAnsi="Times New Roman" w:cs="Times New Roman"/>
          <w:color w:val="000000" w:themeColor="text1"/>
          <w:lang w:val="en-GB"/>
        </w:rPr>
        <w:fldChar w:fldCharType="end"/>
      </w:r>
      <w:r w:rsidRPr="0077537C">
        <w:rPr>
          <w:rFonts w:ascii="Times New Roman" w:hAnsi="Times New Roman" w:cs="Times New Roman"/>
          <w:color w:val="000000" w:themeColor="text1"/>
          <w:lang w:val="en-GB"/>
        </w:rPr>
        <w:t xml:space="preserve">. </w:t>
      </w:r>
      <w:r w:rsidRPr="0077537C">
        <w:rPr>
          <w:rFonts w:ascii="Times New Roman" w:hAnsi="Times New Roman" w:cs="Times New Roman"/>
          <w:lang w:val="en-GB"/>
        </w:rPr>
        <w:t>From 2</w:t>
      </w:r>
      <w:r w:rsidRPr="0077537C">
        <w:rPr>
          <w:rFonts w:ascii="Times New Roman" w:hAnsi="Times New Roman" w:cs="Times New Roman"/>
          <w:vertAlign w:val="superscript"/>
          <w:lang w:val="en-GB"/>
        </w:rPr>
        <w:t>nd</w:t>
      </w:r>
      <w:r w:rsidRPr="0077537C">
        <w:rPr>
          <w:rFonts w:ascii="Times New Roman" w:hAnsi="Times New Roman" w:cs="Times New Roman"/>
          <w:lang w:val="en-GB"/>
        </w:rPr>
        <w:t xml:space="preserve"> June 2020, workplaces, schools, and most businesses were gradually reopened, and social gatherings were allowed, though with safeguards in place </w:t>
      </w:r>
      <w:r w:rsidRPr="0077537C">
        <w:rPr>
          <w:rFonts w:ascii="Times New Roman" w:hAnsi="Times New Roman" w:cs="Times New Roman"/>
          <w:lang w:val="en-GB"/>
        </w:rPr>
        <w:fldChar w:fldCharType="begin"/>
      </w:r>
      <w:r w:rsidR="002B085B">
        <w:rPr>
          <w:rFonts w:ascii="Times New Roman" w:hAnsi="Times New Roman" w:cs="Times New Roman"/>
          <w:lang w:val="en-GB"/>
        </w:rPr>
        <w:instrText xml:space="preserve"> ADDIN EN.CITE &lt;EndNote&gt;&lt;Cite&gt;&lt;Author&gt;Gov.sg&lt;/Author&gt;&lt;Year&gt;2020&lt;/Year&gt;&lt;RecNum&gt;125&lt;/RecNum&gt;&lt;DisplayText&gt;[9, 10]&lt;/DisplayText&gt;&lt;record&gt;&lt;rec-number&gt;125&lt;/rec-number&gt;&lt;foreign-keys&gt;&lt;key app="EN" db-id="fxf2swr29px0pvef2t1v0f5oee022tfxpsed" timestamp="1643539655"&gt;125&lt;/key&gt;&lt;/foreign-keys&gt;&lt;ref-type name="Web Page"&gt;12&lt;/ref-type&gt;&lt;contributors&gt;&lt;authors&gt;&lt;author&gt;Gov.sg&lt;/author&gt;&lt;/authors&gt;&lt;/contributors&gt;&lt;titles&gt;&lt;title&gt;Safe Re-opening: How Singapore will resume activities after the circuit breaker&lt;/title&gt;&lt;/titles&gt;&lt;number&gt;30 January 2022&lt;/number&gt;&lt;dates&gt;&lt;year&gt;2020&lt;/year&gt;&lt;pub-dates&gt;&lt;date&gt;20 May 2020&lt;/date&gt;&lt;/pub-dates&gt;&lt;/dates&gt;&lt;urls&gt;&lt;related-urls&gt;&lt;url&gt;https://www.gov.sg/article/safe-re-opening-how-singapore-will-resume-activities-after-the-circuit-breaker&lt;/url&gt;&lt;/related-urls&gt;&lt;/urls&gt;&lt;/record&gt;&lt;/Cite&gt;&lt;Cite&gt;&lt;Author&gt;Gov.sg&lt;/Author&gt;&lt;Year&gt;2020&lt;/Year&gt;&lt;RecNum&gt;126&lt;/RecNum&gt;&lt;record&gt;&lt;rec-number&gt;126&lt;/rec-number&gt;&lt;foreign-keys&gt;&lt;key app="EN" db-id="fxf2swr29px0pvef2t1v0f5oee022tfxpsed" timestamp="1643540694"&gt;126&lt;/key&gt;&lt;/foreign-keys&gt;&lt;ref-type name="Web Page"&gt;12&lt;/ref-type&gt;&lt;contributors&gt;&lt;authors&gt;&lt;author&gt;Gov.sg&lt;/author&gt;&lt;/authors&gt;&lt;/contributors&gt;&lt;titles&gt;&lt;title&gt;Post-circuit breaker – when can we move on to phases 2 and 3?&lt;/title&gt;&lt;/titles&gt;&lt;number&gt;30 January 2022&lt;/number&gt;&lt;dates&gt;&lt;year&gt;2020&lt;/year&gt;&lt;pub-dates&gt;&lt;date&gt;28 May 2020&lt;/date&gt;&lt;/pub-dates&gt;&lt;/dates&gt;&lt;urls&gt;&lt;related-urls&gt;&lt;url&gt;https://www.gov.sg/article/post-circuit-breaker-when-can-we-move-on-to-phases-2-and-3&lt;/url&gt;&lt;/related-urls&gt;&lt;/urls&gt;&lt;/record&gt;&lt;/Cite&gt;&lt;/EndNote&gt;</w:instrText>
      </w:r>
      <w:r w:rsidRPr="0077537C">
        <w:rPr>
          <w:rFonts w:ascii="Times New Roman" w:hAnsi="Times New Roman" w:cs="Times New Roman"/>
          <w:lang w:val="en-GB"/>
        </w:rPr>
        <w:fldChar w:fldCharType="separate"/>
      </w:r>
      <w:r w:rsidR="002B085B">
        <w:rPr>
          <w:rFonts w:ascii="Times New Roman" w:hAnsi="Times New Roman" w:cs="Times New Roman"/>
          <w:noProof/>
          <w:lang w:val="en-GB"/>
        </w:rPr>
        <w:t>[9, 10]</w:t>
      </w:r>
      <w:r w:rsidRPr="0077537C">
        <w:rPr>
          <w:rFonts w:ascii="Times New Roman" w:hAnsi="Times New Roman" w:cs="Times New Roman"/>
          <w:lang w:val="en-GB"/>
        </w:rPr>
        <w:fldChar w:fldCharType="end"/>
      </w:r>
      <w:r w:rsidRPr="0077537C">
        <w:rPr>
          <w:rFonts w:ascii="Times New Roman" w:hAnsi="Times New Roman" w:cs="Times New Roman"/>
          <w:lang w:val="en-GB"/>
        </w:rPr>
        <w:t xml:space="preserve">,  such as limiting social gatherings to groups of two, five, or for a short period of time, eight people, and limiting the number of social gatherings per day to one. Measures affecting the community’s daily lives were largely stable, though with incremental relaxations of permissible activities (e.g., </w:t>
      </w:r>
      <w:r w:rsidRPr="0077537C">
        <w:rPr>
          <w:rFonts w:ascii="Times New Roman" w:hAnsi="Times New Roman" w:cs="Times New Roman"/>
          <w:lang w:val="en-GB"/>
        </w:rPr>
        <w:lastRenderedPageBreak/>
        <w:t>restaurants opened to small groups with social distancing), though activities such as singing and playing music in restaurants remained forbidden, from June 2020 to 9</w:t>
      </w:r>
      <w:r w:rsidRPr="0077537C">
        <w:rPr>
          <w:rFonts w:ascii="Times New Roman" w:hAnsi="Times New Roman" w:cs="Times New Roman"/>
          <w:vertAlign w:val="superscript"/>
          <w:lang w:val="en-GB"/>
        </w:rPr>
        <w:t>th</w:t>
      </w:r>
      <w:r w:rsidRPr="0077537C">
        <w:rPr>
          <w:rFonts w:ascii="Times New Roman" w:hAnsi="Times New Roman" w:cs="Times New Roman"/>
          <w:lang w:val="en-GB"/>
        </w:rPr>
        <w:t xml:space="preserve"> January 2021 when data collection was completed </w:t>
      </w:r>
      <w:r w:rsidRPr="0077537C">
        <w:rPr>
          <w:rFonts w:ascii="Times New Roman" w:hAnsi="Times New Roman" w:cs="Times New Roman"/>
          <w:lang w:val="en-GB"/>
        </w:rPr>
        <w:fldChar w:fldCharType="begin"/>
      </w:r>
      <w:r w:rsidR="002B085B">
        <w:rPr>
          <w:rFonts w:ascii="Times New Roman" w:hAnsi="Times New Roman" w:cs="Times New Roman"/>
          <w:lang w:val="en-GB"/>
        </w:rPr>
        <w:instrText xml:space="preserve"> ADDIN EN.CITE &lt;EndNote&gt;&lt;Cite&gt;&lt;Author&gt;Gov.sg&lt;/Author&gt;&lt;Year&gt;2020&lt;/Year&gt;&lt;RecNum&gt;130&lt;/RecNum&gt;&lt;DisplayText&gt;[11]&lt;/DisplayText&gt;&lt;record&gt;&lt;rec-number&gt;130&lt;/rec-number&gt;&lt;foreign-keys&gt;&lt;key app="EN" db-id="fxf2swr29px0pvef2t1v0f5oee022tfxpsed" timestamp="1643612900"&gt;130&lt;/key&gt;&lt;/foreign-keys&gt;&lt;ref-type name="Web Page"&gt;12&lt;/ref-type&gt;&lt;contributors&gt;&lt;authors&gt;&lt;author&gt;Gov.sg&lt;/author&gt;&lt;/authors&gt;&lt;/contributors&gt;&lt;titles&gt;&lt;title&gt;Moving into Phase 3 of Re-Opening on 28 Dec 2020&lt;/title&gt;&lt;/titles&gt;&lt;number&gt;31 January 2022&lt;/number&gt;&lt;dates&gt;&lt;year&gt;2020&lt;/year&gt;&lt;pub-dates&gt;&lt;date&gt;14 December 2020&lt;/date&gt;&lt;/pub-dates&gt;&lt;/dates&gt;&lt;pub-location&gt;Singapore&lt;/pub-location&gt;&lt;urls&gt;&lt;related-urls&gt;&lt;url&gt;https://www.gov.sg/article/moving-into-phase-3-of-re-opening-on-28-dec-2020&lt;/url&gt;&lt;/related-urls&gt;&lt;/urls&gt;&lt;/record&gt;&lt;/Cite&gt;&lt;/EndNote&gt;</w:instrText>
      </w:r>
      <w:r w:rsidRPr="0077537C">
        <w:rPr>
          <w:rFonts w:ascii="Times New Roman" w:hAnsi="Times New Roman" w:cs="Times New Roman"/>
          <w:lang w:val="en-GB"/>
        </w:rPr>
        <w:fldChar w:fldCharType="separate"/>
      </w:r>
      <w:r w:rsidR="002B085B">
        <w:rPr>
          <w:rFonts w:ascii="Times New Roman" w:hAnsi="Times New Roman" w:cs="Times New Roman"/>
          <w:noProof/>
          <w:lang w:val="en-GB"/>
        </w:rPr>
        <w:t>[11]</w:t>
      </w:r>
      <w:r w:rsidRPr="0077537C">
        <w:rPr>
          <w:rFonts w:ascii="Times New Roman" w:hAnsi="Times New Roman" w:cs="Times New Roman"/>
          <w:lang w:val="en-GB"/>
        </w:rPr>
        <w:fldChar w:fldCharType="end"/>
      </w:r>
      <w:r w:rsidRPr="0077537C">
        <w:rPr>
          <w:rFonts w:ascii="Times New Roman" w:hAnsi="Times New Roman" w:cs="Times New Roman"/>
          <w:lang w:val="en-GB"/>
        </w:rPr>
        <w:t>.</w:t>
      </w:r>
      <w:r w:rsidR="00D11715">
        <w:rPr>
          <w:rFonts w:ascii="Times New Roman" w:hAnsi="Times New Roman" w:cs="Times New Roman"/>
          <w:lang w:val="en-GB"/>
        </w:rPr>
        <w:t xml:space="preserve"> In general, this period represents a time when </w:t>
      </w:r>
      <w:r w:rsidR="00986DA2">
        <w:rPr>
          <w:rFonts w:ascii="Times New Roman" w:hAnsi="Times New Roman" w:cs="Times New Roman"/>
          <w:lang w:val="en-GB"/>
        </w:rPr>
        <w:t xml:space="preserve">economic and social activities were </w:t>
      </w:r>
      <w:r w:rsidR="007A3B31">
        <w:rPr>
          <w:rFonts w:ascii="Times New Roman" w:hAnsi="Times New Roman" w:cs="Times New Roman"/>
          <w:lang w:val="en-GB"/>
        </w:rPr>
        <w:t>progressively allowed to resume with safe distancing measures in place</w:t>
      </w:r>
      <w:r w:rsidR="006C569F">
        <w:rPr>
          <w:rFonts w:ascii="Times New Roman" w:hAnsi="Times New Roman" w:cs="Times New Roman"/>
          <w:lang w:val="en-GB"/>
        </w:rPr>
        <w:t xml:space="preserve"> </w:t>
      </w:r>
      <w:r w:rsidR="006C569F">
        <w:rPr>
          <w:rFonts w:ascii="Times New Roman" w:hAnsi="Times New Roman" w:cs="Times New Roman"/>
          <w:lang w:val="en-GB"/>
        </w:rPr>
        <w:fldChar w:fldCharType="begin"/>
      </w:r>
      <w:r w:rsidR="006C569F">
        <w:rPr>
          <w:rFonts w:ascii="Times New Roman" w:hAnsi="Times New Roman" w:cs="Times New Roman"/>
          <w:lang w:val="en-GB"/>
        </w:rPr>
        <w:instrText xml:space="preserve"> ADDIN EN.CITE &lt;EndNote&gt;&lt;Cite&gt;&lt;Author&gt;Gov.sg&lt;/Author&gt;&lt;Year&gt;2020&lt;/Year&gt;&lt;RecNum&gt;121&lt;/RecNum&gt;&lt;DisplayText&gt;[12]&lt;/DisplayText&gt;&lt;record&gt;&lt;rec-number&gt;121&lt;/rec-number&gt;&lt;foreign-keys&gt;&lt;key app="EN" db-id="fxf2swr29px0pvef2t1v0f5oee022tfxpsed" timestamp="1643534439"&gt;121&lt;/key&gt;&lt;/foreign-keys&gt;&lt;ref-type name="Web Page"&gt;12&lt;/ref-type&gt;&lt;contributors&gt;&lt;authors&gt;&lt;author&gt;Gov.sg&lt;/author&gt;&lt;/authors&gt;&lt;/contributors&gt;&lt;titles&gt;&lt;title&gt;Moving into Phase 2: What activities can resume&lt;/title&gt;&lt;/titles&gt;&lt;number&gt;30 January 2022&lt;/number&gt;&lt;dates&gt;&lt;year&gt;2020&lt;/year&gt;&lt;pub-dates&gt;&lt;date&gt;3 July 2020&lt;/date&gt;&lt;/pub-dates&gt;&lt;/dates&gt;&lt;urls&gt;&lt;related-urls&gt;&lt;url&gt;https://www.gov.sg/article/moving-into-phase-2-what-activities-can-resume&lt;/url&gt;&lt;/related-urls&gt;&lt;/urls&gt;&lt;/record&gt;&lt;/Cite&gt;&lt;/EndNote&gt;</w:instrText>
      </w:r>
      <w:r w:rsidR="006C569F">
        <w:rPr>
          <w:rFonts w:ascii="Times New Roman" w:hAnsi="Times New Roman" w:cs="Times New Roman"/>
          <w:lang w:val="en-GB"/>
        </w:rPr>
        <w:fldChar w:fldCharType="separate"/>
      </w:r>
      <w:r w:rsidR="006C569F">
        <w:rPr>
          <w:rFonts w:ascii="Times New Roman" w:hAnsi="Times New Roman" w:cs="Times New Roman"/>
          <w:noProof/>
          <w:lang w:val="en-GB"/>
        </w:rPr>
        <w:t>[12]</w:t>
      </w:r>
      <w:r w:rsidR="006C569F">
        <w:rPr>
          <w:rFonts w:ascii="Times New Roman" w:hAnsi="Times New Roman" w:cs="Times New Roman"/>
          <w:lang w:val="en-GB"/>
        </w:rPr>
        <w:fldChar w:fldCharType="end"/>
      </w:r>
      <w:r w:rsidR="007A3B31">
        <w:rPr>
          <w:rFonts w:ascii="Times New Roman" w:hAnsi="Times New Roman" w:cs="Times New Roman"/>
          <w:lang w:val="en-GB"/>
        </w:rPr>
        <w:t>.</w:t>
      </w:r>
    </w:p>
    <w:p w14:paraId="75CF3422" w14:textId="4EB574CA" w:rsidR="002B085B" w:rsidRDefault="002B085B">
      <w:pPr>
        <w:spacing w:after="160" w:line="259" w:lineRule="auto"/>
        <w:ind w:firstLine="0"/>
        <w:rPr>
          <w:rFonts w:ascii="Times New Roman" w:hAnsi="Times New Roman" w:cs="Times New Roman"/>
          <w:lang w:val="en-GB"/>
        </w:rPr>
      </w:pPr>
      <w:r>
        <w:rPr>
          <w:rFonts w:ascii="Times New Roman" w:hAnsi="Times New Roman" w:cs="Times New Roman"/>
          <w:lang w:val="en-GB"/>
        </w:rPr>
        <w:br w:type="page"/>
      </w:r>
    </w:p>
    <w:p w14:paraId="224E5AD4" w14:textId="7034B96D" w:rsidR="002B085B" w:rsidRDefault="002B085B" w:rsidP="002B085B">
      <w:pPr>
        <w:jc w:val="center"/>
        <w:rPr>
          <w:rFonts w:ascii="Times New Roman" w:hAnsi="Times New Roman" w:cs="Times New Roman"/>
          <w:lang w:val="en-GB"/>
        </w:rPr>
      </w:pPr>
      <w:r>
        <w:rPr>
          <w:rFonts w:ascii="Times New Roman" w:hAnsi="Times New Roman" w:cs="Times New Roman"/>
          <w:lang w:val="en-GB"/>
        </w:rPr>
        <w:lastRenderedPageBreak/>
        <w:t>References</w:t>
      </w:r>
    </w:p>
    <w:p w14:paraId="18CB4EBA" w14:textId="426E25C8" w:rsidR="001B67BF" w:rsidRPr="001B67BF" w:rsidRDefault="002B085B" w:rsidP="001B67BF">
      <w:pPr>
        <w:pStyle w:val="EndNoteBibliography"/>
        <w:ind w:left="720" w:hanging="720"/>
        <w:rPr>
          <w:noProof/>
        </w:rPr>
      </w:pPr>
      <w:r>
        <w:rPr>
          <w:lang w:val="en-GB"/>
        </w:rPr>
        <w:fldChar w:fldCharType="begin"/>
      </w:r>
      <w:r>
        <w:rPr>
          <w:lang w:val="en-GB"/>
        </w:rPr>
        <w:instrText xml:space="preserve"> ADDIN EN.REFLIST </w:instrText>
      </w:r>
      <w:r>
        <w:rPr>
          <w:lang w:val="en-GB"/>
        </w:rPr>
        <w:fldChar w:fldCharType="separate"/>
      </w:r>
      <w:r w:rsidR="001B67BF" w:rsidRPr="001B67BF">
        <w:rPr>
          <w:noProof/>
        </w:rPr>
        <w:t>1.</w:t>
      </w:r>
      <w:r w:rsidR="001B67BF" w:rsidRPr="001B67BF">
        <w:rPr>
          <w:noProof/>
        </w:rPr>
        <w:tab/>
      </w:r>
      <w:r w:rsidR="001B67BF" w:rsidRPr="001B67BF">
        <w:rPr>
          <w:b/>
          <w:noProof/>
        </w:rPr>
        <w:t xml:space="preserve">COVID-19 situation report </w:t>
      </w:r>
      <w:r w:rsidR="001B67BF" w:rsidRPr="001B67BF">
        <w:rPr>
          <w:noProof/>
        </w:rPr>
        <w:t>[</w:t>
      </w:r>
      <w:hyperlink r:id="rId4" w:history="1">
        <w:r w:rsidR="001B67BF" w:rsidRPr="001B67BF">
          <w:rPr>
            <w:rStyle w:val="Hyperlink"/>
            <w:noProof/>
          </w:rPr>
          <w:t>https://covidsitrep.moh.gov.sg/</w:t>
        </w:r>
      </w:hyperlink>
      <w:r w:rsidR="001B67BF" w:rsidRPr="001B67BF">
        <w:rPr>
          <w:noProof/>
        </w:rPr>
        <w:t>]</w:t>
      </w:r>
    </w:p>
    <w:p w14:paraId="453B1056" w14:textId="77777777" w:rsidR="001B67BF" w:rsidRPr="001B67BF" w:rsidRDefault="001B67BF" w:rsidP="001B67BF">
      <w:pPr>
        <w:pStyle w:val="EndNoteBibliography"/>
        <w:ind w:left="720" w:hanging="720"/>
        <w:rPr>
          <w:noProof/>
        </w:rPr>
      </w:pPr>
      <w:r w:rsidRPr="001B67BF">
        <w:rPr>
          <w:noProof/>
        </w:rPr>
        <w:t>2.</w:t>
      </w:r>
      <w:r w:rsidRPr="001B67BF">
        <w:rPr>
          <w:noProof/>
        </w:rPr>
        <w:tab/>
        <w:t xml:space="preserve">Lee VJ, Chiew CJ, Khong WX: </w:t>
      </w:r>
      <w:r w:rsidRPr="001B67BF">
        <w:rPr>
          <w:b/>
          <w:noProof/>
        </w:rPr>
        <w:t>Interrupting transmission of COVID-19: Lessons from containment efforts in Singapore</w:t>
      </w:r>
      <w:r w:rsidRPr="001B67BF">
        <w:rPr>
          <w:noProof/>
        </w:rPr>
        <w:t xml:space="preserve">. </w:t>
      </w:r>
      <w:r w:rsidRPr="001B67BF">
        <w:rPr>
          <w:i/>
          <w:noProof/>
        </w:rPr>
        <w:t xml:space="preserve">Journal of Travel Medicine </w:t>
      </w:r>
      <w:r w:rsidRPr="001B67BF">
        <w:rPr>
          <w:noProof/>
        </w:rPr>
        <w:t xml:space="preserve">2020, </w:t>
      </w:r>
      <w:r w:rsidRPr="001B67BF">
        <w:rPr>
          <w:b/>
          <w:noProof/>
        </w:rPr>
        <w:t>27</w:t>
      </w:r>
      <w:r w:rsidRPr="001B67BF">
        <w:rPr>
          <w:noProof/>
        </w:rPr>
        <w:t>(3).</w:t>
      </w:r>
    </w:p>
    <w:p w14:paraId="12E72E25" w14:textId="77777777" w:rsidR="001B67BF" w:rsidRPr="001B67BF" w:rsidRDefault="001B67BF" w:rsidP="001B67BF">
      <w:pPr>
        <w:pStyle w:val="EndNoteBibliography"/>
        <w:ind w:left="720" w:hanging="720"/>
        <w:rPr>
          <w:noProof/>
        </w:rPr>
      </w:pPr>
      <w:r w:rsidRPr="001B67BF">
        <w:rPr>
          <w:noProof/>
        </w:rPr>
        <w:t>3.</w:t>
      </w:r>
      <w:r w:rsidRPr="001B67BF">
        <w:rPr>
          <w:noProof/>
        </w:rPr>
        <w:tab/>
        <w:t xml:space="preserve">Lai L: </w:t>
      </w:r>
      <w:r w:rsidRPr="001B67BF">
        <w:rPr>
          <w:b/>
          <w:noProof/>
        </w:rPr>
        <w:t>Singapore to enter phase 3 on Dec 28: Groups of 8 to be allowed for social gatherings</w:t>
      </w:r>
      <w:r w:rsidRPr="001B67BF">
        <w:rPr>
          <w:noProof/>
        </w:rPr>
        <w:t xml:space="preserve">. In: </w:t>
      </w:r>
      <w:r w:rsidRPr="001B67BF">
        <w:rPr>
          <w:i/>
          <w:noProof/>
        </w:rPr>
        <w:t>The Straits Times.</w:t>
      </w:r>
      <w:r w:rsidRPr="001B67BF">
        <w:rPr>
          <w:noProof/>
        </w:rPr>
        <w:t xml:space="preserve"> Singapore; 2020.</w:t>
      </w:r>
    </w:p>
    <w:p w14:paraId="3B51C93F" w14:textId="77777777" w:rsidR="001B67BF" w:rsidRPr="001B67BF" w:rsidRDefault="001B67BF" w:rsidP="001B67BF">
      <w:pPr>
        <w:pStyle w:val="EndNoteBibliography"/>
        <w:ind w:left="720" w:hanging="720"/>
        <w:rPr>
          <w:noProof/>
        </w:rPr>
      </w:pPr>
      <w:r w:rsidRPr="001B67BF">
        <w:rPr>
          <w:noProof/>
        </w:rPr>
        <w:t>4.</w:t>
      </w:r>
      <w:r w:rsidRPr="001B67BF">
        <w:rPr>
          <w:noProof/>
        </w:rPr>
        <w:tab/>
        <w:t xml:space="preserve">Cheong D: </w:t>
      </w:r>
      <w:r w:rsidRPr="001B67BF">
        <w:rPr>
          <w:b/>
          <w:noProof/>
        </w:rPr>
        <w:t>Coronavirus: Most workplaces to close, schools will move to full home-based learning from next week, says PM Lee</w:t>
      </w:r>
      <w:r w:rsidRPr="001B67BF">
        <w:rPr>
          <w:noProof/>
        </w:rPr>
        <w:t xml:space="preserve">. In: </w:t>
      </w:r>
      <w:r w:rsidRPr="001B67BF">
        <w:rPr>
          <w:i/>
          <w:noProof/>
        </w:rPr>
        <w:t>The Straits Times.</w:t>
      </w:r>
      <w:r w:rsidRPr="001B67BF">
        <w:rPr>
          <w:noProof/>
        </w:rPr>
        <w:t xml:space="preserve"> Singapore; 2020.</w:t>
      </w:r>
    </w:p>
    <w:p w14:paraId="2DBF59E6" w14:textId="57D2144D" w:rsidR="001B67BF" w:rsidRPr="001B67BF" w:rsidRDefault="001B67BF" w:rsidP="001B67BF">
      <w:pPr>
        <w:pStyle w:val="EndNoteBibliography"/>
        <w:ind w:left="720" w:hanging="720"/>
        <w:rPr>
          <w:noProof/>
        </w:rPr>
      </w:pPr>
      <w:r w:rsidRPr="001B67BF">
        <w:rPr>
          <w:noProof/>
        </w:rPr>
        <w:t>5.</w:t>
      </w:r>
      <w:r w:rsidRPr="001B67BF">
        <w:rPr>
          <w:noProof/>
        </w:rPr>
        <w:tab/>
      </w:r>
      <w:r w:rsidRPr="001B67BF">
        <w:rPr>
          <w:b/>
          <w:noProof/>
        </w:rPr>
        <w:t xml:space="preserve">Circuit Breaker to minimise further spread of COVID-19 </w:t>
      </w:r>
      <w:r w:rsidRPr="001B67BF">
        <w:rPr>
          <w:noProof/>
        </w:rPr>
        <w:t>[</w:t>
      </w:r>
      <w:hyperlink r:id="rId5" w:history="1">
        <w:r w:rsidRPr="001B67BF">
          <w:rPr>
            <w:rStyle w:val="Hyperlink"/>
            <w:noProof/>
          </w:rPr>
          <w:t>https://www.moh.gov.sg/news-highlights/details/circuit-breaker-to-minimise-further-spread-of-covid-19</w:t>
        </w:r>
      </w:hyperlink>
      <w:r w:rsidRPr="001B67BF">
        <w:rPr>
          <w:noProof/>
        </w:rPr>
        <w:t>]</w:t>
      </w:r>
    </w:p>
    <w:p w14:paraId="046E8913" w14:textId="19BC2F5F" w:rsidR="001B67BF" w:rsidRPr="001B67BF" w:rsidRDefault="001B67BF" w:rsidP="001B67BF">
      <w:pPr>
        <w:pStyle w:val="EndNoteBibliography"/>
        <w:ind w:left="720" w:hanging="720"/>
        <w:rPr>
          <w:noProof/>
        </w:rPr>
      </w:pPr>
      <w:r w:rsidRPr="001B67BF">
        <w:rPr>
          <w:noProof/>
        </w:rPr>
        <w:t>6.</w:t>
      </w:r>
      <w:r w:rsidRPr="001B67BF">
        <w:rPr>
          <w:noProof/>
        </w:rPr>
        <w:tab/>
      </w:r>
      <w:r w:rsidRPr="001B67BF">
        <w:rPr>
          <w:b/>
          <w:noProof/>
        </w:rPr>
        <w:t xml:space="preserve">Easing the tighter Circuit Breaker measures, preparing for gradual resumption of activity after 1 June </w:t>
      </w:r>
      <w:r w:rsidRPr="001B67BF">
        <w:rPr>
          <w:noProof/>
        </w:rPr>
        <w:t>[</w:t>
      </w:r>
      <w:hyperlink r:id="rId6" w:history="1">
        <w:r w:rsidRPr="001B67BF">
          <w:rPr>
            <w:rStyle w:val="Hyperlink"/>
            <w:noProof/>
          </w:rPr>
          <w:t>https://www.moh.gov.sg/news-highlights/details/easing-the-tighter-circuit-breaker-measures-preparing-for-gradual-resumption-of-activity-after-1-june</w:t>
        </w:r>
      </w:hyperlink>
      <w:r w:rsidRPr="001B67BF">
        <w:rPr>
          <w:noProof/>
        </w:rPr>
        <w:t>]</w:t>
      </w:r>
    </w:p>
    <w:p w14:paraId="40C12783" w14:textId="77777777" w:rsidR="001B67BF" w:rsidRPr="001B67BF" w:rsidRDefault="001B67BF" w:rsidP="001B67BF">
      <w:pPr>
        <w:pStyle w:val="EndNoteBibliography"/>
        <w:ind w:left="720" w:hanging="720"/>
        <w:rPr>
          <w:noProof/>
        </w:rPr>
      </w:pPr>
      <w:r w:rsidRPr="001B67BF">
        <w:rPr>
          <w:noProof/>
        </w:rPr>
        <w:t>7.</w:t>
      </w:r>
      <w:r w:rsidRPr="001B67BF">
        <w:rPr>
          <w:noProof/>
        </w:rPr>
        <w:tab/>
        <w:t xml:space="preserve">Jacinta I, Chen P, Yap JC-H, Hsu LY, Teo YY: </w:t>
      </w:r>
      <w:r w:rsidRPr="001B67BF">
        <w:rPr>
          <w:b/>
          <w:noProof/>
        </w:rPr>
        <w:t>COVID-19 and Singapore: From early response to circuit breaker</w:t>
      </w:r>
      <w:r w:rsidRPr="001B67BF">
        <w:rPr>
          <w:noProof/>
        </w:rPr>
        <w:t xml:space="preserve">. </w:t>
      </w:r>
      <w:r w:rsidRPr="001B67BF">
        <w:rPr>
          <w:i/>
          <w:noProof/>
        </w:rPr>
        <w:t xml:space="preserve">Annals, Academy of Medicine, Singapore </w:t>
      </w:r>
      <w:r w:rsidRPr="001B67BF">
        <w:rPr>
          <w:noProof/>
        </w:rPr>
        <w:t xml:space="preserve">2020, </w:t>
      </w:r>
      <w:r w:rsidRPr="001B67BF">
        <w:rPr>
          <w:b/>
          <w:noProof/>
        </w:rPr>
        <w:t>49</w:t>
      </w:r>
      <w:r w:rsidRPr="001B67BF">
        <w:rPr>
          <w:noProof/>
        </w:rPr>
        <w:t>:561-572.</w:t>
      </w:r>
    </w:p>
    <w:p w14:paraId="005F5C9F" w14:textId="77777777" w:rsidR="001B67BF" w:rsidRPr="001B67BF" w:rsidRDefault="001B67BF" w:rsidP="001B67BF">
      <w:pPr>
        <w:pStyle w:val="EndNoteBibliography"/>
        <w:ind w:left="720" w:hanging="720"/>
        <w:rPr>
          <w:noProof/>
        </w:rPr>
      </w:pPr>
      <w:r w:rsidRPr="001B67BF">
        <w:rPr>
          <w:noProof/>
        </w:rPr>
        <w:t>8.</w:t>
      </w:r>
      <w:r w:rsidRPr="001B67BF">
        <w:rPr>
          <w:noProof/>
        </w:rPr>
        <w:tab/>
        <w:t xml:space="preserve">Sin Y: </w:t>
      </w:r>
      <w:r w:rsidRPr="001B67BF">
        <w:rPr>
          <w:b/>
          <w:noProof/>
        </w:rPr>
        <w:t>Coronavirus: S'pore to start phase 2 reopening on June 19; F&amp;B dine-in, social gatherings of up to 5 people allowed</w:t>
      </w:r>
      <w:r w:rsidRPr="001B67BF">
        <w:rPr>
          <w:noProof/>
        </w:rPr>
        <w:t xml:space="preserve">. In: </w:t>
      </w:r>
      <w:r w:rsidRPr="001B67BF">
        <w:rPr>
          <w:i/>
          <w:noProof/>
        </w:rPr>
        <w:t>The Straits Times.</w:t>
      </w:r>
      <w:r w:rsidRPr="001B67BF">
        <w:rPr>
          <w:noProof/>
        </w:rPr>
        <w:t xml:space="preserve"> Singapore; 2020.</w:t>
      </w:r>
    </w:p>
    <w:p w14:paraId="38CBA15C" w14:textId="590916EB" w:rsidR="001B67BF" w:rsidRPr="001B67BF" w:rsidRDefault="001B67BF" w:rsidP="001B67BF">
      <w:pPr>
        <w:pStyle w:val="EndNoteBibliography"/>
        <w:ind w:left="720" w:hanging="720"/>
        <w:rPr>
          <w:noProof/>
        </w:rPr>
      </w:pPr>
      <w:r w:rsidRPr="001B67BF">
        <w:rPr>
          <w:noProof/>
        </w:rPr>
        <w:t>9.</w:t>
      </w:r>
      <w:r w:rsidRPr="001B67BF">
        <w:rPr>
          <w:noProof/>
        </w:rPr>
        <w:tab/>
      </w:r>
      <w:r w:rsidRPr="001B67BF">
        <w:rPr>
          <w:b/>
          <w:noProof/>
        </w:rPr>
        <w:t xml:space="preserve">Safe Re-opening: How Singapore will resume activities after the circuit breaker </w:t>
      </w:r>
      <w:r w:rsidRPr="001B67BF">
        <w:rPr>
          <w:noProof/>
        </w:rPr>
        <w:t>[</w:t>
      </w:r>
      <w:hyperlink r:id="rId7" w:history="1">
        <w:r w:rsidRPr="001B67BF">
          <w:rPr>
            <w:rStyle w:val="Hyperlink"/>
            <w:noProof/>
          </w:rPr>
          <w:t>https://www.gov.sg/article/safe-re-opening-how-singapore-will-resume-activities-after-the-circuit-breaker</w:t>
        </w:r>
      </w:hyperlink>
      <w:r w:rsidRPr="001B67BF">
        <w:rPr>
          <w:noProof/>
        </w:rPr>
        <w:t>]</w:t>
      </w:r>
    </w:p>
    <w:p w14:paraId="6E5A67AA" w14:textId="16C05C29" w:rsidR="001B67BF" w:rsidRPr="001B67BF" w:rsidRDefault="001B67BF" w:rsidP="001B67BF">
      <w:pPr>
        <w:pStyle w:val="EndNoteBibliography"/>
        <w:ind w:left="720" w:hanging="720"/>
        <w:rPr>
          <w:noProof/>
        </w:rPr>
      </w:pPr>
      <w:r w:rsidRPr="001B67BF">
        <w:rPr>
          <w:noProof/>
        </w:rPr>
        <w:t>10.</w:t>
      </w:r>
      <w:r w:rsidRPr="001B67BF">
        <w:rPr>
          <w:noProof/>
        </w:rPr>
        <w:tab/>
      </w:r>
      <w:r w:rsidRPr="001B67BF">
        <w:rPr>
          <w:b/>
          <w:noProof/>
        </w:rPr>
        <w:t xml:space="preserve">Post-circuit breaker – when can we move on to phases 2 and 3? </w:t>
      </w:r>
      <w:r w:rsidRPr="001B67BF">
        <w:rPr>
          <w:noProof/>
        </w:rPr>
        <w:t>[</w:t>
      </w:r>
      <w:hyperlink r:id="rId8" w:history="1">
        <w:r w:rsidRPr="001B67BF">
          <w:rPr>
            <w:rStyle w:val="Hyperlink"/>
            <w:noProof/>
          </w:rPr>
          <w:t>https://www.gov.sg/article/post-circuit-breaker-when-can-we-move-on-to-phases-2-and-3</w:t>
        </w:r>
      </w:hyperlink>
      <w:r w:rsidRPr="001B67BF">
        <w:rPr>
          <w:noProof/>
        </w:rPr>
        <w:t>]</w:t>
      </w:r>
    </w:p>
    <w:p w14:paraId="6741E47A" w14:textId="1B70FCCD" w:rsidR="001B67BF" w:rsidRPr="001B67BF" w:rsidRDefault="001B67BF" w:rsidP="001B67BF">
      <w:pPr>
        <w:pStyle w:val="EndNoteBibliography"/>
        <w:ind w:left="720" w:hanging="720"/>
        <w:rPr>
          <w:noProof/>
        </w:rPr>
      </w:pPr>
      <w:r w:rsidRPr="001B67BF">
        <w:rPr>
          <w:noProof/>
        </w:rPr>
        <w:t>11.</w:t>
      </w:r>
      <w:r w:rsidRPr="001B67BF">
        <w:rPr>
          <w:noProof/>
        </w:rPr>
        <w:tab/>
      </w:r>
      <w:r w:rsidRPr="001B67BF">
        <w:rPr>
          <w:b/>
          <w:noProof/>
        </w:rPr>
        <w:t xml:space="preserve">Moving into Phase 3 of Re-Opening on 28 Dec 2020 </w:t>
      </w:r>
      <w:r w:rsidRPr="001B67BF">
        <w:rPr>
          <w:noProof/>
        </w:rPr>
        <w:t>[</w:t>
      </w:r>
      <w:hyperlink r:id="rId9" w:history="1">
        <w:r w:rsidRPr="001B67BF">
          <w:rPr>
            <w:rStyle w:val="Hyperlink"/>
            <w:noProof/>
          </w:rPr>
          <w:t>https://www.gov.sg/article/moving-into-phase-3-of-re-opening-on-28-dec-2020</w:t>
        </w:r>
      </w:hyperlink>
      <w:r w:rsidRPr="001B67BF">
        <w:rPr>
          <w:noProof/>
        </w:rPr>
        <w:t>]</w:t>
      </w:r>
    </w:p>
    <w:p w14:paraId="74187888" w14:textId="5F3F6835" w:rsidR="001B67BF" w:rsidRPr="001B67BF" w:rsidRDefault="001B67BF" w:rsidP="001B67BF">
      <w:pPr>
        <w:pStyle w:val="EndNoteBibliography"/>
        <w:ind w:left="720" w:hanging="720"/>
        <w:rPr>
          <w:noProof/>
        </w:rPr>
      </w:pPr>
      <w:r w:rsidRPr="001B67BF">
        <w:rPr>
          <w:noProof/>
        </w:rPr>
        <w:t>12.</w:t>
      </w:r>
      <w:r w:rsidRPr="001B67BF">
        <w:rPr>
          <w:noProof/>
        </w:rPr>
        <w:tab/>
      </w:r>
      <w:r w:rsidRPr="001B67BF">
        <w:rPr>
          <w:b/>
          <w:noProof/>
        </w:rPr>
        <w:t xml:space="preserve">Moving into Phase 2: What activities can resume </w:t>
      </w:r>
      <w:r w:rsidRPr="001B67BF">
        <w:rPr>
          <w:noProof/>
        </w:rPr>
        <w:t>[</w:t>
      </w:r>
      <w:hyperlink r:id="rId10" w:history="1">
        <w:r w:rsidRPr="001B67BF">
          <w:rPr>
            <w:rStyle w:val="Hyperlink"/>
            <w:noProof/>
          </w:rPr>
          <w:t>https://www.gov.sg/article/moving-into-phase-2-what-activities-can-resume</w:t>
        </w:r>
      </w:hyperlink>
      <w:r w:rsidRPr="001B67BF">
        <w:rPr>
          <w:noProof/>
        </w:rPr>
        <w:t>]</w:t>
      </w:r>
    </w:p>
    <w:p w14:paraId="11502AD8" w14:textId="41FE3AF6" w:rsidR="0077537C" w:rsidRPr="0077537C" w:rsidRDefault="002B085B">
      <w:pPr>
        <w:rPr>
          <w:rFonts w:ascii="Times New Roman" w:hAnsi="Times New Roman" w:cs="Times New Roman"/>
          <w:lang w:val="en-GB"/>
        </w:rPr>
      </w:pPr>
      <w:r>
        <w:rPr>
          <w:rFonts w:ascii="Times New Roman" w:hAnsi="Times New Roman" w:cs="Times New Roman"/>
          <w:lang w:val="en-GB"/>
        </w:rPr>
        <w:fldChar w:fldCharType="end"/>
      </w:r>
    </w:p>
    <w:sectPr w:rsidR="0077537C" w:rsidRPr="007753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Psychiatr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xf2swr29px0pvef2t1v0f5oee022tfxpsed&quot;&gt;NIE MA 2&lt;record-ids&gt;&lt;item&gt;109&lt;/item&gt;&lt;item&gt;115&lt;/item&gt;&lt;item&gt;121&lt;/item&gt;&lt;item&gt;122&lt;/item&gt;&lt;item&gt;123&lt;/item&gt;&lt;item&gt;124&lt;/item&gt;&lt;item&gt;125&lt;/item&gt;&lt;item&gt;126&lt;/item&gt;&lt;item&gt;127&lt;/item&gt;&lt;item&gt;128&lt;/item&gt;&lt;item&gt;129&lt;/item&gt;&lt;item&gt;130&lt;/item&gt;&lt;/record-ids&gt;&lt;/item&gt;&lt;/Libraries&gt;"/>
  </w:docVars>
  <w:rsids>
    <w:rsidRoot w:val="0077537C"/>
    <w:rsid w:val="000B18E6"/>
    <w:rsid w:val="001B67BF"/>
    <w:rsid w:val="002B085B"/>
    <w:rsid w:val="00311BFD"/>
    <w:rsid w:val="005F249D"/>
    <w:rsid w:val="006C569F"/>
    <w:rsid w:val="0077537C"/>
    <w:rsid w:val="007A3B31"/>
    <w:rsid w:val="00986DA2"/>
    <w:rsid w:val="00D11715"/>
    <w:rsid w:val="00FE0E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361E3"/>
  <w15:chartTrackingRefBased/>
  <w15:docId w15:val="{D98A70B8-DBDD-4DBE-B8A1-E41766B5F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37C"/>
    <w:pPr>
      <w:spacing w:after="0" w:line="480" w:lineRule="auto"/>
      <w:ind w:firstLine="720"/>
    </w:pPr>
    <w:rPr>
      <w:rFonts w:eastAsiaTheme="minorEastAsia"/>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2B085B"/>
    <w:pPr>
      <w:jc w:val="center"/>
    </w:pPr>
    <w:rPr>
      <w:rFonts w:ascii="Times New Roman" w:hAnsi="Times New Roman" w:cs="Times New Roman"/>
    </w:rPr>
  </w:style>
  <w:style w:type="character" w:customStyle="1" w:styleId="EndNoteBibliographyTitleChar">
    <w:name w:val="EndNote Bibliography Title Char"/>
    <w:basedOn w:val="DefaultParagraphFont"/>
    <w:link w:val="EndNoteBibliographyTitle"/>
    <w:rsid w:val="002B085B"/>
    <w:rPr>
      <w:rFonts w:ascii="Times New Roman" w:eastAsiaTheme="minorEastAsia" w:hAnsi="Times New Roman" w:cs="Times New Roman"/>
      <w:kern w:val="24"/>
      <w:sz w:val="24"/>
      <w:szCs w:val="24"/>
      <w:lang w:eastAsia="ja-JP"/>
    </w:rPr>
  </w:style>
  <w:style w:type="paragraph" w:customStyle="1" w:styleId="EndNoteBibliography">
    <w:name w:val="EndNote Bibliography"/>
    <w:basedOn w:val="Normal"/>
    <w:link w:val="EndNoteBibliographyChar"/>
    <w:rsid w:val="002B085B"/>
    <w:pPr>
      <w:spacing w:line="240" w:lineRule="auto"/>
    </w:pPr>
    <w:rPr>
      <w:rFonts w:ascii="Times New Roman" w:hAnsi="Times New Roman" w:cs="Times New Roman"/>
    </w:rPr>
  </w:style>
  <w:style w:type="character" w:customStyle="1" w:styleId="EndNoteBibliographyChar">
    <w:name w:val="EndNote Bibliography Char"/>
    <w:basedOn w:val="DefaultParagraphFont"/>
    <w:link w:val="EndNoteBibliography"/>
    <w:rsid w:val="002B085B"/>
    <w:rPr>
      <w:rFonts w:ascii="Times New Roman" w:eastAsiaTheme="minorEastAsia" w:hAnsi="Times New Roman" w:cs="Times New Roman"/>
      <w:kern w:val="24"/>
      <w:sz w:val="24"/>
      <w:szCs w:val="24"/>
      <w:lang w:eastAsia="ja-JP"/>
    </w:rPr>
  </w:style>
  <w:style w:type="character" w:styleId="Hyperlink">
    <w:name w:val="Hyperlink"/>
    <w:basedOn w:val="DefaultParagraphFont"/>
    <w:uiPriority w:val="99"/>
    <w:unhideWhenUsed/>
    <w:rsid w:val="002B085B"/>
    <w:rPr>
      <w:color w:val="0563C1" w:themeColor="hyperlink"/>
      <w:u w:val="single"/>
    </w:rPr>
  </w:style>
  <w:style w:type="character" w:styleId="UnresolvedMention">
    <w:name w:val="Unresolved Mention"/>
    <w:basedOn w:val="DefaultParagraphFont"/>
    <w:uiPriority w:val="99"/>
    <w:semiHidden/>
    <w:unhideWhenUsed/>
    <w:rsid w:val="002B08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sg/article/post-circuit-breaker-when-can-we-move-on-to-phases-2-and-3" TargetMode="External"/><Relationship Id="rId3" Type="http://schemas.openxmlformats.org/officeDocument/2006/relationships/webSettings" Target="webSettings.xml"/><Relationship Id="rId7" Type="http://schemas.openxmlformats.org/officeDocument/2006/relationships/hyperlink" Target="https://www.gov.sg/article/safe-re-opening-how-singapore-will-resume-activities-after-the-circuit-breaker"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oh.gov.sg/news-highlights/details/easing-the-tighter-circuit-breaker-measures-preparing-for-gradual-resumption-of-activity-after-1-june" TargetMode="External"/><Relationship Id="rId11" Type="http://schemas.openxmlformats.org/officeDocument/2006/relationships/fontTable" Target="fontTable.xml"/><Relationship Id="rId5" Type="http://schemas.openxmlformats.org/officeDocument/2006/relationships/hyperlink" Target="https://www.moh.gov.sg/news-highlights/details/circuit-breaker-to-minimise-further-spread-of-covid-19" TargetMode="External"/><Relationship Id="rId10" Type="http://schemas.openxmlformats.org/officeDocument/2006/relationships/hyperlink" Target="https://www.gov.sg/article/moving-into-phase-2-what-activities-can-resume" TargetMode="External"/><Relationship Id="rId4" Type="http://schemas.openxmlformats.org/officeDocument/2006/relationships/hyperlink" Target="https://covidsitrep.moh.gov.sg/" TargetMode="External"/><Relationship Id="rId9" Type="http://schemas.openxmlformats.org/officeDocument/2006/relationships/hyperlink" Target="https://www.gov.sg/article/moving-into-phase-3-of-re-opening-on-28-dec-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2263</Words>
  <Characters>12903</Characters>
  <Application>Microsoft Office Word</Application>
  <DocSecurity>0</DocSecurity>
  <Lines>107</Lines>
  <Paragraphs>30</Paragraphs>
  <ScaleCrop>false</ScaleCrop>
  <Company/>
  <LinksUpToDate>false</LinksUpToDate>
  <CharactersWithSpaces>15136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Rifkin-Graboi (Dr)</dc:creator>
  <cp:keywords/>
  <dc:description/>
  <cp:lastModifiedBy>Anne Rifkin-Graboi (Dr)</cp:lastModifiedBy>
  <cp:revision>11</cp:revision>
  <dcterms:created xsi:type="dcterms:W3CDTF">2022-04-06T05:26:00Z</dcterms:created>
  <dcterms:modified xsi:type="dcterms:W3CDTF">2022-08-24T01:50:00Z</dcterms:modified>
</cp:coreProperties>
</file>