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len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71"/>
        <w:gridCol w:w="3572"/>
        <w:gridCol w:w="3572"/>
        <w:gridCol w:w="3572"/>
      </w:tblGrid>
      <w:tr w:rsidR="00BE362F" w:rsidRPr="000C6823" w:rsidTr="00222B25">
        <w:tc>
          <w:tcPr>
            <w:tcW w:w="5000" w:type="pct"/>
            <w:gridSpan w:val="4"/>
            <w:tcBorders>
              <w:bottom w:val="single" w:sz="12" w:space="0" w:color="auto"/>
            </w:tcBorders>
          </w:tcPr>
          <w:p w:rsidR="00BE362F" w:rsidRPr="00BE362F" w:rsidRDefault="005463E2" w:rsidP="005463E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Appendix B</w:t>
            </w:r>
            <w:r w:rsidR="00BE362F" w:rsidRPr="00BE362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</w:t>
            </w:r>
            <w:r w:rsidR="00BE362F" w:rsidRPr="00BE36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Model fit indices of the EFA that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was based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on the pooled sample.</w:t>
            </w:r>
          </w:p>
        </w:tc>
      </w:tr>
      <w:tr w:rsidR="005463E2" w:rsidRPr="00222B25" w:rsidTr="005463E2">
        <w:tc>
          <w:tcPr>
            <w:tcW w:w="125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463E2" w:rsidRPr="00222B25" w:rsidRDefault="005463E2" w:rsidP="00222B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RMSEA</w:t>
            </w:r>
          </w:p>
        </w:tc>
        <w:tc>
          <w:tcPr>
            <w:tcW w:w="125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463E2" w:rsidRPr="00222B25" w:rsidRDefault="005463E2" w:rsidP="00222B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SRMR</w:t>
            </w:r>
          </w:p>
        </w:tc>
        <w:tc>
          <w:tcPr>
            <w:tcW w:w="125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463E2" w:rsidRPr="00222B25" w:rsidRDefault="005463E2" w:rsidP="003E35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TLI</w:t>
            </w:r>
          </w:p>
        </w:tc>
        <w:tc>
          <w:tcPr>
            <w:tcW w:w="125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463E2" w:rsidRPr="00222B25" w:rsidRDefault="005463E2" w:rsidP="00222B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CFI</w:t>
            </w:r>
          </w:p>
        </w:tc>
      </w:tr>
      <w:tr w:rsidR="005463E2" w:rsidRPr="00222B25" w:rsidTr="005463E2">
        <w:trPr>
          <w:trHeight w:val="552"/>
        </w:trPr>
        <w:tc>
          <w:tcPr>
            <w:tcW w:w="1250" w:type="pct"/>
            <w:tcBorders>
              <w:top w:val="single" w:sz="4" w:space="0" w:color="auto"/>
            </w:tcBorders>
            <w:vAlign w:val="center"/>
          </w:tcPr>
          <w:p w:rsidR="005463E2" w:rsidRPr="00222B25" w:rsidRDefault="005463E2" w:rsidP="005463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.08</w:t>
            </w:r>
          </w:p>
        </w:tc>
        <w:tc>
          <w:tcPr>
            <w:tcW w:w="1250" w:type="pct"/>
            <w:tcBorders>
              <w:top w:val="single" w:sz="4" w:space="0" w:color="auto"/>
            </w:tcBorders>
            <w:vAlign w:val="center"/>
          </w:tcPr>
          <w:p w:rsidR="005463E2" w:rsidRPr="00222B25" w:rsidRDefault="005463E2" w:rsidP="005463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.04</w:t>
            </w:r>
          </w:p>
        </w:tc>
        <w:tc>
          <w:tcPr>
            <w:tcW w:w="1250" w:type="pct"/>
            <w:tcBorders>
              <w:top w:val="single" w:sz="4" w:space="0" w:color="auto"/>
            </w:tcBorders>
            <w:vAlign w:val="center"/>
          </w:tcPr>
          <w:p w:rsidR="005463E2" w:rsidRPr="00222B25" w:rsidRDefault="005463E2" w:rsidP="005463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.80</w:t>
            </w:r>
          </w:p>
        </w:tc>
        <w:tc>
          <w:tcPr>
            <w:tcW w:w="1250" w:type="pct"/>
            <w:tcBorders>
              <w:top w:val="single" w:sz="4" w:space="0" w:color="auto"/>
            </w:tcBorders>
            <w:vAlign w:val="center"/>
          </w:tcPr>
          <w:p w:rsidR="005463E2" w:rsidRPr="00222B25" w:rsidRDefault="005463E2" w:rsidP="00222B2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.90</w:t>
            </w:r>
          </w:p>
        </w:tc>
      </w:tr>
      <w:tr w:rsidR="00BE362F" w:rsidRPr="000C6823" w:rsidTr="00222B25">
        <w:tc>
          <w:tcPr>
            <w:tcW w:w="5000" w:type="pct"/>
            <w:gridSpan w:val="4"/>
            <w:tcBorders>
              <w:top w:val="single" w:sz="12" w:space="0" w:color="auto"/>
            </w:tcBorders>
          </w:tcPr>
          <w:p w:rsidR="00BE362F" w:rsidRPr="005463E2" w:rsidRDefault="00BE362F" w:rsidP="00C36AB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Note.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BE362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r w:rsidR="005463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RMSEA = root mean square error of approximation, SRMR = standardized toot mean residual, TLI = Tucker Lewis index, CFI = comparative fit index.</w:t>
            </w:r>
            <w:r w:rsidR="000C68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Values &lt; .0</w:t>
            </w:r>
            <w:r w:rsidR="00C36A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="000C68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for the RMSEA and </w:t>
            </w:r>
            <w:r w:rsidR="00C36A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&lt; .08 for </w:t>
            </w:r>
            <w:r w:rsidR="000C68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SRMR,</w:t>
            </w:r>
            <w:r w:rsidR="00C36A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as well as &gt; .95 for the TLI, and &gt; .95</w:t>
            </w:r>
            <w:r w:rsidR="000C68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for the CFI</w:t>
            </w:r>
            <w:r w:rsidR="00C36A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0C68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indicate acceptable </w:t>
            </w:r>
            <w:r w:rsidR="00C36A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threshold levels</w:t>
            </w:r>
            <w:r w:rsidR="000C68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</w:tr>
    </w:tbl>
    <w:p w:rsidR="00BE362F" w:rsidRPr="005463E2" w:rsidRDefault="00BE362F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5463E2" w:rsidRPr="005463E2" w:rsidRDefault="002476F8">
      <w:pPr>
        <w:rPr>
          <w:rFonts w:ascii="Times New Roman" w:hAnsi="Times New Roman" w:cs="Times New Roman"/>
          <w:sz w:val="24"/>
          <w:szCs w:val="24"/>
          <w:lang w:val="en-US"/>
        </w:rPr>
      </w:pP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χ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2</m:t>
            </m:r>
          </m:sup>
        </m:sSup>
      </m:oMath>
      <w:r w:rsidR="005463E2" w:rsidRPr="005463E2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(86) = 211.01, </w:t>
      </w:r>
      <w:r w:rsidR="005463E2" w:rsidRPr="005463E2">
        <w:rPr>
          <w:rFonts w:ascii="Times New Roman" w:eastAsiaTheme="minorEastAsia" w:hAnsi="Times New Roman" w:cs="Times New Roman"/>
          <w:i/>
          <w:sz w:val="24"/>
          <w:szCs w:val="24"/>
          <w:lang w:val="en-US"/>
        </w:rPr>
        <w:t>p</w:t>
      </w:r>
      <w:r w:rsidR="005463E2" w:rsidRPr="005463E2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&lt; .001</w:t>
      </w:r>
      <w:bookmarkStart w:id="0" w:name="_GoBack"/>
      <w:bookmarkEnd w:id="0"/>
    </w:p>
    <w:sectPr w:rsidR="005463E2" w:rsidRPr="005463E2" w:rsidSect="00BE362F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54B"/>
    <w:rsid w:val="000C6823"/>
    <w:rsid w:val="00206FED"/>
    <w:rsid w:val="00222B25"/>
    <w:rsid w:val="002476F8"/>
    <w:rsid w:val="003E353B"/>
    <w:rsid w:val="005463E2"/>
    <w:rsid w:val="00630DA2"/>
    <w:rsid w:val="006F75D8"/>
    <w:rsid w:val="008E76B2"/>
    <w:rsid w:val="00AB72A9"/>
    <w:rsid w:val="00BC19D1"/>
    <w:rsid w:val="00BE362F"/>
    <w:rsid w:val="00C36AB3"/>
    <w:rsid w:val="00FF2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003D2F"/>
  <w15:chartTrackingRefBased/>
  <w15:docId w15:val="{DF62D975-9284-4C14-9F67-8B903297C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BE36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E3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E362F"/>
    <w:rPr>
      <w:rFonts w:ascii="Segoe UI" w:hAnsi="Segoe UI" w:cs="Segoe UI"/>
      <w:sz w:val="18"/>
      <w:szCs w:val="18"/>
    </w:rPr>
  </w:style>
  <w:style w:type="character" w:styleId="Platzhaltertext">
    <w:name w:val="Placeholder Text"/>
    <w:basedOn w:val="Absatz-Standardschriftart"/>
    <w:uiPriority w:val="99"/>
    <w:semiHidden/>
    <w:rsid w:val="005463E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Philipps-Universität Marburg</Company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Lukas Kirchner</dc:creator>
  <cp:keywords/>
  <dc:description/>
  <cp:lastModifiedBy>Lukas Kirchner</cp:lastModifiedBy>
  <cp:revision>10</cp:revision>
  <dcterms:created xsi:type="dcterms:W3CDTF">2022-09-01T09:58:00Z</dcterms:created>
  <dcterms:modified xsi:type="dcterms:W3CDTF">2023-06-14T15:31:00Z</dcterms:modified>
</cp:coreProperties>
</file>