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1"/>
        <w:gridCol w:w="3572"/>
        <w:gridCol w:w="3572"/>
        <w:gridCol w:w="3572"/>
      </w:tblGrid>
      <w:tr w:rsidR="00984197" w:rsidRPr="00DC4B83" w14:paraId="5E039C0E" w14:textId="77777777" w:rsidTr="004B2B3D">
        <w:tc>
          <w:tcPr>
            <w:tcW w:w="5000" w:type="pct"/>
            <w:gridSpan w:val="4"/>
            <w:tcBorders>
              <w:bottom w:val="single" w:sz="12" w:space="0" w:color="auto"/>
            </w:tcBorders>
          </w:tcPr>
          <w:p w14:paraId="775048BE" w14:textId="77777777" w:rsidR="00984197" w:rsidRPr="00BE362F" w:rsidRDefault="00DC4B83" w:rsidP="004B2B3D">
            <w:pPr>
              <w:rPr>
                <w:rFonts w:ascii="Times New Roman" w:hAnsi="Times New Roman" w:cs="Times New Roman"/>
                <w:sz w:val="24"/>
                <w:szCs w:val="24"/>
                <w:lang w:val="en-US"/>
              </w:rPr>
            </w:pPr>
            <w:r>
              <w:rPr>
                <w:rFonts w:ascii="Times New Roman" w:hAnsi="Times New Roman" w:cs="Times New Roman"/>
                <w:b/>
                <w:sz w:val="24"/>
                <w:szCs w:val="24"/>
                <w:lang w:val="en-US"/>
              </w:rPr>
              <w:t>Appendix E</w:t>
            </w:r>
            <w:r w:rsidR="00984197" w:rsidRPr="00BE362F">
              <w:rPr>
                <w:rFonts w:ascii="Times New Roman" w:hAnsi="Times New Roman" w:cs="Times New Roman"/>
                <w:b/>
                <w:sz w:val="24"/>
                <w:szCs w:val="24"/>
                <w:lang w:val="en-US"/>
              </w:rPr>
              <w:t>.</w:t>
            </w:r>
            <w:r w:rsidR="00984197" w:rsidRPr="00BE362F">
              <w:rPr>
                <w:rFonts w:ascii="Times New Roman" w:hAnsi="Times New Roman" w:cs="Times New Roman"/>
                <w:sz w:val="24"/>
                <w:szCs w:val="24"/>
                <w:lang w:val="en-US"/>
              </w:rPr>
              <w:t xml:space="preserve"> </w:t>
            </w:r>
            <w:r w:rsidR="00984197">
              <w:rPr>
                <w:rFonts w:ascii="Times New Roman" w:hAnsi="Times New Roman" w:cs="Times New Roman"/>
                <w:sz w:val="24"/>
                <w:szCs w:val="24"/>
                <w:lang w:val="en-US"/>
              </w:rPr>
              <w:t xml:space="preserve">Model fit indices of the CFA using the three-factor solution from </w:t>
            </w:r>
            <w:r w:rsidR="00984197">
              <w:rPr>
                <w:rFonts w:ascii="Times New Roman" w:hAnsi="Times New Roman" w:cs="Times New Roman"/>
                <w:sz w:val="24"/>
                <w:szCs w:val="24"/>
                <w:lang w:val="en-US"/>
              </w:rPr>
              <w:fldChar w:fldCharType="begin" w:fldLock="1"/>
            </w:r>
            <w:r w:rsidR="00984197">
              <w:rPr>
                <w:rFonts w:ascii="Times New Roman" w:hAnsi="Times New Roman" w:cs="Times New Roman"/>
                <w:sz w:val="24"/>
                <w:szCs w:val="24"/>
                <w:lang w:val="en-US"/>
              </w:rPr>
              <w:instrText>ADDIN CSL_CITATION {"citationItems":[{"id":"ITEM-1","itemData":{"DOI":"10.2466/pr0.95.1.291-303","ISSN":"1558691X","PMID":"15460384","abstract":"In this study, an Interpersonal Cognitive Distortions Scale was developed to assess cognitive distortions in individuals' interpersonal relationships. The sample comprised 425 university students. A factor analysis yielded three factors: Interpersonal Rejection, Unrealistic Relationship Expectation and Interpersonal Misperception. To examine construct validity the correlations between the scores on the Interpersonal Cognitive Distortions Scale and the Automatic Thoughts Scale (.54), the Irrational Belief Scale (.54), and the Conflict Tendency Scale (.53) were estimated. The first factor, the second factor, and the total scale discriminated married individuals who had low and high conflict intensity and conflict frequency. The reliability of the scale was estimated by performing a test-retest correlation (.74). Cronbach internal consistency coefficient alpha was .67.","author":[{"dropping-particle":"","family":"Hamamci","given":"Zeynep","non-dropping-particle":"","parse-names":false,"suffix":""},{"dropping-particle":"","family":"Büyüköztürk","given":"Şener","non-dropping-particle":"","parse-names":false,"suffix":""}],"container-title":"Psychological Reports","id":"ITEM-1","issue":"1","issued":{"date-parts":[["2004"]]},"page":"291-303","title":"The interpersonal cognitive distortions scale: Development and psychometric characteristics","type":"article-journal","volume":"95"},"uris":["http://www.mendeley.com/documents/?uuid=5be9f51e-f628-4ff0-b958-46e7428efcc5"]}],"mendeley":{"formattedCitation":"(Hamamci &amp; Büyüköztürk, 2004)","manualFormatting":"Hamamci &amp; Büyüköztürk (2004)","plainTextFormattedCitation":"(Hamamci &amp; Büyüköztürk, 2004)","previouslyFormattedCitation":"(Hamamci &amp; Büyüköztürk, 2004)"},"properties":{"noteIndex":0},"schema":"https://github.com/citation-style-language/schema/raw/master/csl-citation.json"}</w:instrText>
            </w:r>
            <w:r w:rsidR="00984197">
              <w:rPr>
                <w:rFonts w:ascii="Times New Roman" w:hAnsi="Times New Roman" w:cs="Times New Roman"/>
                <w:sz w:val="24"/>
                <w:szCs w:val="24"/>
                <w:lang w:val="en-US"/>
              </w:rPr>
              <w:fldChar w:fldCharType="separate"/>
            </w:r>
            <w:r w:rsidR="00984197">
              <w:rPr>
                <w:rFonts w:ascii="Times New Roman" w:hAnsi="Times New Roman" w:cs="Times New Roman"/>
                <w:noProof/>
                <w:sz w:val="24"/>
                <w:szCs w:val="24"/>
                <w:lang w:val="en-US"/>
              </w:rPr>
              <w:t>Hamamci &amp; Büyüköztürk</w:t>
            </w:r>
            <w:r w:rsidR="00984197" w:rsidRPr="00182BC2">
              <w:rPr>
                <w:rFonts w:ascii="Times New Roman" w:hAnsi="Times New Roman" w:cs="Times New Roman"/>
                <w:noProof/>
                <w:sz w:val="24"/>
                <w:szCs w:val="24"/>
                <w:lang w:val="en-US"/>
              </w:rPr>
              <w:t xml:space="preserve"> </w:t>
            </w:r>
            <w:r w:rsidR="00984197">
              <w:rPr>
                <w:rFonts w:ascii="Times New Roman" w:hAnsi="Times New Roman" w:cs="Times New Roman"/>
                <w:noProof/>
                <w:sz w:val="24"/>
                <w:szCs w:val="24"/>
                <w:lang w:val="en-US"/>
              </w:rPr>
              <w:t>(</w:t>
            </w:r>
            <w:r w:rsidR="00984197" w:rsidRPr="00182BC2">
              <w:rPr>
                <w:rFonts w:ascii="Times New Roman" w:hAnsi="Times New Roman" w:cs="Times New Roman"/>
                <w:noProof/>
                <w:sz w:val="24"/>
                <w:szCs w:val="24"/>
                <w:lang w:val="en-US"/>
              </w:rPr>
              <w:t>2004)</w:t>
            </w:r>
            <w:r w:rsidR="00984197">
              <w:rPr>
                <w:rFonts w:ascii="Times New Roman" w:hAnsi="Times New Roman" w:cs="Times New Roman"/>
                <w:sz w:val="24"/>
                <w:szCs w:val="24"/>
                <w:lang w:val="en-US"/>
              </w:rPr>
              <w:fldChar w:fldCharType="end"/>
            </w:r>
            <w:r w:rsidR="00984197">
              <w:rPr>
                <w:rFonts w:ascii="Times New Roman" w:hAnsi="Times New Roman" w:cs="Times New Roman"/>
                <w:sz w:val="24"/>
                <w:szCs w:val="24"/>
                <w:lang w:val="en-US"/>
              </w:rPr>
              <w:t xml:space="preserve"> on the pooled sample.</w:t>
            </w:r>
          </w:p>
        </w:tc>
      </w:tr>
      <w:tr w:rsidR="00984197" w:rsidRPr="00DC4B83" w14:paraId="6A3C75E4" w14:textId="77777777" w:rsidTr="004B2B3D">
        <w:tc>
          <w:tcPr>
            <w:tcW w:w="1250" w:type="pct"/>
            <w:tcBorders>
              <w:top w:val="single" w:sz="4" w:space="0" w:color="auto"/>
              <w:bottom w:val="single" w:sz="4" w:space="0" w:color="auto"/>
            </w:tcBorders>
            <w:vAlign w:val="center"/>
          </w:tcPr>
          <w:p w14:paraId="4B86A8D1" w14:textId="77777777" w:rsidR="00984197" w:rsidRPr="00222B25" w:rsidRDefault="00984197" w:rsidP="004B2B3D">
            <w:pPr>
              <w:jc w:val="center"/>
              <w:rPr>
                <w:rFonts w:ascii="Times New Roman" w:hAnsi="Times New Roman" w:cs="Times New Roman"/>
                <w:b/>
                <w:sz w:val="24"/>
                <w:szCs w:val="24"/>
                <w:lang w:val="en-US"/>
              </w:rPr>
            </w:pPr>
            <w:r>
              <w:rPr>
                <w:rFonts w:ascii="Times New Roman" w:hAnsi="Times New Roman" w:cs="Times New Roman"/>
                <w:b/>
                <w:sz w:val="24"/>
                <w:szCs w:val="24"/>
                <w:lang w:val="en-US"/>
              </w:rPr>
              <w:t>RMSEA</w:t>
            </w:r>
          </w:p>
        </w:tc>
        <w:tc>
          <w:tcPr>
            <w:tcW w:w="1250" w:type="pct"/>
            <w:tcBorders>
              <w:top w:val="single" w:sz="4" w:space="0" w:color="auto"/>
              <w:bottom w:val="single" w:sz="4" w:space="0" w:color="auto"/>
            </w:tcBorders>
            <w:vAlign w:val="center"/>
          </w:tcPr>
          <w:p w14:paraId="08072AB4" w14:textId="77777777" w:rsidR="00984197" w:rsidRPr="00222B25" w:rsidRDefault="00984197" w:rsidP="004B2B3D">
            <w:pPr>
              <w:jc w:val="center"/>
              <w:rPr>
                <w:rFonts w:ascii="Times New Roman" w:hAnsi="Times New Roman" w:cs="Times New Roman"/>
                <w:b/>
                <w:sz w:val="24"/>
                <w:szCs w:val="24"/>
                <w:lang w:val="en-US"/>
              </w:rPr>
            </w:pPr>
            <w:r>
              <w:rPr>
                <w:rFonts w:ascii="Times New Roman" w:hAnsi="Times New Roman" w:cs="Times New Roman"/>
                <w:b/>
                <w:sz w:val="24"/>
                <w:szCs w:val="24"/>
                <w:lang w:val="en-US"/>
              </w:rPr>
              <w:t>SRMR</w:t>
            </w:r>
          </w:p>
        </w:tc>
        <w:tc>
          <w:tcPr>
            <w:tcW w:w="1250" w:type="pct"/>
            <w:tcBorders>
              <w:top w:val="single" w:sz="4" w:space="0" w:color="auto"/>
              <w:bottom w:val="single" w:sz="4" w:space="0" w:color="auto"/>
            </w:tcBorders>
            <w:vAlign w:val="center"/>
          </w:tcPr>
          <w:p w14:paraId="15FDE787" w14:textId="77777777" w:rsidR="00984197" w:rsidRPr="00222B25" w:rsidRDefault="00984197" w:rsidP="004B2B3D">
            <w:pPr>
              <w:jc w:val="center"/>
              <w:rPr>
                <w:rFonts w:ascii="Times New Roman" w:hAnsi="Times New Roman" w:cs="Times New Roman"/>
                <w:b/>
                <w:sz w:val="24"/>
                <w:szCs w:val="24"/>
                <w:lang w:val="en-US"/>
              </w:rPr>
            </w:pPr>
            <w:r>
              <w:rPr>
                <w:rFonts w:ascii="Times New Roman" w:hAnsi="Times New Roman" w:cs="Times New Roman"/>
                <w:b/>
                <w:sz w:val="24"/>
                <w:szCs w:val="24"/>
                <w:lang w:val="en-US"/>
              </w:rPr>
              <w:t>TLI</w:t>
            </w:r>
          </w:p>
        </w:tc>
        <w:tc>
          <w:tcPr>
            <w:tcW w:w="1250" w:type="pct"/>
            <w:tcBorders>
              <w:top w:val="single" w:sz="4" w:space="0" w:color="auto"/>
              <w:bottom w:val="single" w:sz="4" w:space="0" w:color="auto"/>
            </w:tcBorders>
            <w:vAlign w:val="center"/>
          </w:tcPr>
          <w:p w14:paraId="48A7D8FE" w14:textId="77777777" w:rsidR="00984197" w:rsidRPr="00222B25" w:rsidRDefault="00984197" w:rsidP="004B2B3D">
            <w:pPr>
              <w:jc w:val="center"/>
              <w:rPr>
                <w:rFonts w:ascii="Times New Roman" w:hAnsi="Times New Roman" w:cs="Times New Roman"/>
                <w:b/>
                <w:sz w:val="24"/>
                <w:szCs w:val="24"/>
                <w:lang w:val="en-US"/>
              </w:rPr>
            </w:pPr>
            <w:r>
              <w:rPr>
                <w:rFonts w:ascii="Times New Roman" w:hAnsi="Times New Roman" w:cs="Times New Roman"/>
                <w:b/>
                <w:sz w:val="24"/>
                <w:szCs w:val="24"/>
                <w:lang w:val="en-US"/>
              </w:rPr>
              <w:t>CFI</w:t>
            </w:r>
          </w:p>
        </w:tc>
      </w:tr>
      <w:tr w:rsidR="00984197" w:rsidRPr="00DC4B83" w14:paraId="457B1527" w14:textId="77777777" w:rsidTr="004B2B3D">
        <w:trPr>
          <w:trHeight w:val="552"/>
        </w:trPr>
        <w:tc>
          <w:tcPr>
            <w:tcW w:w="1250" w:type="pct"/>
            <w:tcBorders>
              <w:top w:val="single" w:sz="4" w:space="0" w:color="auto"/>
            </w:tcBorders>
            <w:vAlign w:val="center"/>
          </w:tcPr>
          <w:p w14:paraId="2C83A211" w14:textId="77777777" w:rsidR="00984197" w:rsidRPr="00222B25" w:rsidRDefault="00984197" w:rsidP="004B2B3D">
            <w:pPr>
              <w:jc w:val="center"/>
              <w:rPr>
                <w:rFonts w:ascii="Times New Roman" w:hAnsi="Times New Roman" w:cs="Times New Roman"/>
                <w:sz w:val="24"/>
                <w:szCs w:val="24"/>
                <w:lang w:val="en-US"/>
              </w:rPr>
            </w:pPr>
            <w:r>
              <w:rPr>
                <w:rFonts w:ascii="Times New Roman" w:hAnsi="Times New Roman" w:cs="Times New Roman"/>
                <w:sz w:val="24"/>
                <w:szCs w:val="24"/>
                <w:lang w:val="en-US"/>
              </w:rPr>
              <w:t>.08</w:t>
            </w:r>
          </w:p>
        </w:tc>
        <w:tc>
          <w:tcPr>
            <w:tcW w:w="1250" w:type="pct"/>
            <w:tcBorders>
              <w:top w:val="single" w:sz="4" w:space="0" w:color="auto"/>
            </w:tcBorders>
            <w:vAlign w:val="center"/>
          </w:tcPr>
          <w:p w14:paraId="50ED31C7" w14:textId="77777777" w:rsidR="00984197" w:rsidRPr="00222B25" w:rsidRDefault="00984197" w:rsidP="004B2B3D">
            <w:pPr>
              <w:jc w:val="center"/>
              <w:rPr>
                <w:rFonts w:ascii="Times New Roman" w:hAnsi="Times New Roman" w:cs="Times New Roman"/>
                <w:sz w:val="24"/>
                <w:szCs w:val="24"/>
                <w:lang w:val="en-US"/>
              </w:rPr>
            </w:pPr>
            <w:r>
              <w:rPr>
                <w:rFonts w:ascii="Times New Roman" w:hAnsi="Times New Roman" w:cs="Times New Roman"/>
                <w:sz w:val="24"/>
                <w:szCs w:val="24"/>
                <w:lang w:val="en-US"/>
              </w:rPr>
              <w:t>.08</w:t>
            </w:r>
          </w:p>
        </w:tc>
        <w:tc>
          <w:tcPr>
            <w:tcW w:w="1250" w:type="pct"/>
            <w:tcBorders>
              <w:top w:val="single" w:sz="4" w:space="0" w:color="auto"/>
            </w:tcBorders>
            <w:vAlign w:val="center"/>
          </w:tcPr>
          <w:p w14:paraId="369B83B3" w14:textId="77777777" w:rsidR="00984197" w:rsidRPr="00222B25" w:rsidRDefault="00984197" w:rsidP="004B2B3D">
            <w:pPr>
              <w:jc w:val="center"/>
              <w:rPr>
                <w:rFonts w:ascii="Times New Roman" w:hAnsi="Times New Roman" w:cs="Times New Roman"/>
                <w:sz w:val="24"/>
                <w:szCs w:val="24"/>
                <w:lang w:val="en-US"/>
              </w:rPr>
            </w:pPr>
            <w:r>
              <w:rPr>
                <w:rFonts w:ascii="Times New Roman" w:hAnsi="Times New Roman" w:cs="Times New Roman"/>
                <w:sz w:val="24"/>
                <w:szCs w:val="24"/>
                <w:lang w:val="en-US"/>
              </w:rPr>
              <w:t>.75</w:t>
            </w:r>
          </w:p>
        </w:tc>
        <w:tc>
          <w:tcPr>
            <w:tcW w:w="1250" w:type="pct"/>
            <w:tcBorders>
              <w:top w:val="single" w:sz="4" w:space="0" w:color="auto"/>
            </w:tcBorders>
            <w:vAlign w:val="center"/>
          </w:tcPr>
          <w:p w14:paraId="07182CCB" w14:textId="77777777" w:rsidR="00984197" w:rsidRPr="00222B25" w:rsidRDefault="00984197" w:rsidP="004B2B3D">
            <w:pPr>
              <w:jc w:val="center"/>
              <w:rPr>
                <w:rFonts w:ascii="Times New Roman" w:hAnsi="Times New Roman" w:cs="Times New Roman"/>
                <w:sz w:val="24"/>
                <w:szCs w:val="24"/>
                <w:lang w:val="en-US"/>
              </w:rPr>
            </w:pPr>
            <w:r>
              <w:rPr>
                <w:rFonts w:ascii="Times New Roman" w:hAnsi="Times New Roman" w:cs="Times New Roman"/>
                <w:sz w:val="24"/>
                <w:szCs w:val="24"/>
                <w:lang w:val="en-US"/>
              </w:rPr>
              <w:t>.78</w:t>
            </w:r>
          </w:p>
        </w:tc>
      </w:tr>
      <w:tr w:rsidR="00984197" w:rsidRPr="00DC4B83" w14:paraId="4ED5807C" w14:textId="77777777" w:rsidTr="004B2B3D">
        <w:tc>
          <w:tcPr>
            <w:tcW w:w="5000" w:type="pct"/>
            <w:gridSpan w:val="4"/>
            <w:tcBorders>
              <w:top w:val="single" w:sz="12" w:space="0" w:color="auto"/>
            </w:tcBorders>
          </w:tcPr>
          <w:p w14:paraId="1DE755DB" w14:textId="77777777" w:rsidR="00984197" w:rsidRPr="005463E2" w:rsidRDefault="00984197" w:rsidP="00984197">
            <w:pPr>
              <w:rPr>
                <w:rFonts w:ascii="Times New Roman" w:hAnsi="Times New Roman" w:cs="Times New Roman"/>
                <w:sz w:val="24"/>
                <w:szCs w:val="24"/>
                <w:lang w:val="en-US"/>
              </w:rPr>
            </w:pPr>
            <w:r>
              <w:rPr>
                <w:rFonts w:ascii="Times New Roman" w:hAnsi="Times New Roman" w:cs="Times New Roman"/>
                <w:i/>
                <w:sz w:val="24"/>
                <w:szCs w:val="24"/>
                <w:lang w:val="en-US"/>
              </w:rPr>
              <w:t xml:space="preserve">Note. </w:t>
            </w:r>
            <w:r>
              <w:rPr>
                <w:rFonts w:ascii="Times New Roman" w:hAnsi="Times New Roman" w:cs="Times New Roman"/>
                <w:sz w:val="24"/>
                <w:szCs w:val="24"/>
                <w:lang w:val="en-US"/>
              </w:rPr>
              <w:t xml:space="preserve">We used </w:t>
            </w:r>
            <w:r w:rsidRPr="00182BC2">
              <w:rPr>
                <w:rFonts w:ascii="Times New Roman" w:hAnsi="Times New Roman" w:cs="Times New Roman"/>
                <w:sz w:val="24"/>
                <w:szCs w:val="24"/>
                <w:lang w:val="en-US"/>
              </w:rPr>
              <w:t xml:space="preserve">maximum likelihood estimation and </w:t>
            </w:r>
            <w:r>
              <w:rPr>
                <w:rFonts w:ascii="Times New Roman" w:hAnsi="Times New Roman" w:cs="Times New Roman"/>
                <w:sz w:val="24"/>
                <w:szCs w:val="24"/>
                <w:lang w:val="en-US"/>
              </w:rPr>
              <w:t>robust standard error estimation here. RMSEA = root mean square error of approximation, SRMR = standardized toot mean residual, TLI = Tucker Lewis index, CFI = comparative fit index. Values &lt; .07 for the RMSEA and &lt; .08 for the SRMR, as well as &gt; .95 for the TLI, and &gt; .95 for the CFI, indicate acceptable threshold levels.</w:t>
            </w:r>
            <w:bookmarkStart w:id="0" w:name="_GoBack"/>
            <w:bookmarkEnd w:id="0"/>
          </w:p>
        </w:tc>
      </w:tr>
    </w:tbl>
    <w:p w14:paraId="6FAEEB49" w14:textId="77777777" w:rsidR="00984197" w:rsidRPr="005463E2" w:rsidRDefault="00984197" w:rsidP="00984197">
      <w:pPr>
        <w:rPr>
          <w:rFonts w:ascii="Times New Roman" w:hAnsi="Times New Roman" w:cs="Times New Roman"/>
          <w:sz w:val="24"/>
          <w:szCs w:val="24"/>
          <w:lang w:val="en-US"/>
        </w:rPr>
      </w:pPr>
    </w:p>
    <w:p w14:paraId="24855259" w14:textId="77777777" w:rsidR="00984197" w:rsidRPr="005463E2" w:rsidRDefault="00530BC8" w:rsidP="00984197">
      <w:pPr>
        <w:rPr>
          <w:rFonts w:ascii="Times New Roman" w:hAnsi="Times New Roman" w:cs="Times New Roman"/>
          <w:sz w:val="24"/>
          <w:szCs w:val="24"/>
          <w:lang w:val="en-US"/>
        </w:rPr>
      </w:pP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χ</m:t>
            </m:r>
          </m:e>
          <m:sup>
            <m:r>
              <w:rPr>
                <w:rFonts w:ascii="Cambria Math" w:hAnsi="Cambria Math" w:cs="Times New Roman"/>
                <w:sz w:val="24"/>
                <w:szCs w:val="24"/>
                <w:lang w:val="en-US"/>
              </w:rPr>
              <m:t>2</m:t>
            </m:r>
          </m:sup>
        </m:sSup>
      </m:oMath>
      <w:r w:rsidR="00984197" w:rsidRPr="005463E2">
        <w:rPr>
          <w:rFonts w:ascii="Times New Roman" w:eastAsiaTheme="minorEastAsia" w:hAnsi="Times New Roman" w:cs="Times New Roman"/>
          <w:sz w:val="24"/>
          <w:szCs w:val="24"/>
          <w:lang w:val="en-US"/>
        </w:rPr>
        <w:t xml:space="preserve"> (</w:t>
      </w:r>
      <w:r w:rsidR="00984197">
        <w:rPr>
          <w:rFonts w:ascii="Times New Roman" w:eastAsiaTheme="minorEastAsia" w:hAnsi="Times New Roman" w:cs="Times New Roman"/>
          <w:sz w:val="24"/>
          <w:szCs w:val="24"/>
          <w:lang w:val="en-US"/>
        </w:rPr>
        <w:t>149</w:t>
      </w:r>
      <w:r w:rsidR="00984197" w:rsidRPr="005463E2">
        <w:rPr>
          <w:rFonts w:ascii="Times New Roman" w:eastAsiaTheme="minorEastAsia" w:hAnsi="Times New Roman" w:cs="Times New Roman"/>
          <w:sz w:val="24"/>
          <w:szCs w:val="24"/>
          <w:lang w:val="en-US"/>
        </w:rPr>
        <w:t xml:space="preserve">) = </w:t>
      </w:r>
      <w:r w:rsidR="00984197">
        <w:rPr>
          <w:rFonts w:ascii="Times New Roman" w:eastAsiaTheme="minorEastAsia" w:hAnsi="Times New Roman" w:cs="Times New Roman"/>
          <w:sz w:val="24"/>
          <w:szCs w:val="24"/>
          <w:lang w:val="en-US"/>
        </w:rPr>
        <w:t>363.092</w:t>
      </w:r>
      <w:r w:rsidR="00984197" w:rsidRPr="005463E2">
        <w:rPr>
          <w:rFonts w:ascii="Times New Roman" w:eastAsiaTheme="minorEastAsia" w:hAnsi="Times New Roman" w:cs="Times New Roman"/>
          <w:sz w:val="24"/>
          <w:szCs w:val="24"/>
          <w:lang w:val="en-US"/>
        </w:rPr>
        <w:t xml:space="preserve">, </w:t>
      </w:r>
      <w:r w:rsidR="00984197" w:rsidRPr="005463E2">
        <w:rPr>
          <w:rFonts w:ascii="Times New Roman" w:eastAsiaTheme="minorEastAsia" w:hAnsi="Times New Roman" w:cs="Times New Roman"/>
          <w:i/>
          <w:sz w:val="24"/>
          <w:szCs w:val="24"/>
          <w:lang w:val="en-US"/>
        </w:rPr>
        <w:t>p</w:t>
      </w:r>
      <w:r w:rsidR="00984197" w:rsidRPr="005463E2">
        <w:rPr>
          <w:rFonts w:ascii="Times New Roman" w:eastAsiaTheme="minorEastAsia" w:hAnsi="Times New Roman" w:cs="Times New Roman"/>
          <w:sz w:val="24"/>
          <w:szCs w:val="24"/>
          <w:lang w:val="en-US"/>
        </w:rPr>
        <w:t xml:space="preserve"> &lt; .001</w:t>
      </w:r>
    </w:p>
    <w:p w14:paraId="29B4D981" w14:textId="77777777" w:rsidR="00984197" w:rsidRDefault="00984197" w:rsidP="00182BC2">
      <w:pPr>
        <w:rPr>
          <w:rFonts w:ascii="Times New Roman" w:hAnsi="Times New Roman" w:cs="Times New Roman"/>
          <w:sz w:val="24"/>
          <w:szCs w:val="24"/>
          <w:lang w:val="en-US"/>
        </w:rPr>
      </w:pPr>
    </w:p>
    <w:p w14:paraId="1A08F40C" w14:textId="77777777" w:rsidR="009E72F8" w:rsidRPr="00182BC2" w:rsidRDefault="009E72F8" w:rsidP="009E72F8">
      <w:pPr>
        <w:spacing w:before="100" w:beforeAutospacing="1" w:after="100" w:afterAutospacing="1" w:line="240" w:lineRule="auto"/>
        <w:rPr>
          <w:rFonts w:ascii="Times New Roman" w:eastAsia="Times New Roman" w:hAnsi="Times New Roman" w:cs="Times New Roman"/>
          <w:color w:val="333333"/>
          <w:sz w:val="24"/>
          <w:szCs w:val="24"/>
          <w:lang w:val="en-US" w:eastAsia="de-DE"/>
        </w:rPr>
      </w:pPr>
      <w:r w:rsidRPr="00182BC2">
        <w:rPr>
          <w:rFonts w:ascii="Times New Roman" w:eastAsia="Times New Roman" w:hAnsi="Times New Roman" w:cs="Times New Roman"/>
          <w:color w:val="333333"/>
          <w:sz w:val="24"/>
          <w:szCs w:val="24"/>
          <w:lang w:val="en-US" w:eastAsia="de-DE"/>
        </w:rPr>
        <w:t> </w:t>
      </w:r>
    </w:p>
    <w:p w14:paraId="64871D17" w14:textId="77777777" w:rsidR="009E72F8" w:rsidRPr="00182BC2" w:rsidRDefault="009E72F8">
      <w:pPr>
        <w:rPr>
          <w:rFonts w:ascii="Times New Roman" w:hAnsi="Times New Roman" w:cs="Times New Roman"/>
          <w:sz w:val="24"/>
          <w:szCs w:val="24"/>
          <w:lang w:val="en-US"/>
        </w:rPr>
      </w:pPr>
    </w:p>
    <w:sectPr w:rsidR="009E72F8" w:rsidRPr="00182BC2" w:rsidSect="00984197">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1E3"/>
    <w:rsid w:val="00182BC2"/>
    <w:rsid w:val="002121A2"/>
    <w:rsid w:val="003A1A51"/>
    <w:rsid w:val="004811E3"/>
    <w:rsid w:val="00530BC8"/>
    <w:rsid w:val="005F7DDD"/>
    <w:rsid w:val="006151DD"/>
    <w:rsid w:val="006F75D8"/>
    <w:rsid w:val="00784506"/>
    <w:rsid w:val="00984197"/>
    <w:rsid w:val="009E72F8"/>
    <w:rsid w:val="00AB72A9"/>
    <w:rsid w:val="00C46804"/>
    <w:rsid w:val="00DC4B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25CE2"/>
  <w15:chartTrackingRefBased/>
  <w15:docId w15:val="{DA883411-B696-4EF5-9C58-3189EB1A4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9E72F8"/>
    <w:pPr>
      <w:spacing w:before="100" w:beforeAutospacing="1" w:after="180" w:line="240" w:lineRule="auto"/>
      <w:outlineLvl w:val="0"/>
    </w:pPr>
    <w:rPr>
      <w:rFonts w:ascii="Times New Roman" w:eastAsia="Times New Roman" w:hAnsi="Times New Roman" w:cs="Times New Roman"/>
      <w:b/>
      <w:bCs/>
      <w:color w:val="3E6DA9"/>
      <w:kern w:val="36"/>
      <w:sz w:val="38"/>
      <w:szCs w:val="3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E72F8"/>
    <w:rPr>
      <w:rFonts w:ascii="Times New Roman" w:eastAsia="Times New Roman" w:hAnsi="Times New Roman" w:cs="Times New Roman"/>
      <w:b/>
      <w:bCs/>
      <w:color w:val="3E6DA9"/>
      <w:kern w:val="36"/>
      <w:sz w:val="38"/>
      <w:szCs w:val="38"/>
      <w:lang w:eastAsia="de-DE"/>
    </w:rPr>
  </w:style>
  <w:style w:type="paragraph" w:styleId="StandardWeb">
    <w:name w:val="Normal (Web)"/>
    <w:basedOn w:val="Standard"/>
    <w:uiPriority w:val="99"/>
    <w:semiHidden/>
    <w:unhideWhenUsed/>
    <w:rsid w:val="009E72F8"/>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212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121A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121A2"/>
    <w:rPr>
      <w:rFonts w:ascii="Segoe UI" w:hAnsi="Segoe UI" w:cs="Segoe UI"/>
      <w:sz w:val="18"/>
      <w:szCs w:val="18"/>
    </w:rPr>
  </w:style>
  <w:style w:type="character" w:styleId="Funotenzeichen">
    <w:name w:val="footnote reference"/>
    <w:basedOn w:val="Absatz-Standardschriftart"/>
    <w:uiPriority w:val="99"/>
    <w:semiHidden/>
    <w:unhideWhenUsed/>
    <w:rsid w:val="00182BC2"/>
    <w:rPr>
      <w:vertAlign w:val="superscript"/>
    </w:rPr>
  </w:style>
  <w:style w:type="character" w:styleId="Kommentarzeichen">
    <w:name w:val="annotation reference"/>
    <w:basedOn w:val="Absatz-Standardschriftart"/>
    <w:uiPriority w:val="99"/>
    <w:semiHidden/>
    <w:unhideWhenUsed/>
    <w:rsid w:val="00DC4B83"/>
    <w:rPr>
      <w:sz w:val="16"/>
      <w:szCs w:val="16"/>
    </w:rPr>
  </w:style>
  <w:style w:type="paragraph" w:styleId="Kommentartext">
    <w:name w:val="annotation text"/>
    <w:basedOn w:val="Standard"/>
    <w:link w:val="KommentartextZchn"/>
    <w:uiPriority w:val="99"/>
    <w:semiHidden/>
    <w:unhideWhenUsed/>
    <w:rsid w:val="00DC4B8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C4B83"/>
    <w:rPr>
      <w:sz w:val="20"/>
      <w:szCs w:val="20"/>
    </w:rPr>
  </w:style>
  <w:style w:type="paragraph" w:styleId="Kommentarthema">
    <w:name w:val="annotation subject"/>
    <w:basedOn w:val="Kommentartext"/>
    <w:next w:val="Kommentartext"/>
    <w:link w:val="KommentarthemaZchn"/>
    <w:uiPriority w:val="99"/>
    <w:semiHidden/>
    <w:unhideWhenUsed/>
    <w:rsid w:val="00DC4B83"/>
    <w:rPr>
      <w:b/>
      <w:bCs/>
    </w:rPr>
  </w:style>
  <w:style w:type="character" w:customStyle="1" w:styleId="KommentarthemaZchn">
    <w:name w:val="Kommentarthema Zchn"/>
    <w:basedOn w:val="KommentartextZchn"/>
    <w:link w:val="Kommentarthema"/>
    <w:uiPriority w:val="99"/>
    <w:semiHidden/>
    <w:rsid w:val="00DC4B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95658">
      <w:bodyDiv w:val="1"/>
      <w:marLeft w:val="360"/>
      <w:marRight w:val="360"/>
      <w:marTop w:val="360"/>
      <w:marBottom w:val="3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32713-8333-4B88-B95D-B2F5B83A4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2218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Philipps-Universität Marburg</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Kirchner</dc:creator>
  <cp:keywords/>
  <dc:description/>
  <cp:lastModifiedBy>Lukas Kirchner</cp:lastModifiedBy>
  <cp:revision>10</cp:revision>
  <dcterms:created xsi:type="dcterms:W3CDTF">2022-08-30T10:42:00Z</dcterms:created>
  <dcterms:modified xsi:type="dcterms:W3CDTF">2023-08-17T16:01:00Z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8e012cd5-0ccc-3a62-b5ff-de54751815dc</vt:lpwstr>
  </property>
  <property fmtid="{D5CDD505-2E9C-101B-9397-08002B2CF9AE}" pid="24" name="Mendeley Citation Style_1">
    <vt:lpwstr>http://www.zotero.org/styles/apa</vt:lpwstr>
  </property>
</Properties>
</file>