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>Table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>1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A univariate comparison of patient characteristics after propensity score matching with and without dysphagia.</w:t>
      </w:r>
    </w:p>
    <w:p>
      <w:pPr>
        <w:jc w:val="both"/>
        <w:rPr>
          <w:rFonts w:hint="default" w:ascii="Times New Roman" w:hAnsi="Times New Roman" w:cs="Times New Roman"/>
          <w:color w:val="auto"/>
          <w:sz w:val="21"/>
          <w:szCs w:val="21"/>
        </w:rPr>
      </w:pPr>
    </w:p>
    <w:tbl>
      <w:tblPr>
        <w:tblStyle w:val="2"/>
        <w:tblW w:w="577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1"/>
        <w:gridCol w:w="2052"/>
        <w:gridCol w:w="2062"/>
        <w:gridCol w:w="2026"/>
        <w:gridCol w:w="9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(n=1220)</w:t>
            </w:r>
          </w:p>
        </w:tc>
        <w:tc>
          <w:tcPr>
            <w:tcW w:w="1047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Without dysphagia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(n=976)</w:t>
            </w:r>
          </w:p>
        </w:tc>
        <w:tc>
          <w:tcPr>
            <w:tcW w:w="102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Dysphagia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(n=244)</w:t>
            </w:r>
          </w:p>
        </w:tc>
        <w:tc>
          <w:tcPr>
            <w:tcW w:w="500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5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General characteristics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Age (years old)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73.95 (63.45, 83.76)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73.61 (62.96, 83.63)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75.27 (64.95, 84.58)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Sex(%)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638 (52.3)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506 (51.8)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132 (54.1)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582 (47.7)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470 (48.2)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 (45.9)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Race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&gt;0.999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White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852 (69.8)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(69.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170 (69.7)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Others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superscript"/>
                <w:lang w:val="en-US" w:eastAsia="zh-CN"/>
              </w:rPr>
              <w:t>&amp;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368 (30.2)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(30.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 (30.3)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Language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English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 (90.2)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Unknown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 (9.8)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eight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(kg)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75.67 (63.60, 89.90)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75.85 (63.65, 90.00)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75.00 (62.45, 87.33)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ospital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LOS (days)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7.02 (3.90, 13.61)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6.95 (3.79, 13.60)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7.19 (4.57, 13.62)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ICU LOS (hours)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Scores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GCS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13.00 (9.00, 14.00)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14.00 (10.00, 14.00)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12.00 (9.00, 14.00)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SOFA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3.00 (2.00, 5.00)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3.00 (2.00, 5.00)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4.00 (2.00, 6.00)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Braden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score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16.00 (14.00, 18.00)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16.00 (14.00, 18.00)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15.00 (13.00, 16.00)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Comorbidities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or neurological symptoms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Myocardial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infarct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228 (18.7)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185 (19.0)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 (17.6)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992 (81.3)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791 (81.0)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201 (82.4)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Congestive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heart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failure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354 (29.0)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283 (29.0)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71 (29.1)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866 (71.0)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693 (71.0)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173 (70.9)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ementia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 (8.0)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 (6.2)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 (14.8)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1123 (92.0)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 (93.8)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208 (85.2)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Chronic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pulmonary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disease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245 (20.1)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191 (19.6)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54 (22.1)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975 (79.9)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785 (80.4)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190 (77.9)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Rheumatic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disease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&gt;0.999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 (3.5)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 (3.5)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 (3.7)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1177 (96.5)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942 (96.5)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235 (96.3)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Mild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liver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disease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 (4.6)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43 (4.4)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 (5.3)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1164 (95.4)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933 (95.6)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231 (94.7)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iabetes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395 (32.4)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319 (32.7)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 (31.1)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825 (67.6)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657 (67.3)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168 (68.9)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enal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disease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249 (20.4)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193 (19.8)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 (23.0)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971 (79.6)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783 (80.2)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188 (77.0)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Malignant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cancer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93 (7.6)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67 (6.9)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 (10.7)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1127 (92.4)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909 (93.1)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218 (89.3)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Severe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liver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disease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 (1.3)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 (1.1)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 (2.0)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1204 (98.7)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965 (98.9)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239 (98.0)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Atrial fibrillation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449 (36.8)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360 (36.9)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 (36.5)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771 (63.2)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616 (63.1)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155 (63.5)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ypertension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641 (52.5)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526 (53.9)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115 (47.1)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579 (47.5)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450 (46.1)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129 (52.9)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epsis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456 (37.4)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360 (36.9)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 (39.3)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764 (62.6)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616 (63.1)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148 (60.7)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epression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132 (10.8)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 (10.6)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 (11.9)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1088 (89.2)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873 (89.4)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215 (88.1)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alnutrition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 (6.8)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 (6.0)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 (9.8)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1137 (93.2)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917 (94.0)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 (90.2)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Dehydration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153 (12.5)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114 (11.7)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 (16.0)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1067 (87.5)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862 (88.3)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205 (84.0)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History of falls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381 (31.2)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301 (30.8)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 (32.8)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839 (68.8)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675 (69.2)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 (67.2)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History of stroke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 (8.7)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 (7.4)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 (13.9)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1114 (91.3)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904 (92.6)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 (86.1)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Visual or hearing deficit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743 (60.9)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589 (60.3)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 (63.1)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477/ (39.1)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387 (39.7)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154 (36.9)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Aphasic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236 (19.3)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167 (17.1)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 (28.3)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984 (80.7)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809 (82.9)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175 (71.7)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Laboratory parameters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W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hite blood cell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(K/uL)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9.60 (7.40, 12.90)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9.60 (7.40, 12.70)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9.70 (7.30, 13.80)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blood cell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(m/uL)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3.94 (3.40, 4.47)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3.95 (3.40, 4.47)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3.91 (3.44, 4.50)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latelet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(K/uL)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214.00 (166.00, 265.00)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214.00 (166.00, 264.25)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219.00 (163.50, 270.25)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emoglobin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(g/dL)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11.90 (10.10, 13.40)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11.90 (10.20, 13.40)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11.90 (10.10, 13.40)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otassium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(mEq/L)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4.10 (3.80, 4.50)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4.10 (3.80, 4.50)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4.10 (3.80, 4.43)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odium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(mEq/L)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139.00 (137.00, 142.00)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139.00 (136.00, 141.00)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140.00 (137.00, 142.00)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lucose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(mg/dL)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125.00 (103.00, 160.00)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127.00 (103.00, 161.00)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120.00 (104.00, 152.50)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lbumin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(g/dL)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3.60 (3.30, 4.00)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3.60 (3.30, 4.00)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3.50 (3.18, 4.00)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Treatment and drugs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Enteral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nutrition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313 (25.7)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229 (23.5)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 (34.4)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907 (74.3)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747 (76.5)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160 (65.6)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Mechanical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thrombectomy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146 (12.0)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 (12.3)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 (10.7)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1074 (88.0)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856 (87.7)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218 (89.3)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Alteplase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 (9.8)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 (10.0)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 (9.0)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1100 (90.2)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878 (90.0)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222 (91.0)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RRT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 (5.4)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 (5.6)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 (4.5)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1154 (94.6)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921 (94.4)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233 (95.5)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edatives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^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298 (24.4)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239 (24.5)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 (24.2)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922 (75.6)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737 (75.5)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185 (75.8)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IMV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266 (21.8)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225 (23.1)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 (16.8)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954 (78.2)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751 (76.9)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203 (83.2)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Outcomes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Delirium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623 (51.1)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475 (48.7)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148 (60.7)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597 (48.9)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501 (51.3)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96 (39.3)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Pressure injury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176 (14.4)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126 (12.9)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 (20.5)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1044 (85.6)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850 (87.1)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194 (79.5)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Urinary tract infection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233 (19.1)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173 (17.7)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 (24.6)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987 (80.9)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803 (82.3)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184 (75.4)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Aspiration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pneumonia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119 (9.8)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 (8.2)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 (16.0)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1101 (90.2)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896 (91.8)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205 (84.0)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-day mortality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Alive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1018 (83.4)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827 (84.7)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191 (78.3)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Expired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 (16.6)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149 (15.3)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 (21.7)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-day mortality (%)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Alive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852 (69.8)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705 (72.2)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147 (60.2)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8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Expired</w:t>
            </w:r>
          </w:p>
        </w:tc>
        <w:tc>
          <w:tcPr>
            <w:tcW w:w="104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368 (30.2)</w:t>
            </w:r>
          </w:p>
        </w:tc>
        <w:tc>
          <w:tcPr>
            <w:tcW w:w="10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 (27.8)</w:t>
            </w:r>
          </w:p>
        </w:tc>
        <w:tc>
          <w:tcPr>
            <w:tcW w:w="102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97 (39.8)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  <w:color w:val="auto"/>
          <w:sz w:val="21"/>
          <w:szCs w:val="21"/>
        </w:rPr>
      </w:pPr>
    </w:p>
    <w:p>
      <w:pP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Abbreviation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s: LOS: Length of Stay;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GCS: Glasgow Coma Score; SOFA: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equential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O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rgan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ailure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ssessment; RRT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enal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eplacement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herapy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; IMV: Invasive Mechanical Ventilation.</w:t>
      </w:r>
    </w:p>
    <w:p>
      <w:pP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Note:</w:t>
      </w:r>
    </w:p>
    <w:p>
      <w:pP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vertAlign w:val="superscript"/>
          <w:lang w:val="en-US" w:eastAsia="zh-CN"/>
        </w:rPr>
        <w:t>&amp;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Other mainly included Black, Hispanic, Asian, etc;</w:t>
      </w:r>
    </w:p>
    <w:p>
      <w:pPr>
        <w:ind w:firstLine="210" w:firstLineChars="100"/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^Sedatives mainly included benzodiazepines, propofol and dexmedetomidine;</w:t>
      </w:r>
    </w:p>
    <w:p>
      <w:pP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Median and interquartile range (25th and 75th percentiles) were computed for continuous variables, and frequencies and percentages were computed for categorical variables.</w:t>
      </w:r>
    </w:p>
    <w:p>
      <w:pP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 xml:space="preserve">The Wilcoxon rank-sum test was used to compare group differences for continuous variables and chi-square tests were used to compare those of categorical variables. </w:t>
      </w:r>
    </w:p>
    <w:p>
      <w:pPr>
        <w:rPr>
          <w:color w:val="auto"/>
        </w:rPr>
      </w:pP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rPr>
          <w:color w:val="auto"/>
        </w:rPr>
      </w:pPr>
    </w:p>
    <w:p>
      <w:pPr>
        <w:widowControl/>
        <w:shd w:val="clear" w:color="auto" w:fill="FFFFFF"/>
        <w:spacing w:before="145" w:after="145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hint="eastAsia" w:ascii="Times New Roman" w:hAnsi="Times New Roman"/>
          <w:b/>
          <w:color w:val="auto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/>
          <w:b/>
          <w:color w:val="auto"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color w:val="auto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Logistic regression after propensity score matching: association between dysphagia and primary/secondary study outcomes.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 xml:space="preserve"> 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1548"/>
        <w:gridCol w:w="2088"/>
        <w:gridCol w:w="124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332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48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o-dysphagia</w:t>
            </w:r>
          </w:p>
        </w:tc>
        <w:tc>
          <w:tcPr>
            <w:tcW w:w="208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ysphagia</w:t>
            </w:r>
          </w:p>
        </w:tc>
        <w:tc>
          <w:tcPr>
            <w:tcW w:w="1242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ORs (95% CIs)</w:t>
            </w:r>
          </w:p>
        </w:tc>
        <w:tc>
          <w:tcPr>
            <w:tcW w:w="0" w:type="auto"/>
            <w:vMerge w:val="continue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Delirium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superscript"/>
              </w:rPr>
              <w:t>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PSM model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Adjusted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PSM model</w:t>
            </w:r>
          </w:p>
        </w:tc>
        <w:tc>
          <w:tcPr>
            <w:tcW w:w="154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208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62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, 2.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41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96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&lt;0.001*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Aspiration pneumonia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>&amp;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PSM model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Adjusted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PSM model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39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&lt;0.001*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&lt;0.001*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Pressure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njury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>$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PSM model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Adjusted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PSM model</w:t>
            </w:r>
          </w:p>
        </w:tc>
        <w:tc>
          <w:tcPr>
            <w:tcW w:w="154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74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52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*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*</w:t>
            </w:r>
          </w:p>
        </w:tc>
      </w:tr>
    </w:tbl>
    <w:p>
      <w:pPr>
        <w:widowControl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1"/>
          <w:szCs w:val="21"/>
        </w:rPr>
      </w:pPr>
    </w:p>
    <w:p>
      <w:pPr>
        <w:widowControl/>
        <w:jc w:val="left"/>
        <w:textAlignment w:val="center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Abbreviation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s: ORs: Odds Ratios; CIs: C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onfidence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I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nterval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s; PSM: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Propensity Score Matching.</w:t>
      </w:r>
    </w:p>
    <w:p>
      <w:pPr>
        <w:widowControl/>
        <w:jc w:val="left"/>
        <w:textAlignment w:val="center"/>
        <w:rPr>
          <w:rFonts w:hint="default" w:ascii="Times New Roman" w:hAnsi="Times New Roman" w:eastAsia="等线" w:cs="Times New Roman"/>
          <w:color w:val="auto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>Note:</w:t>
      </w:r>
    </w:p>
    <w:p>
      <w:pPr>
        <w:rPr>
          <w:rFonts w:hint="eastAsia" w:eastAsia="等线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Logistic regression models were used to calculate odds ratios (ORs) with 95% confidence intervals (CIs).</w:t>
      </w:r>
    </w:p>
    <w:p>
      <w:pPr>
        <w:rPr>
          <w:rFonts w:hint="eastAsia"/>
          <w:color w:val="auto"/>
        </w:rPr>
      </w:pPr>
      <w:r>
        <w:rPr>
          <w:rFonts w:hint="eastAsia" w:ascii="Times New Roman" w:hAnsi="Times New Roman"/>
          <w:color w:val="auto"/>
          <w:lang w:val="en-US" w:eastAsia="zh-CN"/>
        </w:rPr>
        <w:t>*</w:t>
      </w:r>
      <w:r>
        <w:rPr>
          <w:rFonts w:hint="eastAsia" w:ascii="Times New Roman" w:hAnsi="Times New Roman"/>
          <w:color w:val="auto"/>
        </w:rPr>
        <w:t>Significant difference between patients with dysphagia and without dysphagia (p &lt; 0.05).</w:t>
      </w:r>
      <w:r>
        <w:rPr>
          <w:rFonts w:hint="eastAsia" w:ascii="宋体" w:hAnsi="宋体"/>
          <w:color w:val="auto"/>
        </w:rPr>
        <w:t xml:space="preserve"> </w:t>
      </w:r>
      <w:r>
        <w:rPr>
          <w:rFonts w:hint="eastAsia"/>
          <w:color w:val="auto"/>
        </w:rPr>
        <w:t xml:space="preserve"> </w:t>
      </w:r>
    </w:p>
    <w:p>
      <w:pPr>
        <w:widowControl/>
        <w:jc w:val="left"/>
        <w:textAlignment w:val="center"/>
        <w:rPr>
          <w:rFonts w:hint="default" w:ascii="Times New Roman" w:hAnsi="Times New Roman" w:cs="Times New Roman"/>
          <w:color w:val="auto"/>
          <w:sz w:val="21"/>
          <w:szCs w:val="21"/>
        </w:rPr>
      </w:pPr>
    </w:p>
    <w:p>
      <w:pPr>
        <w:widowControl/>
        <w:jc w:val="left"/>
        <w:textAlignment w:val="center"/>
        <w:rPr>
          <w:rFonts w:hint="eastAsia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vertAlign w:val="superscript"/>
        </w:rPr>
        <w:t>●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>elirium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was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 adjusted for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age, sex, race, dementia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, depression, sedatives, history of falls, visual or hearing deficit, SOFA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 and GCS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;</w:t>
      </w:r>
    </w:p>
    <w:p>
      <w:pPr>
        <w:widowControl/>
        <w:jc w:val="left"/>
        <w:textAlignment w:val="center"/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u w:val="none"/>
          <w:vertAlign w:val="superscript"/>
          <w:lang w:val="en-US" w:eastAsia="zh-CN" w:bidi="ar"/>
        </w:rPr>
        <w:t>&amp;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>Aspiration pneumonia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w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as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 adjusted for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age, sex, race,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GCS and SOFA;</w:t>
      </w:r>
    </w:p>
    <w:p>
      <w:pPr>
        <w:widowControl/>
        <w:jc w:val="left"/>
        <w:textAlignment w:val="center"/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vertAlign w:val="superscript"/>
          <w:lang w:val="en-US" w:eastAsia="zh-CN"/>
        </w:rPr>
        <w:t>$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Pressure Injury was adjusted for age, sex, race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, GCS, SOFA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 and Braden 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>scale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</w:p>
    <w:p>
      <w:pPr>
        <w:widowControl/>
        <w:shd w:val="clear" w:color="auto" w:fill="FFFFFF"/>
        <w:spacing w:before="145" w:after="145"/>
        <w:jc w:val="center"/>
        <w:rPr>
          <w:rFonts w:hint="eastAsia" w:ascii="Times New Roman" w:hAnsi="Times New Roman" w:eastAsiaTheme="minorEastAsia"/>
          <w:color w:val="auto"/>
          <w:sz w:val="24"/>
          <w:szCs w:val="24"/>
          <w:lang w:val="en-US" w:eastAsia="zh-CN"/>
        </w:rPr>
      </w:pPr>
      <w:r>
        <w:rPr>
          <w:color w:val="auto"/>
        </w:rPr>
        <w:br w:type="page"/>
      </w:r>
      <w:r>
        <w:rPr>
          <w:rFonts w:hint="eastAsia" w:ascii="Times New Roman" w:hAnsi="Times New Roman"/>
          <w:b/>
          <w:color w:val="auto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/>
          <w:b/>
          <w:color w:val="auto"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color w:val="auto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Sensitivity analysis: Association between dysphagia and delirium after exclusion of specific populations.</w:t>
      </w:r>
    </w:p>
    <w:tbl>
      <w:tblPr>
        <w:tblStyle w:val="3"/>
        <w:tblW w:w="692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1412"/>
        <w:gridCol w:w="2084"/>
        <w:gridCol w:w="109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332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2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Without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dysphagia</w:t>
            </w:r>
          </w:p>
        </w:tc>
        <w:tc>
          <w:tcPr>
            <w:tcW w:w="208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ysphagia</w:t>
            </w:r>
          </w:p>
        </w:tc>
        <w:tc>
          <w:tcPr>
            <w:tcW w:w="1092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32" w:type="dxa"/>
            <w:vMerge w:val="continue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2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84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ORs (95% CIs)</w:t>
            </w:r>
          </w:p>
        </w:tc>
        <w:tc>
          <w:tcPr>
            <w:tcW w:w="1092" w:type="dxa"/>
            <w:vMerge w:val="continue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superscrip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Delirium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superscript"/>
              </w:rPr>
              <w:t>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Model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Unadjusted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Adjusted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2084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64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, 2.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95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44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&lt;0.001*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superscript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Delirium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vertAlign w:val="superscript"/>
              </w:rPr>
              <w:t>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Model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Unadjusted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Adjusted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Reference</w:t>
            </w:r>
          </w:p>
        </w:tc>
        <w:tc>
          <w:tcPr>
            <w:tcW w:w="20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47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80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41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79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 xml:space="preserve"> (1.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, 2.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59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)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&lt;0.001*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0.00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</w:rPr>
              <w:t>*</w:t>
            </w:r>
          </w:p>
        </w:tc>
      </w:tr>
    </w:tbl>
    <w:p>
      <w:pPr>
        <w:widowControl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1"/>
          <w:szCs w:val="21"/>
        </w:rPr>
      </w:pPr>
    </w:p>
    <w:p>
      <w:pPr>
        <w:widowControl/>
        <w:jc w:val="left"/>
        <w:textAlignment w:val="center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Abbreviation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s: ORs: odds ratios; CIs: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confidence interval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s.</w:t>
      </w:r>
    </w:p>
    <w:p>
      <w:pPr>
        <w:rPr>
          <w:color w:val="auto"/>
        </w:rPr>
      </w:pPr>
    </w:p>
    <w:p>
      <w:pPr>
        <w:widowControl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>Note:</w:t>
      </w:r>
    </w:p>
    <w:p>
      <w:pPr>
        <w:widowControl/>
        <w:jc w:val="left"/>
        <w:textAlignment w:val="center"/>
        <w:rPr>
          <w:rFonts w:hint="default" w:ascii="Times New Roman" w:hAnsi="Times New Roman" w:cs="Times New Roman"/>
          <w:color w:val="auto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In model 1, patients with a history of stroke were excluded (n = 133), and in model 2, patients with aphasia were excluded (n = 284).</w:t>
      </w:r>
    </w:p>
    <w:p>
      <w:pP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Logistic regression models were used to calculate odds ratios (ORs) with 95% confidence intervals (CIs).</w:t>
      </w:r>
    </w:p>
    <w:p>
      <w:pPr>
        <w:rPr>
          <w:rFonts w:hint="eastAsia"/>
          <w:color w:val="auto"/>
        </w:rPr>
      </w:pPr>
      <w:r>
        <w:rPr>
          <w:rFonts w:hint="eastAsia" w:ascii="Times New Roman" w:hAnsi="Times New Roman"/>
          <w:color w:val="auto"/>
          <w:lang w:val="en-US" w:eastAsia="zh-CN"/>
        </w:rPr>
        <w:t>*</w:t>
      </w:r>
      <w:r>
        <w:rPr>
          <w:rFonts w:hint="eastAsia" w:ascii="Times New Roman" w:hAnsi="Times New Roman"/>
          <w:color w:val="auto"/>
        </w:rPr>
        <w:t>Significant difference between patients with dysphagia and without dysphagia (p &lt; 0.05).</w:t>
      </w:r>
      <w:r>
        <w:rPr>
          <w:rFonts w:hint="eastAsia" w:ascii="宋体" w:hAnsi="宋体"/>
          <w:color w:val="auto"/>
        </w:rPr>
        <w:t xml:space="preserve"> </w:t>
      </w:r>
      <w:r>
        <w:rPr>
          <w:rFonts w:hint="eastAsia"/>
          <w:color w:val="auto"/>
        </w:rPr>
        <w:t xml:space="preserve"> </w:t>
      </w:r>
    </w:p>
    <w:p>
      <w:pPr>
        <w:widowControl/>
        <w:jc w:val="left"/>
        <w:textAlignment w:val="center"/>
        <w:rPr>
          <w:rFonts w:hint="eastAsia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vertAlign w:val="superscript"/>
        </w:rPr>
        <w:t>●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1"/>
          <w:szCs w:val="21"/>
          <w:u w:val="none"/>
          <w:lang w:val="en-US" w:eastAsia="zh-CN" w:bidi="ar"/>
        </w:rPr>
        <w:t>A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djusted for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age, sex, race, dementia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, depression, sedatives, history of falls, visual or hearing deficit, SOFA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 xml:space="preserve"> and GCS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;</w:t>
      </w:r>
    </w:p>
    <w:p>
      <w:pPr>
        <w:rPr>
          <w:color w:val="auto"/>
        </w:rPr>
      </w:pPr>
      <w:r>
        <w:rPr>
          <w:color w:val="auto"/>
        </w:rPr>
        <w:br w:type="page"/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Figure.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A certificate to access the MIMIC-IV database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4069080"/>
            <wp:effectExtent l="0" t="0" r="1905" b="7620"/>
            <wp:docPr id="2" name="图片 2" descr="e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Figur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Note: </w:t>
      </w:r>
      <w:r>
        <w:rPr>
          <w:rFonts w:ascii="Times New Roman" w:hAnsi="Times New Roman" w:eastAsia="宋体" w:cs="Times New Roman"/>
          <w:sz w:val="24"/>
          <w:szCs w:val="24"/>
        </w:rPr>
        <w:t>One of our authors (Hongtao Cheng) received a certificate to access the database after completing the training (record ID: 45369280)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p>
      <w:pPr>
        <w:jc w:val="center"/>
        <w:rPr>
          <w:rFonts w:hint="eastAsia" w:eastAsiaTheme="minorEastAsia"/>
          <w:lang w:val="en-US" w:eastAsia="zh-CN"/>
        </w:rPr>
      </w:pPr>
      <w:r>
        <w:br w:type="page"/>
      </w:r>
      <w:r>
        <w:rPr>
          <w:rFonts w:hint="eastAsia" w:ascii="Times New Roman" w:hAnsi="Times New Roman"/>
          <w:b/>
          <w:bCs/>
          <w:sz w:val="24"/>
          <w:szCs w:val="24"/>
        </w:rPr>
        <w:t>eFigure.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The missing rate of features extracted across MIMI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C</w:t>
      </w:r>
      <w:r>
        <w:rPr>
          <w:rFonts w:hint="eastAsia" w:ascii="Times New Roman" w:hAnsi="Times New Roman"/>
          <w:b/>
          <w:bCs/>
          <w:sz w:val="24"/>
          <w:szCs w:val="24"/>
        </w:rPr>
        <w:t>-IV databases.</w:t>
      </w:r>
    </w:p>
    <w:p/>
    <w:p>
      <w:pPr>
        <w:jc w:val="center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4348480" cy="6139180"/>
            <wp:effectExtent l="0" t="0" r="4445" b="4445"/>
            <wp:docPr id="4" name="图片 4" descr="缺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缺失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8480" cy="613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 w:ascii="Times New Roman" w:hAnsi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Abbreviation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s: </w:t>
      </w:r>
      <w:r>
        <w:rPr>
          <w:rFonts w:hint="default" w:ascii="Times New Roman" w:hAnsi="Times New Roman" w:cs="Times New Roman"/>
          <w:sz w:val="24"/>
          <w:szCs w:val="32"/>
        </w:rPr>
        <w:t>MIMIC-IV: Medical Information Mart for Intensive Care IV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</w:p>
    <w:p>
      <w:pPr>
        <w:jc w:val="left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Note: eFigure.2 Showed features missing rate from MIMIC-IV database; One red block represented one missing value for each feature.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Figure.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Causal mediation analysis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.</w:t>
      </w:r>
    </w:p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5260" cy="3584575"/>
            <wp:effectExtent l="0" t="0" r="2540" b="6350"/>
            <wp:docPr id="6" name="图片 6" descr="e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fi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A)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Process Diagram for Mediation Analysis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(Pressure injury as a outcome)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B)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 xml:space="preserve">irected 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 xml:space="preserve">cyclic 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raph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(Pressure injury as a outcome)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C)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Process Diagram for Mediation Analysis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(Aspiration pneumonia as a outcome)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D)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 xml:space="preserve">irected 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A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 xml:space="preserve">cyclic 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>G</w:t>
      </w:r>
      <w:r>
        <w:rPr>
          <w:rFonts w:hint="eastAsia" w:ascii="Times New Roman" w:hAnsi="Times New Roman"/>
          <w:b w:val="0"/>
          <w:bCs w:val="0"/>
          <w:sz w:val="24"/>
          <w:szCs w:val="24"/>
        </w:rPr>
        <w:t>raph</w:t>
      </w:r>
      <w:r>
        <w:rPr>
          <w:rFonts w:hint="eastAsia" w:ascii="Times New Roman" w:hAnsi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(Aspiration pneumonia as a outcome)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Note: Diagram showing components of mediation model testing effect of dysphagia lead on pressure injury/aspiration pneumonia mediated by serum albumin level.</w:t>
      </w:r>
    </w:p>
    <w:p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Figure.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/>
          <w:b/>
          <w:bCs/>
          <w:sz w:val="24"/>
          <w:szCs w:val="24"/>
        </w:rPr>
        <w:t>ediation analysis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>for the association between dysphagia and delirium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drawing>
          <wp:inline distT="0" distB="0" distL="114300" distR="114300">
            <wp:extent cx="6167755" cy="3469640"/>
            <wp:effectExtent l="0" t="0" r="4445" b="6985"/>
            <wp:docPr id="5" name="图片 5" descr="幻灯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幻灯片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Figure.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Standardized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ean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/>
          <w:b/>
          <w:bCs/>
          <w:sz w:val="24"/>
          <w:szCs w:val="24"/>
        </w:rPr>
        <w:t>ifference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before and after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Propensity Score Matching.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510655"/>
            <wp:effectExtent l="0" t="0" r="6350" b="4445"/>
            <wp:docPr id="3" name="图片 3" descr="S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M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1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Abbreviation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s: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GCS: Glasgow Coma Score; SOFA: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equential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O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rgan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ailure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ssessment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OWZmNjFkNDViMTVmMDYzYTU0ZThkODRiZGJjZjcifQ=="/>
  </w:docVars>
  <w:rsids>
    <w:rsidRoot w:val="4A7117B8"/>
    <w:rsid w:val="28DA099C"/>
    <w:rsid w:val="2B427B05"/>
    <w:rsid w:val="2BD00F1F"/>
    <w:rsid w:val="3F6B5B05"/>
    <w:rsid w:val="40A943FE"/>
    <w:rsid w:val="45BE783A"/>
    <w:rsid w:val="46964195"/>
    <w:rsid w:val="4A7117B8"/>
    <w:rsid w:val="69AF3B0A"/>
    <w:rsid w:val="7865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1369</Words>
  <Characters>7407</Characters>
  <Lines>0</Lines>
  <Paragraphs>0</Paragraphs>
  <TotalTime>40</TotalTime>
  <ScaleCrop>false</ScaleCrop>
  <LinksUpToDate>false</LinksUpToDate>
  <CharactersWithSpaces>8257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2023-04-17T01:41:00Z</dcterms:created>
  <dc:creator>一只涛</dc:creator>
  <cp:lastModifiedBy>一只涛</cp:lastModifiedBy>
  <dcterms:modified xsi:type="dcterms:W3CDTF">2024-01-19T09:36:07Z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C7E5CC5D790B4523933C774A4CE059F1_13</vt:lpwstr>
  </property>
</Properties>
</file>