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C1B2" w14:textId="77777777" w:rsidR="00FD68B0" w:rsidRPr="0000665E" w:rsidRDefault="00FD68B0" w:rsidP="00FD68B0">
      <w:pPr>
        <w:bidi w:val="0"/>
        <w:spacing w:line="480" w:lineRule="auto"/>
        <w:rPr>
          <w:rFonts w:asciiTheme="majorBidi" w:hAnsiTheme="majorBidi" w:cstheme="majorBidi"/>
          <w:b/>
          <w:bCs/>
          <w:noProof/>
        </w:rPr>
      </w:pPr>
      <w:r w:rsidRPr="0000665E">
        <w:rPr>
          <w:rFonts w:asciiTheme="majorBidi" w:hAnsiTheme="majorBidi" w:cstheme="majorBidi"/>
          <w:b/>
          <w:bCs/>
        </w:rPr>
        <w:t>Appendix</w:t>
      </w:r>
      <w:r w:rsidRPr="0000665E">
        <w:rPr>
          <w:rFonts w:asciiTheme="majorBidi" w:hAnsiTheme="majorBidi" w:cstheme="majorBidi"/>
          <w:b/>
          <w:bCs/>
          <w:noProof/>
        </w:rPr>
        <w:t xml:space="preserve"> </w:t>
      </w:r>
    </w:p>
    <w:p w14:paraId="5BD0ABE5" w14:textId="77777777" w:rsidR="00FD68B0" w:rsidRPr="0000665E" w:rsidRDefault="00FD68B0" w:rsidP="00FD68B0">
      <w:pPr>
        <w:pStyle w:val="NormalWeb"/>
        <w:spacing w:before="0" w:beforeAutospacing="0" w:after="0" w:afterAutospacing="0"/>
        <w:jc w:val="both"/>
        <w:rPr>
          <w:rFonts w:asciiTheme="majorBidi" w:hAnsiTheme="majorBidi" w:cstheme="majorBidi"/>
          <w:color w:val="0E101A"/>
          <w:sz w:val="22"/>
          <w:szCs w:val="22"/>
        </w:rPr>
      </w:pPr>
      <w:r w:rsidRPr="0000665E">
        <w:rPr>
          <w:rFonts w:asciiTheme="majorBidi" w:hAnsiTheme="majorBidi" w:cstheme="majorBidi"/>
          <w:b/>
          <w:bCs/>
          <w:sz w:val="22"/>
          <w:szCs w:val="22"/>
        </w:rPr>
        <w:t>A: search strategies for evaluating articles</w:t>
      </w:r>
    </w:p>
    <w:p w14:paraId="6F5F4F0C" w14:textId="77777777" w:rsidR="00FD68B0" w:rsidRPr="0000665E" w:rsidRDefault="00FD68B0" w:rsidP="00FD68B0">
      <w:pPr>
        <w:pStyle w:val="NormalWeb"/>
        <w:spacing w:before="0" w:beforeAutospacing="0" w:after="0" w:afterAutospacing="0"/>
        <w:jc w:val="both"/>
        <w:rPr>
          <w:rFonts w:asciiTheme="majorBidi" w:hAnsiTheme="majorBidi" w:cstheme="majorBidi"/>
          <w:color w:val="0E101A"/>
          <w:sz w:val="22"/>
          <w:szCs w:val="22"/>
        </w:rPr>
      </w:pPr>
      <w:r w:rsidRPr="0000665E">
        <w:rPr>
          <w:rFonts w:asciiTheme="majorBidi" w:hAnsiTheme="majorBidi" w:cstheme="majorBidi"/>
          <w:color w:val="0E101A"/>
          <w:sz w:val="22"/>
          <w:szCs w:val="22"/>
        </w:rPr>
        <w:t>String (TITLE-ABS-KEY (("Mental Disorder" OR "Psychiatric Illness" OR "Psychiatric Disease" OR "Mental Illness" OR "Psychiatric Disorder" OR "Psychiatric Diagnosis"))) AND (ALL (Iran OR "Islamic Republic of Iran" OR "iriran" OR "I R. Iran" OR </w:t>
      </w:r>
    </w:p>
    <w:p w14:paraId="36687DEA" w14:textId="77777777" w:rsidR="00FD68B0" w:rsidRPr="0000665E" w:rsidRDefault="00FD68B0" w:rsidP="00FD68B0">
      <w:pPr>
        <w:pStyle w:val="NormalWeb"/>
        <w:spacing w:before="0" w:beforeAutospacing="0" w:after="0" w:afterAutospacing="0"/>
        <w:jc w:val="both"/>
        <w:rPr>
          <w:rFonts w:asciiTheme="majorBidi" w:hAnsiTheme="majorBidi" w:cstheme="majorBidi"/>
          <w:color w:val="0E101A"/>
          <w:sz w:val="22"/>
          <w:szCs w:val="22"/>
        </w:rPr>
      </w:pPr>
      <w:r w:rsidRPr="0000665E">
        <w:rPr>
          <w:rFonts w:asciiTheme="majorBidi" w:hAnsiTheme="majorBidi" w:cstheme="majorBidi"/>
          <w:color w:val="0E101A"/>
          <w:sz w:val="22"/>
          <w:szCs w:val="22"/>
        </w:rPr>
        <w:t>Persia*)) AND ((TITLE-ABS-KEY ("Community Mental Health Services" OR "Community Mental Health" OR "Community Treatment" OR "Community-based")) OR </w:t>
      </w:r>
    </w:p>
    <w:p w14:paraId="61B34BE7" w14:textId="77777777" w:rsidR="00FD68B0" w:rsidRPr="0000665E" w:rsidRDefault="00FD68B0" w:rsidP="00FD68B0">
      <w:pPr>
        <w:pStyle w:val="NormalWeb"/>
        <w:spacing w:before="0" w:beforeAutospacing="0" w:after="0" w:afterAutospacing="0"/>
        <w:jc w:val="both"/>
        <w:rPr>
          <w:rFonts w:asciiTheme="majorBidi" w:hAnsiTheme="majorBidi" w:cstheme="majorBidi"/>
          <w:color w:val="0E101A"/>
          <w:sz w:val="22"/>
          <w:szCs w:val="22"/>
        </w:rPr>
      </w:pPr>
      <w:r w:rsidRPr="0000665E">
        <w:rPr>
          <w:rFonts w:asciiTheme="majorBidi" w:hAnsiTheme="majorBidi" w:cstheme="majorBidi"/>
          <w:color w:val="0E101A"/>
          <w:sz w:val="22"/>
          <w:szCs w:val="22"/>
        </w:rPr>
        <w:t>( TITLE-ABS-KEY ("Home visit" OR "home care" OR "domestic health care" OR "domiciliary care" OR "home health" OR "home help" OR "home service")) OR ( TITLE-ABS-KEY ("Telerehabilitation" OR telerehabilitation OR "Tele-rehabilitation" OR "Tele rehabilitation" OR "Remote Rehabilitation" OR "e-rehabilitation") ) ) AND ( LIMIT-TO ( DOCTYPE, "ar") ) AND ( LIMIT-TO ( PUBSTAGE, "final") ) AND ( LIMIT-TO (AFFILCOUNTRY, "Iran") ) AND ( LIMIT-TO ( LANGUAGE, "English") OR LIMIT-TO ( LANGUAGE, "Persian") )</w:t>
      </w:r>
    </w:p>
    <w:p w14:paraId="3673CB37" w14:textId="77777777" w:rsidR="00FD68B0" w:rsidRPr="0000665E" w:rsidRDefault="00FD68B0" w:rsidP="00FD68B0">
      <w:pPr>
        <w:pStyle w:val="NormalWeb"/>
        <w:spacing w:before="0" w:beforeAutospacing="0" w:after="0" w:afterAutospacing="0"/>
        <w:jc w:val="both"/>
        <w:rPr>
          <w:rFonts w:asciiTheme="majorBidi" w:hAnsiTheme="majorBidi" w:cstheme="majorBidi"/>
          <w:color w:val="0E101A"/>
          <w:sz w:val="22"/>
          <w:szCs w:val="22"/>
        </w:rPr>
      </w:pPr>
    </w:p>
    <w:p w14:paraId="1347BED8" w14:textId="77777777" w:rsidR="00FD68B0" w:rsidRPr="0000665E" w:rsidRDefault="00FD68B0" w:rsidP="00FD68B0">
      <w:pPr>
        <w:pStyle w:val="NormalWeb"/>
        <w:spacing w:before="0" w:beforeAutospacing="0" w:after="0" w:afterAutospacing="0"/>
        <w:jc w:val="both"/>
        <w:rPr>
          <w:rFonts w:asciiTheme="majorBidi" w:hAnsiTheme="majorBidi" w:cstheme="majorBidi"/>
          <w:color w:val="0E101A"/>
          <w:sz w:val="22"/>
          <w:szCs w:val="22"/>
        </w:rPr>
      </w:pPr>
    </w:p>
    <w:p w14:paraId="42713158" w14:textId="77777777" w:rsidR="00FD68B0" w:rsidRPr="0000665E" w:rsidRDefault="00FD68B0" w:rsidP="00FD68B0">
      <w:pPr>
        <w:pStyle w:val="NormalWeb"/>
        <w:spacing w:before="0" w:beforeAutospacing="0" w:after="0" w:afterAutospacing="0" w:line="360" w:lineRule="auto"/>
        <w:rPr>
          <w:rFonts w:asciiTheme="majorBidi" w:hAnsiTheme="majorBidi" w:cstheme="majorBidi"/>
          <w:b/>
          <w:bCs/>
          <w:sz w:val="22"/>
          <w:szCs w:val="22"/>
        </w:rPr>
      </w:pPr>
      <w:r w:rsidRPr="0000665E">
        <w:rPr>
          <w:rFonts w:asciiTheme="majorBidi" w:hAnsiTheme="majorBidi" w:cstheme="majorBidi"/>
          <w:b/>
          <w:bCs/>
          <w:sz w:val="22"/>
          <w:szCs w:val="22"/>
        </w:rPr>
        <w:t>B: Risk of bias assessment</w:t>
      </w:r>
      <w:r w:rsidRPr="0000665E" w:rsidDel="0094738F">
        <w:rPr>
          <w:rFonts w:asciiTheme="majorBidi" w:hAnsiTheme="majorBidi" w:cstheme="majorBidi"/>
          <w:b/>
          <w:bCs/>
          <w:sz w:val="22"/>
          <w:szCs w:val="22"/>
        </w:rPr>
        <w:t xml:space="preserve"> </w:t>
      </w:r>
    </w:p>
    <w:p w14:paraId="0B7EE4BF" w14:textId="77777777" w:rsidR="00FD68B0" w:rsidRPr="0000665E" w:rsidRDefault="00FD68B0" w:rsidP="00FD68B0">
      <w:pPr>
        <w:bidi w:val="0"/>
        <w:rPr>
          <w:rFonts w:asciiTheme="majorBidi" w:hAnsiTheme="majorBidi" w:cstheme="majorBidi"/>
          <w:b/>
          <w:bCs/>
          <w:lang w:eastAsia="en-AU"/>
        </w:rPr>
      </w:pPr>
      <w:r w:rsidRPr="0000665E">
        <w:rPr>
          <w:rFonts w:asciiTheme="majorBidi" w:hAnsiTheme="majorBidi" w:cstheme="majorBidi"/>
          <w:b/>
          <w:bCs/>
          <w:lang w:eastAsia="en-AU"/>
        </w:rPr>
        <w:t>JBI Critical Appraisal Checklist for randomized Controlled trials</w:t>
      </w:r>
    </w:p>
    <w:tbl>
      <w:tblPr>
        <w:tblStyle w:val="TableGrid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D68B0" w:rsidRPr="0000665E" w14:paraId="6F9BF810" w14:textId="77777777" w:rsidTr="00534C4E">
        <w:trPr>
          <w:trHeight w:hRule="exact" w:val="265"/>
        </w:trPr>
        <w:tc>
          <w:tcPr>
            <w:tcW w:w="5000" w:type="pct"/>
            <w:vAlign w:val="center"/>
          </w:tcPr>
          <w:p w14:paraId="1E1A3CD2"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Was true randomization used for assignment of participants to treatment groups?</w:t>
            </w:r>
          </w:p>
        </w:tc>
      </w:tr>
      <w:tr w:rsidR="00FD68B0" w:rsidRPr="0000665E" w14:paraId="058B717B" w14:textId="77777777" w:rsidTr="00534C4E">
        <w:trPr>
          <w:trHeight w:hRule="exact" w:val="283"/>
        </w:trPr>
        <w:tc>
          <w:tcPr>
            <w:tcW w:w="5000" w:type="pct"/>
            <w:vAlign w:val="center"/>
          </w:tcPr>
          <w:p w14:paraId="4D886B5B"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Was allocation to treatment groups concealed?</w:t>
            </w:r>
          </w:p>
        </w:tc>
      </w:tr>
      <w:tr w:rsidR="00FD68B0" w:rsidRPr="0000665E" w14:paraId="30E9A2F9" w14:textId="77777777" w:rsidTr="00534C4E">
        <w:trPr>
          <w:trHeight w:hRule="exact" w:val="273"/>
        </w:trPr>
        <w:tc>
          <w:tcPr>
            <w:tcW w:w="5000" w:type="pct"/>
            <w:vAlign w:val="center"/>
          </w:tcPr>
          <w:p w14:paraId="518D32FB"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Were treatment groups similar at the baseline?</w:t>
            </w:r>
          </w:p>
        </w:tc>
      </w:tr>
      <w:tr w:rsidR="00FD68B0" w:rsidRPr="0000665E" w14:paraId="2DC629BE" w14:textId="77777777" w:rsidTr="00534C4E">
        <w:trPr>
          <w:trHeight w:hRule="exact" w:val="291"/>
        </w:trPr>
        <w:tc>
          <w:tcPr>
            <w:tcW w:w="5000" w:type="pct"/>
            <w:vAlign w:val="center"/>
          </w:tcPr>
          <w:p w14:paraId="0E1DF17E"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Were participants blind to treatment assignment?</w:t>
            </w:r>
          </w:p>
        </w:tc>
      </w:tr>
      <w:tr w:rsidR="00FD68B0" w:rsidRPr="0000665E" w14:paraId="6EF00E30" w14:textId="77777777" w:rsidTr="00534C4E">
        <w:trPr>
          <w:trHeight w:hRule="exact" w:val="295"/>
        </w:trPr>
        <w:tc>
          <w:tcPr>
            <w:tcW w:w="5000" w:type="pct"/>
            <w:vAlign w:val="center"/>
          </w:tcPr>
          <w:p w14:paraId="263C35FE"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 xml:space="preserve">Were those delivering treatment blind to treatment assignment? </w:t>
            </w:r>
          </w:p>
        </w:tc>
      </w:tr>
      <w:tr w:rsidR="00FD68B0" w:rsidRPr="0000665E" w14:paraId="35B225D9" w14:textId="77777777" w:rsidTr="00534C4E">
        <w:trPr>
          <w:trHeight w:hRule="exact" w:val="271"/>
        </w:trPr>
        <w:tc>
          <w:tcPr>
            <w:tcW w:w="5000" w:type="pct"/>
            <w:vAlign w:val="center"/>
          </w:tcPr>
          <w:p w14:paraId="0A5D3B21"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Were outcomes assessors blind to treatment assignment?</w:t>
            </w:r>
          </w:p>
        </w:tc>
      </w:tr>
      <w:tr w:rsidR="00FD68B0" w:rsidRPr="0000665E" w14:paraId="7F5B6FF0" w14:textId="77777777" w:rsidTr="00534C4E">
        <w:trPr>
          <w:trHeight w:hRule="exact" w:val="289"/>
        </w:trPr>
        <w:tc>
          <w:tcPr>
            <w:tcW w:w="5000" w:type="pct"/>
            <w:vAlign w:val="center"/>
          </w:tcPr>
          <w:p w14:paraId="0E62CCE7"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Were treatment groups treated identically other than the intervention of interest?</w:t>
            </w:r>
          </w:p>
        </w:tc>
      </w:tr>
      <w:tr w:rsidR="00FD68B0" w:rsidRPr="0000665E" w14:paraId="11161276" w14:textId="77777777" w:rsidTr="00534C4E">
        <w:trPr>
          <w:trHeight w:hRule="exact" w:val="567"/>
        </w:trPr>
        <w:tc>
          <w:tcPr>
            <w:tcW w:w="5000" w:type="pct"/>
            <w:vAlign w:val="center"/>
          </w:tcPr>
          <w:p w14:paraId="71E248F7"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Was follow up complete and if not, were differences between groups in terms of their follow up adequately described and analysed?</w:t>
            </w:r>
          </w:p>
        </w:tc>
      </w:tr>
      <w:tr w:rsidR="00FD68B0" w:rsidRPr="0000665E" w14:paraId="1B7BBB93" w14:textId="77777777" w:rsidTr="00534C4E">
        <w:trPr>
          <w:trHeight w:hRule="exact" w:val="287"/>
        </w:trPr>
        <w:tc>
          <w:tcPr>
            <w:tcW w:w="5000" w:type="pct"/>
            <w:vAlign w:val="center"/>
          </w:tcPr>
          <w:p w14:paraId="16CEED8B"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Were participants analysed in the groups to which they were randomized?</w:t>
            </w:r>
          </w:p>
        </w:tc>
      </w:tr>
      <w:tr w:rsidR="00FD68B0" w:rsidRPr="0000665E" w14:paraId="12299C91" w14:textId="77777777" w:rsidTr="00534C4E">
        <w:trPr>
          <w:trHeight w:hRule="exact" w:val="277"/>
        </w:trPr>
        <w:tc>
          <w:tcPr>
            <w:tcW w:w="5000" w:type="pct"/>
            <w:vAlign w:val="center"/>
          </w:tcPr>
          <w:p w14:paraId="74D7B437"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Were outcomes measured in the same way for treatment groups?</w:t>
            </w:r>
          </w:p>
        </w:tc>
      </w:tr>
      <w:tr w:rsidR="00FD68B0" w:rsidRPr="0000665E" w14:paraId="72B190F9" w14:textId="77777777" w:rsidTr="00534C4E">
        <w:trPr>
          <w:trHeight w:hRule="exact" w:val="281"/>
        </w:trPr>
        <w:tc>
          <w:tcPr>
            <w:tcW w:w="5000" w:type="pct"/>
            <w:vAlign w:val="center"/>
          </w:tcPr>
          <w:p w14:paraId="61682072"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Were outcomes measured in a reliable way?</w:t>
            </w:r>
          </w:p>
        </w:tc>
      </w:tr>
      <w:tr w:rsidR="00FD68B0" w:rsidRPr="0000665E" w14:paraId="08D38779" w14:textId="77777777" w:rsidTr="00534C4E">
        <w:trPr>
          <w:trHeight w:hRule="exact" w:val="285"/>
        </w:trPr>
        <w:tc>
          <w:tcPr>
            <w:tcW w:w="5000" w:type="pct"/>
            <w:vAlign w:val="center"/>
          </w:tcPr>
          <w:p w14:paraId="21139F50"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Was appropriate statistical analysis used?</w:t>
            </w:r>
          </w:p>
        </w:tc>
      </w:tr>
      <w:tr w:rsidR="00FD68B0" w:rsidRPr="0000665E" w14:paraId="5B472D24" w14:textId="77777777" w:rsidTr="00534C4E">
        <w:trPr>
          <w:trHeight w:hRule="exact" w:val="719"/>
        </w:trPr>
        <w:tc>
          <w:tcPr>
            <w:tcW w:w="5000" w:type="pct"/>
            <w:vAlign w:val="center"/>
          </w:tcPr>
          <w:p w14:paraId="3600E468" w14:textId="77777777" w:rsidR="00FD68B0" w:rsidRPr="0000665E" w:rsidRDefault="00FD68B0" w:rsidP="00FD68B0">
            <w:pPr>
              <w:pStyle w:val="ListParagraph"/>
              <w:numPr>
                <w:ilvl w:val="0"/>
                <w:numId w:val="2"/>
              </w:numPr>
              <w:bidi w:val="0"/>
              <w:ind w:left="306" w:hanging="284"/>
              <w:contextualSpacing w:val="0"/>
              <w:rPr>
                <w:rFonts w:asciiTheme="majorBidi" w:hAnsiTheme="majorBidi" w:cstheme="majorBidi"/>
              </w:rPr>
            </w:pPr>
            <w:r w:rsidRPr="0000665E">
              <w:rPr>
                <w:rFonts w:asciiTheme="majorBidi" w:hAnsiTheme="majorBidi" w:cstheme="majorBidi"/>
              </w:rPr>
              <w:t>Was the trial design appropriate, and any deviations from the standard RCT design (individual randomization, parallel groups) accounted for in the conduct and analysis of the trial?</w:t>
            </w:r>
          </w:p>
        </w:tc>
      </w:tr>
    </w:tbl>
    <w:p w14:paraId="549BA33B" w14:textId="77777777" w:rsidR="00FD68B0" w:rsidRPr="0000665E" w:rsidRDefault="00FD68B0" w:rsidP="00FD68B0">
      <w:pPr>
        <w:pStyle w:val="NormalWeb"/>
        <w:spacing w:before="0" w:beforeAutospacing="0" w:after="0" w:afterAutospacing="0" w:line="360" w:lineRule="auto"/>
        <w:rPr>
          <w:rFonts w:asciiTheme="majorBidi" w:hAnsiTheme="majorBidi" w:cstheme="majorBidi"/>
          <w:b/>
          <w:bCs/>
          <w:sz w:val="22"/>
          <w:szCs w:val="22"/>
        </w:rPr>
      </w:pPr>
    </w:p>
    <w:p w14:paraId="71D1F083" w14:textId="77777777" w:rsidR="00FD68B0" w:rsidRPr="0000665E" w:rsidRDefault="00FD68B0" w:rsidP="00FD68B0">
      <w:pPr>
        <w:bidi w:val="0"/>
        <w:rPr>
          <w:rFonts w:asciiTheme="majorBidi" w:hAnsiTheme="majorBidi" w:cstheme="majorBidi"/>
          <w:b/>
          <w:bCs/>
          <w:lang w:eastAsia="en-AU"/>
        </w:rPr>
      </w:pPr>
      <w:r w:rsidRPr="0000665E">
        <w:rPr>
          <w:rFonts w:asciiTheme="majorBidi" w:hAnsiTheme="majorBidi" w:cstheme="majorBidi"/>
          <w:b/>
          <w:bCs/>
          <w:lang w:eastAsia="en-AU"/>
        </w:rPr>
        <w:t>JBI Critical Appraisal Checklist for quasi-experimental studies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D68B0" w:rsidRPr="0000665E" w14:paraId="389B19CF" w14:textId="77777777" w:rsidTr="00534C4E">
        <w:tc>
          <w:tcPr>
            <w:tcW w:w="5000" w:type="pct"/>
            <w:vAlign w:val="center"/>
          </w:tcPr>
          <w:p w14:paraId="1E04C8E1" w14:textId="77777777" w:rsidR="00FD68B0" w:rsidRPr="0000665E" w:rsidRDefault="00FD68B0" w:rsidP="00FD68B0">
            <w:pPr>
              <w:pStyle w:val="ListParagraph"/>
              <w:numPr>
                <w:ilvl w:val="0"/>
                <w:numId w:val="4"/>
              </w:numPr>
              <w:bidi w:val="0"/>
              <w:ind w:left="321" w:hanging="284"/>
              <w:rPr>
                <w:rFonts w:asciiTheme="majorBidi" w:hAnsiTheme="majorBidi" w:cstheme="majorBidi"/>
              </w:rPr>
            </w:pPr>
            <w:r w:rsidRPr="0000665E">
              <w:rPr>
                <w:rFonts w:asciiTheme="majorBidi" w:hAnsiTheme="majorBidi" w:cstheme="majorBidi"/>
              </w:rPr>
              <w:t>Is it clear in the study what is the cause’ and what is the ‘effect’ (i.e., there is no confusion about which variable comes first)?</w:t>
            </w:r>
          </w:p>
        </w:tc>
      </w:tr>
      <w:tr w:rsidR="00FD68B0" w:rsidRPr="0000665E" w14:paraId="1603A470" w14:textId="77777777" w:rsidTr="00534C4E">
        <w:tc>
          <w:tcPr>
            <w:tcW w:w="5000" w:type="pct"/>
            <w:vAlign w:val="center"/>
          </w:tcPr>
          <w:p w14:paraId="3139EB46"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 xml:space="preserve">Were the participants included in any comparisons similar? </w:t>
            </w:r>
          </w:p>
        </w:tc>
      </w:tr>
      <w:tr w:rsidR="00FD68B0" w:rsidRPr="0000665E" w14:paraId="2D542813" w14:textId="77777777" w:rsidTr="00534C4E">
        <w:tc>
          <w:tcPr>
            <w:tcW w:w="5000" w:type="pct"/>
            <w:vAlign w:val="center"/>
          </w:tcPr>
          <w:p w14:paraId="24C82585"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Were the participants included in any comparisons receiving similar treatment/care, other than the exposure or intervention of interest?</w:t>
            </w:r>
          </w:p>
        </w:tc>
      </w:tr>
      <w:tr w:rsidR="00FD68B0" w:rsidRPr="0000665E" w14:paraId="5149A635" w14:textId="77777777" w:rsidTr="00534C4E">
        <w:tc>
          <w:tcPr>
            <w:tcW w:w="5000" w:type="pct"/>
            <w:vAlign w:val="center"/>
          </w:tcPr>
          <w:p w14:paraId="109222B1"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Was there a control group?</w:t>
            </w:r>
          </w:p>
        </w:tc>
      </w:tr>
      <w:tr w:rsidR="00FD68B0" w:rsidRPr="0000665E" w14:paraId="16D6403A" w14:textId="77777777" w:rsidTr="00534C4E">
        <w:tc>
          <w:tcPr>
            <w:tcW w:w="5000" w:type="pct"/>
            <w:vAlign w:val="center"/>
          </w:tcPr>
          <w:p w14:paraId="117A2B27"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Were there multiple measurements of the outcome both pre and post the intervention/exposure?</w:t>
            </w:r>
          </w:p>
        </w:tc>
      </w:tr>
      <w:tr w:rsidR="00FD68B0" w:rsidRPr="0000665E" w14:paraId="7AC9F9EF" w14:textId="77777777" w:rsidTr="00534C4E">
        <w:tc>
          <w:tcPr>
            <w:tcW w:w="5000" w:type="pct"/>
            <w:vAlign w:val="center"/>
          </w:tcPr>
          <w:p w14:paraId="346AA85E"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Was follow up complete and if not, were differences between groups in terms of their follow up adequately described and analyzed?</w:t>
            </w:r>
          </w:p>
        </w:tc>
      </w:tr>
      <w:tr w:rsidR="00FD68B0" w:rsidRPr="0000665E" w14:paraId="0467CCAE" w14:textId="77777777" w:rsidTr="00534C4E">
        <w:tc>
          <w:tcPr>
            <w:tcW w:w="5000" w:type="pct"/>
            <w:vAlign w:val="center"/>
          </w:tcPr>
          <w:p w14:paraId="31863339"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 xml:space="preserve">Were the outcomes of participants included in any comparisons measured in the same way? </w:t>
            </w:r>
          </w:p>
        </w:tc>
      </w:tr>
      <w:tr w:rsidR="00FD68B0" w:rsidRPr="0000665E" w14:paraId="04746ED9" w14:textId="77777777" w:rsidTr="00534C4E">
        <w:trPr>
          <w:trHeight w:val="311"/>
        </w:trPr>
        <w:tc>
          <w:tcPr>
            <w:tcW w:w="5000" w:type="pct"/>
            <w:vAlign w:val="center"/>
          </w:tcPr>
          <w:p w14:paraId="1D23E0D1"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Were outcomes measured in a reliable way?</w:t>
            </w:r>
          </w:p>
        </w:tc>
      </w:tr>
      <w:tr w:rsidR="00FD68B0" w:rsidRPr="0000665E" w14:paraId="359653F8" w14:textId="77777777" w:rsidTr="00534C4E">
        <w:trPr>
          <w:trHeight w:val="265"/>
        </w:trPr>
        <w:tc>
          <w:tcPr>
            <w:tcW w:w="5000" w:type="pct"/>
            <w:vAlign w:val="center"/>
          </w:tcPr>
          <w:p w14:paraId="01CD21CD" w14:textId="77777777" w:rsidR="00FD68B0" w:rsidRPr="0000665E" w:rsidRDefault="00FD68B0" w:rsidP="00FD68B0">
            <w:pPr>
              <w:pStyle w:val="ListParagraph"/>
              <w:numPr>
                <w:ilvl w:val="0"/>
                <w:numId w:val="4"/>
              </w:numPr>
              <w:bidi w:val="0"/>
              <w:ind w:left="306" w:hanging="284"/>
              <w:contextualSpacing w:val="0"/>
              <w:rPr>
                <w:rFonts w:asciiTheme="majorBidi" w:hAnsiTheme="majorBidi" w:cstheme="majorBidi"/>
              </w:rPr>
            </w:pPr>
            <w:r w:rsidRPr="0000665E">
              <w:rPr>
                <w:rFonts w:asciiTheme="majorBidi" w:hAnsiTheme="majorBidi" w:cstheme="majorBidi"/>
              </w:rPr>
              <w:t>Was appropriate statistical analysis used?</w:t>
            </w:r>
          </w:p>
        </w:tc>
      </w:tr>
    </w:tbl>
    <w:p w14:paraId="63202829" w14:textId="77777777" w:rsidR="00FD68B0" w:rsidRPr="0000665E" w:rsidRDefault="00FD68B0" w:rsidP="00FD68B0">
      <w:pPr>
        <w:pStyle w:val="NormalWeb"/>
        <w:spacing w:before="0" w:beforeAutospacing="0" w:after="0" w:afterAutospacing="0" w:line="360" w:lineRule="auto"/>
        <w:rPr>
          <w:rFonts w:asciiTheme="majorBidi" w:hAnsiTheme="majorBidi" w:cstheme="majorBidi"/>
          <w:b/>
          <w:bCs/>
          <w:sz w:val="22"/>
          <w:szCs w:val="22"/>
        </w:rPr>
      </w:pPr>
    </w:p>
    <w:p w14:paraId="63B1A048" w14:textId="77777777" w:rsidR="00FD68B0" w:rsidRPr="0000665E" w:rsidRDefault="00FD68B0" w:rsidP="00FD68B0">
      <w:pPr>
        <w:bidi w:val="0"/>
        <w:rPr>
          <w:rFonts w:asciiTheme="majorBidi" w:hAnsiTheme="majorBidi" w:cstheme="majorBidi"/>
          <w:b/>
          <w:bCs/>
          <w:lang w:eastAsia="en-AU"/>
        </w:rPr>
      </w:pPr>
      <w:r w:rsidRPr="0000665E">
        <w:rPr>
          <w:rFonts w:asciiTheme="majorBidi" w:hAnsiTheme="majorBidi" w:cstheme="majorBidi"/>
          <w:b/>
          <w:bCs/>
          <w:lang w:eastAsia="en-AU"/>
        </w:rPr>
        <w:t>JBI Critical Appraisal Checklist for economic evaluations</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D68B0" w:rsidRPr="0000665E" w14:paraId="42BF2F33" w14:textId="77777777" w:rsidTr="00534C4E">
        <w:tc>
          <w:tcPr>
            <w:tcW w:w="5000" w:type="pct"/>
            <w:vAlign w:val="center"/>
          </w:tcPr>
          <w:p w14:paraId="305EDFDF"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lastRenderedPageBreak/>
              <w:t>Is there a well-defined question?</w:t>
            </w:r>
          </w:p>
        </w:tc>
      </w:tr>
      <w:tr w:rsidR="00FD68B0" w:rsidRPr="0000665E" w14:paraId="1B37D303" w14:textId="77777777" w:rsidTr="00534C4E">
        <w:tc>
          <w:tcPr>
            <w:tcW w:w="5000" w:type="pct"/>
            <w:vAlign w:val="center"/>
          </w:tcPr>
          <w:p w14:paraId="3B82926A"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Is there comprehensive description of alternatives?</w:t>
            </w:r>
          </w:p>
        </w:tc>
      </w:tr>
      <w:tr w:rsidR="00FD68B0" w:rsidRPr="0000665E" w14:paraId="67F1E546" w14:textId="77777777" w:rsidTr="00534C4E">
        <w:tc>
          <w:tcPr>
            <w:tcW w:w="5000" w:type="pct"/>
            <w:vAlign w:val="center"/>
          </w:tcPr>
          <w:p w14:paraId="47A6E026"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Are all important and relevant costs and outcomes for each alternative identified?</w:t>
            </w:r>
          </w:p>
        </w:tc>
      </w:tr>
      <w:tr w:rsidR="00FD68B0" w:rsidRPr="0000665E" w14:paraId="797939B7" w14:textId="77777777" w:rsidTr="00534C4E">
        <w:tc>
          <w:tcPr>
            <w:tcW w:w="5000" w:type="pct"/>
            <w:vAlign w:val="center"/>
          </w:tcPr>
          <w:p w14:paraId="45F5959B"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Has clinical effectiveness been established?</w:t>
            </w:r>
          </w:p>
        </w:tc>
      </w:tr>
      <w:tr w:rsidR="00FD68B0" w:rsidRPr="0000665E" w14:paraId="5E5D911D" w14:textId="77777777" w:rsidTr="00534C4E">
        <w:tc>
          <w:tcPr>
            <w:tcW w:w="5000" w:type="pct"/>
            <w:vAlign w:val="center"/>
          </w:tcPr>
          <w:p w14:paraId="3AA81C97"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Are costs and outcomes measured accurately?</w:t>
            </w:r>
          </w:p>
        </w:tc>
      </w:tr>
      <w:tr w:rsidR="00FD68B0" w:rsidRPr="0000665E" w14:paraId="5B04B81F" w14:textId="77777777" w:rsidTr="00534C4E">
        <w:tc>
          <w:tcPr>
            <w:tcW w:w="5000" w:type="pct"/>
            <w:vAlign w:val="center"/>
          </w:tcPr>
          <w:p w14:paraId="4694F195"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Are costs and outcomes valued credibly?</w:t>
            </w:r>
          </w:p>
        </w:tc>
      </w:tr>
      <w:tr w:rsidR="00FD68B0" w:rsidRPr="0000665E" w14:paraId="4328B9BF" w14:textId="77777777" w:rsidTr="00534C4E">
        <w:tc>
          <w:tcPr>
            <w:tcW w:w="5000" w:type="pct"/>
            <w:vAlign w:val="center"/>
          </w:tcPr>
          <w:p w14:paraId="5F1852AE"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Are costs and outcomes adjusted for differential timing?</w:t>
            </w:r>
          </w:p>
        </w:tc>
      </w:tr>
      <w:tr w:rsidR="00FD68B0" w:rsidRPr="0000665E" w14:paraId="758AC324" w14:textId="77777777" w:rsidTr="00534C4E">
        <w:tc>
          <w:tcPr>
            <w:tcW w:w="5000" w:type="pct"/>
            <w:vAlign w:val="center"/>
          </w:tcPr>
          <w:p w14:paraId="0C6ABABE"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Is there an incremental analysis of costs and consequences?</w:t>
            </w:r>
          </w:p>
        </w:tc>
      </w:tr>
      <w:tr w:rsidR="00FD68B0" w:rsidRPr="0000665E" w14:paraId="64F64498" w14:textId="77777777" w:rsidTr="00534C4E">
        <w:tc>
          <w:tcPr>
            <w:tcW w:w="5000" w:type="pct"/>
            <w:vAlign w:val="center"/>
          </w:tcPr>
          <w:p w14:paraId="676D3E27"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Were sensitivity analyses conducted to investigate uncertainty in estimates of cost or consequences?</w:t>
            </w:r>
          </w:p>
        </w:tc>
      </w:tr>
      <w:tr w:rsidR="00FD68B0" w:rsidRPr="0000665E" w14:paraId="14337E14" w14:textId="77777777" w:rsidTr="00534C4E">
        <w:tc>
          <w:tcPr>
            <w:tcW w:w="5000" w:type="pct"/>
            <w:vAlign w:val="center"/>
          </w:tcPr>
          <w:p w14:paraId="56B260AC"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Do study results include all issues of concern to users?</w:t>
            </w:r>
          </w:p>
        </w:tc>
      </w:tr>
      <w:tr w:rsidR="00FD68B0" w:rsidRPr="0000665E" w14:paraId="28AE2C53" w14:textId="77777777" w:rsidTr="00534C4E">
        <w:tc>
          <w:tcPr>
            <w:tcW w:w="5000" w:type="pct"/>
            <w:vAlign w:val="center"/>
          </w:tcPr>
          <w:p w14:paraId="167885B5" w14:textId="77777777" w:rsidR="00FD68B0" w:rsidRPr="0000665E" w:rsidRDefault="00FD68B0" w:rsidP="00FD68B0">
            <w:pPr>
              <w:numPr>
                <w:ilvl w:val="0"/>
                <w:numId w:val="3"/>
              </w:numPr>
              <w:bidi w:val="0"/>
              <w:ind w:left="426" w:hanging="426"/>
              <w:contextualSpacing/>
              <w:rPr>
                <w:rFonts w:asciiTheme="majorBidi" w:hAnsiTheme="majorBidi" w:cstheme="majorBidi"/>
                <w:lang w:eastAsia="en-AU"/>
              </w:rPr>
            </w:pPr>
            <w:r w:rsidRPr="0000665E">
              <w:rPr>
                <w:rFonts w:asciiTheme="majorBidi" w:hAnsiTheme="majorBidi" w:cstheme="majorBidi"/>
                <w:lang w:eastAsia="en-AU"/>
              </w:rPr>
              <w:t>Are the results generalizable to the setting of interest in the review?</w:t>
            </w:r>
          </w:p>
        </w:tc>
      </w:tr>
    </w:tbl>
    <w:p w14:paraId="3CE72F24" w14:textId="77777777" w:rsidR="00FD68B0" w:rsidRPr="0000665E" w:rsidRDefault="00FD68B0" w:rsidP="00FD68B0">
      <w:pPr>
        <w:bidi w:val="0"/>
        <w:rPr>
          <w:rFonts w:asciiTheme="majorBidi" w:eastAsia="Times New Roman" w:hAnsiTheme="majorBidi" w:cstheme="majorBidi"/>
          <w:b/>
          <w:bCs/>
          <w:lang w:bidi="ar-SA"/>
        </w:rPr>
      </w:pPr>
    </w:p>
    <w:p w14:paraId="0C083A65" w14:textId="77777777" w:rsidR="00FD68B0" w:rsidRPr="0000665E" w:rsidRDefault="00FD68B0" w:rsidP="00FD68B0">
      <w:pPr>
        <w:bidi w:val="0"/>
        <w:spacing w:after="0" w:line="240" w:lineRule="auto"/>
        <w:rPr>
          <w:rFonts w:asciiTheme="majorBidi" w:hAnsiTheme="majorBidi" w:cstheme="majorBidi"/>
          <w:noProof/>
        </w:rPr>
      </w:pPr>
      <w:r w:rsidRPr="0000665E">
        <w:rPr>
          <w:rFonts w:asciiTheme="majorBidi" w:hAnsiTheme="majorBidi" w:cstheme="majorBidi"/>
        </w:rPr>
        <w:t>Fig.6: Quality assessment of quasi-experimental studies</w:t>
      </w:r>
    </w:p>
    <w:p w14:paraId="32B4DEA7" w14:textId="77777777" w:rsidR="00FD68B0" w:rsidRPr="0000665E" w:rsidRDefault="00FD68B0" w:rsidP="00FD68B0">
      <w:pPr>
        <w:bidi w:val="0"/>
        <w:spacing w:after="0" w:line="240" w:lineRule="auto"/>
        <w:rPr>
          <w:rFonts w:asciiTheme="majorBidi" w:hAnsiTheme="majorBidi" w:cstheme="majorBidi"/>
        </w:rPr>
      </w:pPr>
      <w:r w:rsidRPr="0000665E">
        <w:rPr>
          <w:rFonts w:asciiTheme="majorBidi" w:hAnsiTheme="majorBidi" w:cstheme="majorBidi"/>
          <w:noProof/>
          <w:lang w:bidi="ar-SA"/>
        </w:rPr>
        <w:drawing>
          <wp:inline distT="0" distB="0" distL="0" distR="0" wp14:anchorId="17BC0235" wp14:editId="22AD5883">
            <wp:extent cx="5731510" cy="3215640"/>
            <wp:effectExtent l="0" t="0" r="2540" b="3810"/>
            <wp:docPr id="1472821055" name="Chart 1472821055">
              <a:extLst xmlns:a="http://schemas.openxmlformats.org/drawingml/2006/main">
                <a:ext uri="{FF2B5EF4-FFF2-40B4-BE49-F238E27FC236}">
                  <a16:creationId xmlns:a16="http://schemas.microsoft.com/office/drawing/2014/main" id="{2CE67723-7C58-4218-B981-4553A7438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FCE7BB7" w14:textId="77777777" w:rsidR="00FD68B0" w:rsidRPr="0000665E" w:rsidRDefault="00FD68B0" w:rsidP="00FD68B0">
      <w:pPr>
        <w:pStyle w:val="NormalWeb"/>
        <w:spacing w:before="0" w:beforeAutospacing="0" w:after="0" w:afterAutospacing="0"/>
        <w:jc w:val="both"/>
        <w:rPr>
          <w:rFonts w:asciiTheme="majorBidi" w:hAnsiTheme="majorBidi" w:cstheme="majorBidi"/>
          <w:color w:val="0E101A"/>
          <w:sz w:val="22"/>
          <w:szCs w:val="22"/>
        </w:rPr>
      </w:pPr>
      <w:r w:rsidRPr="0000665E">
        <w:rPr>
          <w:rFonts w:asciiTheme="majorBidi" w:hAnsiTheme="majorBidi" w:cstheme="majorBidi"/>
          <w:sz w:val="22"/>
          <w:szCs w:val="22"/>
        </w:rPr>
        <w:br w:type="page"/>
      </w:r>
    </w:p>
    <w:p w14:paraId="0F6D0D86" w14:textId="77777777" w:rsidR="00FD68B0" w:rsidRPr="0000665E" w:rsidRDefault="00FD68B0" w:rsidP="00FD68B0">
      <w:pPr>
        <w:bidi w:val="0"/>
        <w:spacing w:after="0" w:line="240" w:lineRule="auto"/>
        <w:rPr>
          <w:rFonts w:asciiTheme="majorBidi" w:hAnsiTheme="majorBidi" w:cstheme="majorBidi"/>
          <w:noProof/>
        </w:rPr>
      </w:pPr>
      <w:r w:rsidRPr="0000665E">
        <w:rPr>
          <w:rFonts w:asciiTheme="majorBidi" w:hAnsiTheme="majorBidi" w:cstheme="majorBidi"/>
        </w:rPr>
        <w:lastRenderedPageBreak/>
        <w:t>Fig.7: Quality assessment of economic evaluation studies</w:t>
      </w:r>
      <w:r w:rsidRPr="0000665E">
        <w:rPr>
          <w:rFonts w:asciiTheme="majorBidi" w:hAnsiTheme="majorBidi" w:cstheme="majorBidi"/>
          <w:noProof/>
          <w:lang w:bidi="ar-SA"/>
        </w:rPr>
        <w:drawing>
          <wp:inline distT="0" distB="0" distL="0" distR="0" wp14:anchorId="6F296856" wp14:editId="2294A7C6">
            <wp:extent cx="5731510" cy="3215640"/>
            <wp:effectExtent l="0" t="0" r="2540" b="3810"/>
            <wp:docPr id="1405418647" name="Chart 1405418647">
              <a:extLst xmlns:a="http://schemas.openxmlformats.org/drawingml/2006/main">
                <a:ext uri="{FF2B5EF4-FFF2-40B4-BE49-F238E27FC236}">
                  <a16:creationId xmlns:a16="http://schemas.microsoft.com/office/drawing/2014/main" id="{42C07B8A-7FD2-4EF8-B723-B18BB70F7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5AC92B0" w14:textId="77777777" w:rsidR="00FD68B0" w:rsidRPr="0000665E" w:rsidRDefault="00FD68B0" w:rsidP="00FD68B0">
      <w:pPr>
        <w:pStyle w:val="NormalWeb"/>
        <w:spacing w:before="0" w:beforeAutospacing="0" w:after="0" w:afterAutospacing="0" w:line="360" w:lineRule="auto"/>
        <w:rPr>
          <w:rFonts w:asciiTheme="majorBidi" w:hAnsiTheme="majorBidi" w:cstheme="majorBidi"/>
          <w:b/>
          <w:bCs/>
          <w:sz w:val="22"/>
          <w:szCs w:val="22"/>
        </w:rPr>
      </w:pPr>
    </w:p>
    <w:p w14:paraId="28844EF1" w14:textId="77777777" w:rsidR="00FD68B0" w:rsidRPr="0000665E" w:rsidRDefault="00FD68B0" w:rsidP="00FD68B0">
      <w:pPr>
        <w:pStyle w:val="NormalWeb"/>
        <w:spacing w:before="0" w:beforeAutospacing="0" w:after="0" w:afterAutospacing="0" w:line="360" w:lineRule="auto"/>
        <w:rPr>
          <w:rFonts w:asciiTheme="majorBidi" w:hAnsiTheme="majorBidi" w:cstheme="majorBidi"/>
          <w:b/>
          <w:bCs/>
          <w:sz w:val="22"/>
          <w:szCs w:val="22"/>
        </w:rPr>
      </w:pPr>
      <w:r w:rsidRPr="0000665E">
        <w:rPr>
          <w:rFonts w:asciiTheme="majorBidi" w:hAnsiTheme="majorBidi" w:cstheme="majorBidi"/>
          <w:b/>
          <w:bCs/>
          <w:sz w:val="22"/>
          <w:szCs w:val="22"/>
        </w:rPr>
        <w:t>C: publication bias</w:t>
      </w:r>
    </w:p>
    <w:p w14:paraId="76D547B1" w14:textId="77777777" w:rsidR="00FD68B0" w:rsidRPr="0000665E" w:rsidRDefault="00FD68B0" w:rsidP="00FD68B0">
      <w:pPr>
        <w:bidi w:val="0"/>
        <w:spacing w:after="0" w:line="240" w:lineRule="auto"/>
        <w:jc w:val="both"/>
        <w:rPr>
          <w:rFonts w:asciiTheme="majorBidi" w:hAnsiTheme="majorBidi" w:cstheme="majorBidi"/>
        </w:rPr>
      </w:pPr>
      <w:r w:rsidRPr="0000665E">
        <w:rPr>
          <w:rFonts w:asciiTheme="majorBidi" w:hAnsiTheme="majorBidi" w:cstheme="majorBidi"/>
          <w:noProof/>
          <w:rtl/>
          <w:lang w:bidi="ar-SA"/>
        </w:rPr>
        <w:drawing>
          <wp:inline distT="0" distB="0" distL="0" distR="0" wp14:anchorId="3BF52C93" wp14:editId="47BBCE7B">
            <wp:extent cx="3067250" cy="2371191"/>
            <wp:effectExtent l="0" t="0" r="0" b="0"/>
            <wp:docPr id="261028946" name="Picture 2610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755" cy="2371581"/>
                    </a:xfrm>
                    <a:prstGeom prst="rect">
                      <a:avLst/>
                    </a:prstGeom>
                    <a:noFill/>
                    <a:ln>
                      <a:noFill/>
                    </a:ln>
                  </pic:spPr>
                </pic:pic>
              </a:graphicData>
            </a:graphic>
          </wp:inline>
        </w:drawing>
      </w:r>
    </w:p>
    <w:p w14:paraId="6F2C50D4" w14:textId="77777777" w:rsidR="00FD68B0" w:rsidRPr="0000665E" w:rsidRDefault="00FD68B0" w:rsidP="00FD68B0">
      <w:pPr>
        <w:bidi w:val="0"/>
        <w:spacing w:after="0" w:line="240" w:lineRule="auto"/>
        <w:rPr>
          <w:rFonts w:asciiTheme="majorBidi" w:hAnsiTheme="majorBidi" w:cstheme="majorBidi"/>
        </w:rPr>
      </w:pPr>
      <w:r w:rsidRPr="0000665E">
        <w:rPr>
          <w:rFonts w:asciiTheme="majorBidi" w:hAnsiTheme="majorBidi" w:cstheme="majorBidi"/>
        </w:rPr>
        <w:t>Fig.8: publication bias for PANSS</w:t>
      </w:r>
    </w:p>
    <w:p w14:paraId="1225B4DA" w14:textId="77777777" w:rsidR="00FD68B0" w:rsidRPr="0000665E" w:rsidRDefault="00FD68B0" w:rsidP="00FD68B0">
      <w:pPr>
        <w:bidi w:val="0"/>
        <w:rPr>
          <w:rFonts w:asciiTheme="majorBidi" w:hAnsiTheme="majorBidi" w:cstheme="majorBidi"/>
        </w:rPr>
      </w:pPr>
      <w:r w:rsidRPr="0000665E">
        <w:rPr>
          <w:rFonts w:asciiTheme="majorBidi" w:hAnsiTheme="majorBidi" w:cstheme="majorBidi"/>
          <w:noProof/>
          <w:lang w:bidi="ar-SA"/>
        </w:rPr>
        <w:drawing>
          <wp:inline distT="0" distB="0" distL="0" distR="0" wp14:anchorId="0AED1EAD" wp14:editId="45BE8C18">
            <wp:extent cx="3110266" cy="1869743"/>
            <wp:effectExtent l="0" t="0" r="0" b="0"/>
            <wp:docPr id="1155941663" name="Picture 115594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41663" name=""/>
                    <pic:cNvPicPr/>
                  </pic:nvPicPr>
                  <pic:blipFill>
                    <a:blip r:embed="rId8"/>
                    <a:stretch>
                      <a:fillRect/>
                    </a:stretch>
                  </pic:blipFill>
                  <pic:spPr>
                    <a:xfrm>
                      <a:off x="0" y="0"/>
                      <a:ext cx="3121693" cy="1876612"/>
                    </a:xfrm>
                    <a:prstGeom prst="rect">
                      <a:avLst/>
                    </a:prstGeom>
                  </pic:spPr>
                </pic:pic>
              </a:graphicData>
            </a:graphic>
          </wp:inline>
        </w:drawing>
      </w:r>
    </w:p>
    <w:p w14:paraId="4B97CEF5" w14:textId="77777777" w:rsidR="00FD68B0" w:rsidRPr="0000665E" w:rsidRDefault="00FD68B0" w:rsidP="00FD68B0">
      <w:pPr>
        <w:bidi w:val="0"/>
        <w:rPr>
          <w:rFonts w:asciiTheme="majorBidi" w:hAnsiTheme="majorBidi" w:cstheme="majorBidi"/>
        </w:rPr>
      </w:pPr>
      <w:r w:rsidRPr="0000665E">
        <w:rPr>
          <w:rFonts w:asciiTheme="majorBidi" w:hAnsiTheme="majorBidi" w:cstheme="majorBidi"/>
        </w:rPr>
        <w:t>Figure 9: publication bias for KELS</w:t>
      </w:r>
    </w:p>
    <w:p w14:paraId="19EB7CF3" w14:textId="77777777" w:rsidR="00FD68B0" w:rsidRPr="0000665E" w:rsidRDefault="00FD68B0" w:rsidP="00FD68B0">
      <w:pPr>
        <w:bidi w:val="0"/>
        <w:rPr>
          <w:rFonts w:asciiTheme="majorBidi" w:hAnsiTheme="majorBidi" w:cstheme="majorBidi"/>
        </w:rPr>
      </w:pPr>
    </w:p>
    <w:p w14:paraId="7A2537FC" w14:textId="77777777" w:rsidR="00FD68B0" w:rsidRPr="0000665E" w:rsidRDefault="00FD68B0" w:rsidP="00FD68B0">
      <w:pPr>
        <w:pStyle w:val="NormalWeb"/>
        <w:spacing w:before="0" w:beforeAutospacing="0" w:after="0" w:afterAutospacing="0" w:line="360" w:lineRule="auto"/>
        <w:rPr>
          <w:rFonts w:asciiTheme="majorBidi" w:hAnsiTheme="majorBidi" w:cstheme="majorBidi"/>
          <w:b/>
          <w:bCs/>
          <w:sz w:val="22"/>
          <w:szCs w:val="22"/>
        </w:rPr>
      </w:pPr>
      <w:r w:rsidRPr="0000665E">
        <w:rPr>
          <w:rFonts w:asciiTheme="majorBidi" w:hAnsiTheme="majorBidi" w:cstheme="majorBidi"/>
          <w:b/>
          <w:bCs/>
          <w:noProof/>
          <w:sz w:val="22"/>
          <w:szCs w:val="22"/>
        </w:rPr>
        <w:lastRenderedPageBreak/>
        <mc:AlternateContent>
          <mc:Choice Requires="wps">
            <w:drawing>
              <wp:anchor distT="0" distB="0" distL="114300" distR="114300" simplePos="0" relativeHeight="251659264" behindDoc="1" locked="0" layoutInCell="1" allowOverlap="1" wp14:anchorId="3A1145DE" wp14:editId="43B2249F">
                <wp:simplePos x="0" y="0"/>
                <wp:positionH relativeFrom="column">
                  <wp:posOffset>-323851</wp:posOffset>
                </wp:positionH>
                <wp:positionV relativeFrom="paragraph">
                  <wp:posOffset>246380</wp:posOffset>
                </wp:positionV>
                <wp:extent cx="6257925" cy="2924175"/>
                <wp:effectExtent l="0" t="0" r="9525" b="9525"/>
                <wp:wrapNone/>
                <wp:docPr id="940682859" name="Text Box 940682859"/>
                <wp:cNvGraphicFramePr/>
                <a:graphic xmlns:a="http://schemas.openxmlformats.org/drawingml/2006/main">
                  <a:graphicData uri="http://schemas.microsoft.com/office/word/2010/wordprocessingShape">
                    <wps:wsp>
                      <wps:cNvSpPr txBox="1"/>
                      <wps:spPr>
                        <a:xfrm>
                          <a:off x="0" y="0"/>
                          <a:ext cx="6257925" cy="2924175"/>
                        </a:xfrm>
                        <a:prstGeom prst="rect">
                          <a:avLst/>
                        </a:prstGeom>
                        <a:solidFill>
                          <a:schemeClr val="lt1"/>
                        </a:solidFill>
                        <a:ln w="6350">
                          <a:noFill/>
                        </a:ln>
                      </wps:spPr>
                      <wps:txbx>
                        <w:txbxContent>
                          <w:p w14:paraId="3ED096FB" w14:textId="77777777" w:rsidR="00FD68B0" w:rsidRPr="00D067BA" w:rsidRDefault="00FD68B0" w:rsidP="00FD68B0">
                            <w:pPr>
                              <w:rPr>
                                <w:color w:val="FFFFFF" w:themeColor="background1"/>
                                <w14:textFill>
                                  <w14:no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145DE" id="_x0000_t202" coordsize="21600,21600" o:spt="202" path="m,l,21600r21600,l21600,xe">
                <v:stroke joinstyle="miter"/>
                <v:path gradientshapeok="t" o:connecttype="rect"/>
              </v:shapetype>
              <v:shape id="Text Box 940682859" o:spid="_x0000_s1026" type="#_x0000_t202" style="position:absolute;margin-left:-25.5pt;margin-top:19.4pt;width:492.75pt;height:23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" fillcolor="white [3201]" stroked="f" strokeweight=".5pt">
                <v:textbox>
                  <w:txbxContent>
                    <w:p w14:paraId="3ED096FB" w14:textId="77777777" w:rsidR="00FD68B0" w:rsidRPr="00D067BA" w:rsidRDefault="00FD68B0" w:rsidP="00FD68B0">
                      <w:pPr>
                        <w:rPr>
                          <w:color w:val="FFFFFF" w:themeColor="background1"/>
                          <w14:textFill>
                            <w14:noFill/>
                          </w14:textFill>
                        </w:rPr>
                      </w:pPr>
                    </w:p>
                  </w:txbxContent>
                </v:textbox>
              </v:shape>
            </w:pict>
          </mc:Fallback>
        </mc:AlternateContent>
      </w:r>
      <w:r w:rsidRPr="0000665E">
        <w:rPr>
          <w:rFonts w:asciiTheme="majorBidi" w:hAnsiTheme="majorBidi" w:cstheme="majorBidi"/>
          <w:b/>
          <w:bCs/>
          <w:sz w:val="22"/>
          <w:szCs w:val="22"/>
        </w:rPr>
        <w:t>D: Other tools</w:t>
      </w:r>
    </w:p>
    <w:p w14:paraId="00E1CA38" w14:textId="77777777" w:rsidR="00FD68B0" w:rsidRPr="0000665E" w:rsidRDefault="00FD68B0" w:rsidP="00FD68B0">
      <w:pPr>
        <w:bidi w:val="0"/>
        <w:spacing w:after="0" w:line="240" w:lineRule="auto"/>
        <w:rPr>
          <w:rFonts w:asciiTheme="majorBidi" w:hAnsiTheme="majorBidi" w:cstheme="majorBidi"/>
        </w:rPr>
      </w:pPr>
      <w:r w:rsidRPr="0000665E">
        <w:rPr>
          <w:rFonts w:asciiTheme="majorBidi" w:hAnsiTheme="majorBidi" w:cstheme="majorBidi"/>
          <w:noProof/>
          <w:lang w:bidi="ar-SA"/>
        </w:rPr>
        <mc:AlternateContent>
          <mc:Choice Requires="wps">
            <w:drawing>
              <wp:anchor distT="0" distB="0" distL="114300" distR="114300" simplePos="0" relativeHeight="251660288" behindDoc="0" locked="0" layoutInCell="1" allowOverlap="1" wp14:anchorId="2433D2D6" wp14:editId="732C24DF">
                <wp:simplePos x="0" y="0"/>
                <wp:positionH relativeFrom="column">
                  <wp:posOffset>-219075</wp:posOffset>
                </wp:positionH>
                <wp:positionV relativeFrom="paragraph">
                  <wp:posOffset>205740</wp:posOffset>
                </wp:positionV>
                <wp:extent cx="5657850" cy="1609725"/>
                <wp:effectExtent l="0" t="0" r="0" b="0"/>
                <wp:wrapNone/>
                <wp:docPr id="83361991" name="Text Box 83361991"/>
                <wp:cNvGraphicFramePr/>
                <a:graphic xmlns:a="http://schemas.openxmlformats.org/drawingml/2006/main">
                  <a:graphicData uri="http://schemas.microsoft.com/office/word/2010/wordprocessingShape">
                    <wps:wsp>
                      <wps:cNvSpPr txBox="1"/>
                      <wps:spPr>
                        <a:xfrm>
                          <a:off x="0" y="0"/>
                          <a:ext cx="5657850" cy="1609725"/>
                        </a:xfrm>
                        <a:prstGeom prst="rect">
                          <a:avLst/>
                        </a:prstGeom>
                        <a:noFill/>
                        <a:ln w="6350">
                          <a:noFill/>
                        </a:ln>
                      </wps:spPr>
                      <wps:txbx>
                        <w:txbxContent>
                          <w:tbl>
                            <w:tblPr>
                              <w:tblStyle w:val="GridTable1Light"/>
                              <w:tblW w:w="5000" w:type="pct"/>
                              <w:shd w:val="clear" w:color="auto" w:fill="FFFFFF" w:themeFill="background1"/>
                              <w:tblLook w:val="04A0" w:firstRow="1" w:lastRow="0" w:firstColumn="1" w:lastColumn="0" w:noHBand="0" w:noVBand="1"/>
                            </w:tblPr>
                            <w:tblGrid>
                              <w:gridCol w:w="1972"/>
                              <w:gridCol w:w="6645"/>
                            </w:tblGrid>
                            <w:tr w:rsidR="00FD68B0" w14:paraId="2995C4F1" w14:textId="77777777" w:rsidTr="00D067BA">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576AE82" w14:textId="77777777" w:rsidR="00FD68B0" w:rsidRDefault="00FD68B0" w:rsidP="00D067BA">
                                  <w:pPr>
                                    <w:bidi w:val="0"/>
                                    <w:jc w:val="center"/>
                                    <w:rPr>
                                      <w:b w:val="0"/>
                                      <w:bCs w:val="0"/>
                                    </w:rPr>
                                  </w:pPr>
                                  <w:r w:rsidRPr="00524F1C">
                                    <w:rPr>
                                      <w:rFonts w:ascii="Segoe UI" w:hAnsi="Segoe UI" w:cs="Segoe UI"/>
                                      <w:b w:val="0"/>
                                      <w:bCs w:val="0"/>
                                      <w:color w:val="333333"/>
                                      <w:sz w:val="21"/>
                                      <w:szCs w:val="21"/>
                                    </w:rPr>
                                    <w:t>T</w:t>
                                  </w:r>
                                  <w:r>
                                    <w:rPr>
                                      <w:rFonts w:ascii="Segoe UI" w:hAnsi="Segoe UI" w:cs="Segoe UI"/>
                                      <w:b w:val="0"/>
                                      <w:bCs w:val="0"/>
                                      <w:color w:val="333333"/>
                                      <w:sz w:val="21"/>
                                      <w:szCs w:val="21"/>
                                    </w:rPr>
                                    <w:t>ool</w:t>
                                  </w:r>
                                </w:p>
                              </w:tc>
                              <w:tc>
                                <w:tcPr>
                                  <w:tcW w:w="3856" w:type="pct"/>
                                  <w:shd w:val="clear" w:color="auto" w:fill="FFFFFF" w:themeFill="background1"/>
                                  <w:vAlign w:val="center"/>
                                </w:tcPr>
                                <w:p w14:paraId="251173D7" w14:textId="77777777" w:rsidR="00FD68B0" w:rsidRDefault="00FD68B0" w:rsidP="00D067BA">
                                  <w:pPr>
                                    <w:bidi w:val="0"/>
                                    <w:jc w:val="center"/>
                                    <w:cnfStyle w:val="100000000000" w:firstRow="1" w:lastRow="0" w:firstColumn="0" w:lastColumn="0" w:oddVBand="0" w:evenVBand="0" w:oddHBand="0" w:evenHBand="0" w:firstRowFirstColumn="0" w:firstRowLastColumn="0" w:lastRowFirstColumn="0" w:lastRowLastColumn="0"/>
                                  </w:pPr>
                                  <w:r>
                                    <w:rPr>
                                      <w:rFonts w:ascii="Segoe UI" w:hAnsi="Segoe UI" w:cs="Segoe UI"/>
                                      <w:b w:val="0"/>
                                      <w:bCs w:val="0"/>
                                      <w:color w:val="333333"/>
                                      <w:sz w:val="21"/>
                                      <w:szCs w:val="21"/>
                                    </w:rPr>
                                    <w:t>Standardized mean difference (95 % CI)</w:t>
                                  </w:r>
                                </w:p>
                              </w:tc>
                            </w:tr>
                            <w:tr w:rsidR="00FD68B0" w14:paraId="6E75E256" w14:textId="77777777" w:rsidTr="00D067BA">
                              <w:trPr>
                                <w:trHeight w:val="218"/>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71B1101D"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ACIS</w:t>
                                  </w:r>
                                </w:p>
                              </w:tc>
                              <w:tc>
                                <w:tcPr>
                                  <w:tcW w:w="3856" w:type="pct"/>
                                  <w:shd w:val="clear" w:color="auto" w:fill="FFFFFF" w:themeFill="background1"/>
                                  <w:vAlign w:val="center"/>
                                </w:tcPr>
                                <w:p w14:paraId="30C41C13" w14:textId="77777777" w:rsidR="00FD68B0" w:rsidRPr="00E314F3"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333333"/>
                                      <w:sz w:val="21"/>
                                      <w:szCs w:val="21"/>
                                    </w:rPr>
                                  </w:pPr>
                                  <w:r>
                                    <w:rPr>
                                      <w:rFonts w:ascii="Segoe UI" w:hAnsi="Segoe UI" w:cs="Segoe UI"/>
                                      <w:color w:val="333333"/>
                                      <w:sz w:val="21"/>
                                      <w:szCs w:val="21"/>
                                    </w:rPr>
                                    <w:t>1.747</w:t>
                                  </w:r>
                                  <w:r w:rsidRPr="00E314F3">
                                    <w:rPr>
                                      <w:rFonts w:ascii="Segoe UI" w:hAnsi="Segoe UI" w:cs="Segoe UI"/>
                                      <w:color w:val="333333"/>
                                      <w:sz w:val="21"/>
                                      <w:szCs w:val="21"/>
                                    </w:rPr>
                                    <w:t xml:space="preserve"> (</w:t>
                                  </w:r>
                                  <w:r w:rsidRPr="000C1EAC">
                                    <w:rPr>
                                      <w:rFonts w:ascii="Segoe UI" w:hAnsi="Segoe UI" w:cs="Segoe UI"/>
                                      <w:color w:val="333333"/>
                                      <w:sz w:val="21"/>
                                      <w:szCs w:val="21"/>
                                    </w:rPr>
                                    <w:t>1</w:t>
                                  </w:r>
                                  <w:r>
                                    <w:rPr>
                                      <w:rFonts w:ascii="Segoe UI" w:hAnsi="Segoe UI" w:cs="Segoe UI"/>
                                      <w:color w:val="333333"/>
                                      <w:sz w:val="21"/>
                                      <w:szCs w:val="21"/>
                                    </w:rPr>
                                    <w:t xml:space="preserve">.08, </w:t>
                                  </w:r>
                                  <w:r w:rsidRPr="000C1EAC">
                                    <w:rPr>
                                      <w:rFonts w:ascii="Segoe UI" w:hAnsi="Segoe UI" w:cs="Segoe UI"/>
                                      <w:color w:val="333333"/>
                                      <w:sz w:val="21"/>
                                      <w:szCs w:val="21"/>
                                    </w:rPr>
                                    <w:t>2</w:t>
                                  </w:r>
                                  <w:r>
                                    <w:rPr>
                                      <w:rFonts w:ascii="Segoe UI" w:hAnsi="Segoe UI" w:cs="Segoe UI"/>
                                      <w:color w:val="333333"/>
                                      <w:sz w:val="21"/>
                                      <w:szCs w:val="21"/>
                                    </w:rPr>
                                    <w:t>.41</w:t>
                                  </w:r>
                                  <w:r w:rsidRPr="00E314F3">
                                    <w:rPr>
                                      <w:rFonts w:ascii="Segoe UI" w:hAnsi="Segoe UI" w:cs="Segoe UI"/>
                                      <w:color w:val="333333"/>
                                      <w:sz w:val="21"/>
                                      <w:szCs w:val="21"/>
                                    </w:rPr>
                                    <w:cr/>
                                    <w:t>)</w:t>
                                  </w:r>
                                </w:p>
                              </w:tc>
                            </w:tr>
                            <w:tr w:rsidR="00FD68B0" w14:paraId="316DCEC9" w14:textId="77777777" w:rsidTr="00D067BA">
                              <w:trPr>
                                <w:trHeight w:val="80"/>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B78EA7D"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ANSQ</w:t>
                                  </w:r>
                                </w:p>
                              </w:tc>
                              <w:tc>
                                <w:tcPr>
                                  <w:tcW w:w="3856" w:type="pct"/>
                                  <w:shd w:val="clear" w:color="auto" w:fill="FFFFFF" w:themeFill="background1"/>
                                  <w:vAlign w:val="center"/>
                                </w:tcPr>
                                <w:p w14:paraId="28C890F5" w14:textId="77777777" w:rsidR="00FD68B0" w:rsidRPr="00E314F3"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333333"/>
                                      <w:sz w:val="21"/>
                                      <w:szCs w:val="21"/>
                                    </w:rPr>
                                  </w:pPr>
                                  <w:r>
                                    <w:rPr>
                                      <w:rFonts w:ascii="Segoe UI" w:hAnsi="Segoe UI" w:cs="Segoe UI"/>
                                      <w:color w:val="333333"/>
                                      <w:sz w:val="21"/>
                                      <w:szCs w:val="21"/>
                                    </w:rPr>
                                    <w:t>-0.581 (-1.312, 0.149)</w:t>
                                  </w:r>
                                </w:p>
                              </w:tc>
                            </w:tr>
                            <w:tr w:rsidR="00FD68B0" w14:paraId="7C2BDEF3" w14:textId="77777777" w:rsidTr="00D067BA">
                              <w:trPr>
                                <w:trHeight w:val="43"/>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5CA2CF4F"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BRPS</w:t>
                                  </w:r>
                                </w:p>
                              </w:tc>
                              <w:tc>
                                <w:tcPr>
                                  <w:tcW w:w="3856" w:type="pct"/>
                                  <w:shd w:val="clear" w:color="auto" w:fill="FFFFFF" w:themeFill="background1"/>
                                  <w:vAlign w:val="center"/>
                                </w:tcPr>
                                <w:p w14:paraId="6CF7DED1" w14:textId="77777777" w:rsidR="00FD68B0" w:rsidRPr="00E314F3"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333333"/>
                                      <w:sz w:val="21"/>
                                      <w:szCs w:val="21"/>
                                    </w:rPr>
                                  </w:pPr>
                                </w:p>
                              </w:tc>
                            </w:tr>
                            <w:tr w:rsidR="00FD68B0" w14:paraId="4635E1E0" w14:textId="77777777" w:rsidTr="00D067BA">
                              <w:trPr>
                                <w:trHeight w:val="272"/>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A150730"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DSK</w:t>
                                  </w:r>
                                </w:p>
                              </w:tc>
                              <w:tc>
                                <w:tcPr>
                                  <w:tcW w:w="3856" w:type="pct"/>
                                  <w:shd w:val="clear" w:color="auto" w:fill="FFFFFF" w:themeFill="background1"/>
                                  <w:vAlign w:val="center"/>
                                </w:tcPr>
                                <w:p w14:paraId="53C1A077"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sidRPr="009155C6">
                                    <w:rPr>
                                      <w:rFonts w:ascii="Segoe UI" w:hAnsi="Segoe UI" w:cs="Segoe UI"/>
                                      <w:sz w:val="21"/>
                                      <w:szCs w:val="21"/>
                                    </w:rPr>
                                    <w:t>0.835 (0.088, 1.581)</w:t>
                                  </w:r>
                                </w:p>
                              </w:tc>
                            </w:tr>
                            <w:tr w:rsidR="00FD68B0" w14:paraId="7EA8F9D8" w14:textId="77777777" w:rsidTr="00D067BA">
                              <w:trPr>
                                <w:trHeight w:val="218"/>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1C2736C1"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MARS</w:t>
                                  </w:r>
                                </w:p>
                              </w:tc>
                              <w:tc>
                                <w:tcPr>
                                  <w:tcW w:w="3856" w:type="pct"/>
                                  <w:shd w:val="clear" w:color="auto" w:fill="FFFFFF" w:themeFill="background1"/>
                                  <w:vAlign w:val="center"/>
                                </w:tcPr>
                                <w:p w14:paraId="276C3E91"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sidRPr="009155C6">
                                    <w:rPr>
                                      <w:rFonts w:ascii="Segoe UI" w:hAnsi="Segoe UI" w:cs="Segoe UI"/>
                                      <w:sz w:val="21"/>
                                      <w:szCs w:val="21"/>
                                    </w:rPr>
                                    <w:t>3.146</w:t>
                                  </w:r>
                                  <w:r>
                                    <w:rPr>
                                      <w:rFonts w:ascii="Segoe UI" w:hAnsi="Segoe UI" w:cs="Segoe UI"/>
                                      <w:sz w:val="21"/>
                                      <w:szCs w:val="21"/>
                                    </w:rPr>
                                    <w:t xml:space="preserve"> (2.310, 3.983)</w:t>
                                  </w:r>
                                </w:p>
                              </w:tc>
                            </w:tr>
                            <w:tr w:rsidR="00FD68B0" w14:paraId="590B0783" w14:textId="77777777" w:rsidTr="00D067BA">
                              <w:trPr>
                                <w:trHeight w:val="218"/>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385C403"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WQOLCQ</w:t>
                                  </w:r>
                                </w:p>
                              </w:tc>
                              <w:tc>
                                <w:tcPr>
                                  <w:tcW w:w="3856" w:type="pct"/>
                                  <w:shd w:val="clear" w:color="auto" w:fill="FFFFFF" w:themeFill="background1"/>
                                  <w:vAlign w:val="center"/>
                                </w:tcPr>
                                <w:p w14:paraId="2DBD7A56"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sidRPr="009155C6">
                                    <w:rPr>
                                      <w:rFonts w:ascii="Segoe UI" w:hAnsi="Segoe UI" w:cs="Segoe UI"/>
                                      <w:sz w:val="21"/>
                                      <w:szCs w:val="21"/>
                                    </w:rPr>
                                    <w:t>0.798</w:t>
                                  </w:r>
                                  <w:r>
                                    <w:rPr>
                                      <w:rFonts w:ascii="Segoe UI" w:hAnsi="Segoe UI" w:cs="Segoe UI"/>
                                      <w:sz w:val="21"/>
                                      <w:szCs w:val="21"/>
                                    </w:rPr>
                                    <w:t xml:space="preserve"> (0.295, 1.301)</w:t>
                                  </w:r>
                                </w:p>
                              </w:tc>
                            </w:tr>
                            <w:tr w:rsidR="00FD68B0" w14:paraId="54604A88" w14:textId="77777777" w:rsidTr="00D067BA">
                              <w:trPr>
                                <w:trHeight w:val="241"/>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172C175E"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MESS</w:t>
                                  </w:r>
                                </w:p>
                              </w:tc>
                              <w:tc>
                                <w:tcPr>
                                  <w:tcW w:w="3856" w:type="pct"/>
                                  <w:shd w:val="clear" w:color="auto" w:fill="FFFFFF" w:themeFill="background1"/>
                                  <w:vAlign w:val="center"/>
                                </w:tcPr>
                                <w:p w14:paraId="11891E69"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Pr>
                                      <w:rFonts w:ascii="Segoe UI" w:hAnsi="Segoe UI" w:cs="Segoe UI"/>
                                      <w:sz w:val="21"/>
                                      <w:szCs w:val="21"/>
                                    </w:rPr>
                                    <w:t>-0.877 (-1.749, 0.041)</w:t>
                                  </w:r>
                                </w:p>
                              </w:tc>
                            </w:tr>
                          </w:tbl>
                          <w:p w14:paraId="0D181994" w14:textId="77777777" w:rsidR="00FD68B0" w:rsidRDefault="00FD68B0" w:rsidP="00FD68B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3D2D6" id="Text Box 83361991" o:spid="_x0000_s1027" type="#_x0000_t202" style="position:absolute;margin-left:-17.25pt;margin-top:16.2pt;width:445.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" filled="f" stroked="f" strokeweight=".5pt">
                <v:textbox>
                  <w:txbxContent>
                    <w:tbl>
                      <w:tblPr>
                        <w:tblStyle w:val="GridTable1Light"/>
                        <w:tblW w:w="5000" w:type="pct"/>
                        <w:shd w:val="clear" w:color="auto" w:fill="FFFFFF" w:themeFill="background1"/>
                        <w:tblLook w:val="04A0" w:firstRow="1" w:lastRow="0" w:firstColumn="1" w:lastColumn="0" w:noHBand="0" w:noVBand="1"/>
                      </w:tblPr>
                      <w:tblGrid>
                        <w:gridCol w:w="1972"/>
                        <w:gridCol w:w="6645"/>
                      </w:tblGrid>
                      <w:tr w:rsidR="00FD68B0" w14:paraId="2995C4F1" w14:textId="77777777" w:rsidTr="00D067BA">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576AE82" w14:textId="77777777" w:rsidR="00FD68B0" w:rsidRDefault="00FD68B0" w:rsidP="00D067BA">
                            <w:pPr>
                              <w:bidi w:val="0"/>
                              <w:jc w:val="center"/>
                              <w:rPr>
                                <w:b w:val="0"/>
                                <w:bCs w:val="0"/>
                              </w:rPr>
                            </w:pPr>
                            <w:r w:rsidRPr="00524F1C">
                              <w:rPr>
                                <w:rFonts w:ascii="Segoe UI" w:hAnsi="Segoe UI" w:cs="Segoe UI"/>
                                <w:b w:val="0"/>
                                <w:bCs w:val="0"/>
                                <w:color w:val="333333"/>
                                <w:sz w:val="21"/>
                                <w:szCs w:val="21"/>
                              </w:rPr>
                              <w:t>T</w:t>
                            </w:r>
                            <w:r>
                              <w:rPr>
                                <w:rFonts w:ascii="Segoe UI" w:hAnsi="Segoe UI" w:cs="Segoe UI"/>
                                <w:b w:val="0"/>
                                <w:bCs w:val="0"/>
                                <w:color w:val="333333"/>
                                <w:sz w:val="21"/>
                                <w:szCs w:val="21"/>
                              </w:rPr>
                              <w:t>ool</w:t>
                            </w:r>
                          </w:p>
                        </w:tc>
                        <w:tc>
                          <w:tcPr>
                            <w:tcW w:w="3856" w:type="pct"/>
                            <w:shd w:val="clear" w:color="auto" w:fill="FFFFFF" w:themeFill="background1"/>
                            <w:vAlign w:val="center"/>
                          </w:tcPr>
                          <w:p w14:paraId="251173D7" w14:textId="77777777" w:rsidR="00FD68B0" w:rsidRDefault="00FD68B0" w:rsidP="00D067BA">
                            <w:pPr>
                              <w:bidi w:val="0"/>
                              <w:jc w:val="center"/>
                              <w:cnfStyle w:val="100000000000" w:firstRow="1" w:lastRow="0" w:firstColumn="0" w:lastColumn="0" w:oddVBand="0" w:evenVBand="0" w:oddHBand="0" w:evenHBand="0" w:firstRowFirstColumn="0" w:firstRowLastColumn="0" w:lastRowFirstColumn="0" w:lastRowLastColumn="0"/>
                            </w:pPr>
                            <w:r>
                              <w:rPr>
                                <w:rFonts w:ascii="Segoe UI" w:hAnsi="Segoe UI" w:cs="Segoe UI"/>
                                <w:b w:val="0"/>
                                <w:bCs w:val="0"/>
                                <w:color w:val="333333"/>
                                <w:sz w:val="21"/>
                                <w:szCs w:val="21"/>
                              </w:rPr>
                              <w:t>Standardized mean difference (95 % CI)</w:t>
                            </w:r>
                          </w:p>
                        </w:tc>
                      </w:tr>
                      <w:tr w:rsidR="00FD68B0" w14:paraId="6E75E256" w14:textId="77777777" w:rsidTr="00D067BA">
                        <w:trPr>
                          <w:trHeight w:val="218"/>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71B1101D"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ACIS</w:t>
                            </w:r>
                          </w:p>
                        </w:tc>
                        <w:tc>
                          <w:tcPr>
                            <w:tcW w:w="3856" w:type="pct"/>
                            <w:shd w:val="clear" w:color="auto" w:fill="FFFFFF" w:themeFill="background1"/>
                            <w:vAlign w:val="center"/>
                          </w:tcPr>
                          <w:p w14:paraId="30C41C13" w14:textId="77777777" w:rsidR="00FD68B0" w:rsidRPr="00E314F3"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333333"/>
                                <w:sz w:val="21"/>
                                <w:szCs w:val="21"/>
                              </w:rPr>
                            </w:pPr>
                            <w:r>
                              <w:rPr>
                                <w:rFonts w:ascii="Segoe UI" w:hAnsi="Segoe UI" w:cs="Segoe UI"/>
                                <w:color w:val="333333"/>
                                <w:sz w:val="21"/>
                                <w:szCs w:val="21"/>
                              </w:rPr>
                              <w:t>1.747</w:t>
                            </w:r>
                            <w:r w:rsidRPr="00E314F3">
                              <w:rPr>
                                <w:rFonts w:ascii="Segoe UI" w:hAnsi="Segoe UI" w:cs="Segoe UI"/>
                                <w:color w:val="333333"/>
                                <w:sz w:val="21"/>
                                <w:szCs w:val="21"/>
                              </w:rPr>
                              <w:t xml:space="preserve"> (</w:t>
                            </w:r>
                            <w:r w:rsidRPr="000C1EAC">
                              <w:rPr>
                                <w:rFonts w:ascii="Segoe UI" w:hAnsi="Segoe UI" w:cs="Segoe UI"/>
                                <w:color w:val="333333"/>
                                <w:sz w:val="21"/>
                                <w:szCs w:val="21"/>
                              </w:rPr>
                              <w:t>1</w:t>
                            </w:r>
                            <w:r>
                              <w:rPr>
                                <w:rFonts w:ascii="Segoe UI" w:hAnsi="Segoe UI" w:cs="Segoe UI"/>
                                <w:color w:val="333333"/>
                                <w:sz w:val="21"/>
                                <w:szCs w:val="21"/>
                              </w:rPr>
                              <w:t xml:space="preserve">.08, </w:t>
                            </w:r>
                            <w:r w:rsidRPr="000C1EAC">
                              <w:rPr>
                                <w:rFonts w:ascii="Segoe UI" w:hAnsi="Segoe UI" w:cs="Segoe UI"/>
                                <w:color w:val="333333"/>
                                <w:sz w:val="21"/>
                                <w:szCs w:val="21"/>
                              </w:rPr>
                              <w:t>2</w:t>
                            </w:r>
                            <w:r>
                              <w:rPr>
                                <w:rFonts w:ascii="Segoe UI" w:hAnsi="Segoe UI" w:cs="Segoe UI"/>
                                <w:color w:val="333333"/>
                                <w:sz w:val="21"/>
                                <w:szCs w:val="21"/>
                              </w:rPr>
                              <w:t>.41</w:t>
                            </w:r>
                            <w:r w:rsidRPr="00E314F3">
                              <w:rPr>
                                <w:rFonts w:ascii="Segoe UI" w:hAnsi="Segoe UI" w:cs="Segoe UI"/>
                                <w:color w:val="333333"/>
                                <w:sz w:val="21"/>
                                <w:szCs w:val="21"/>
                              </w:rPr>
                              <w:cr/>
                              <w:t>)</w:t>
                            </w:r>
                          </w:p>
                        </w:tc>
                      </w:tr>
                      <w:tr w:rsidR="00FD68B0" w14:paraId="316DCEC9" w14:textId="77777777" w:rsidTr="00D067BA">
                        <w:trPr>
                          <w:trHeight w:val="80"/>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B78EA7D"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ANSQ</w:t>
                            </w:r>
                          </w:p>
                        </w:tc>
                        <w:tc>
                          <w:tcPr>
                            <w:tcW w:w="3856" w:type="pct"/>
                            <w:shd w:val="clear" w:color="auto" w:fill="FFFFFF" w:themeFill="background1"/>
                            <w:vAlign w:val="center"/>
                          </w:tcPr>
                          <w:p w14:paraId="28C890F5" w14:textId="77777777" w:rsidR="00FD68B0" w:rsidRPr="00E314F3"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333333"/>
                                <w:sz w:val="21"/>
                                <w:szCs w:val="21"/>
                              </w:rPr>
                            </w:pPr>
                            <w:r>
                              <w:rPr>
                                <w:rFonts w:ascii="Segoe UI" w:hAnsi="Segoe UI" w:cs="Segoe UI"/>
                                <w:color w:val="333333"/>
                                <w:sz w:val="21"/>
                                <w:szCs w:val="21"/>
                              </w:rPr>
                              <w:t>-0.581 (-1.312, 0.149)</w:t>
                            </w:r>
                          </w:p>
                        </w:tc>
                      </w:tr>
                      <w:tr w:rsidR="00FD68B0" w14:paraId="7C2BDEF3" w14:textId="77777777" w:rsidTr="00D067BA">
                        <w:trPr>
                          <w:trHeight w:val="43"/>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5CA2CF4F"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BRPS</w:t>
                            </w:r>
                          </w:p>
                        </w:tc>
                        <w:tc>
                          <w:tcPr>
                            <w:tcW w:w="3856" w:type="pct"/>
                            <w:shd w:val="clear" w:color="auto" w:fill="FFFFFF" w:themeFill="background1"/>
                            <w:vAlign w:val="center"/>
                          </w:tcPr>
                          <w:p w14:paraId="6CF7DED1" w14:textId="77777777" w:rsidR="00FD68B0" w:rsidRPr="00E314F3"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333333"/>
                                <w:sz w:val="21"/>
                                <w:szCs w:val="21"/>
                              </w:rPr>
                            </w:pPr>
                          </w:p>
                        </w:tc>
                      </w:tr>
                      <w:tr w:rsidR="00FD68B0" w14:paraId="4635E1E0" w14:textId="77777777" w:rsidTr="00D067BA">
                        <w:trPr>
                          <w:trHeight w:val="272"/>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A150730"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DSK</w:t>
                            </w:r>
                          </w:p>
                        </w:tc>
                        <w:tc>
                          <w:tcPr>
                            <w:tcW w:w="3856" w:type="pct"/>
                            <w:shd w:val="clear" w:color="auto" w:fill="FFFFFF" w:themeFill="background1"/>
                            <w:vAlign w:val="center"/>
                          </w:tcPr>
                          <w:p w14:paraId="53C1A077"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sidRPr="009155C6">
                              <w:rPr>
                                <w:rFonts w:ascii="Segoe UI" w:hAnsi="Segoe UI" w:cs="Segoe UI"/>
                                <w:sz w:val="21"/>
                                <w:szCs w:val="21"/>
                              </w:rPr>
                              <w:t>0.835 (0.088, 1.581)</w:t>
                            </w:r>
                          </w:p>
                        </w:tc>
                      </w:tr>
                      <w:tr w:rsidR="00FD68B0" w14:paraId="7EA8F9D8" w14:textId="77777777" w:rsidTr="00D067BA">
                        <w:trPr>
                          <w:trHeight w:val="218"/>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1C2736C1"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MARS</w:t>
                            </w:r>
                          </w:p>
                        </w:tc>
                        <w:tc>
                          <w:tcPr>
                            <w:tcW w:w="3856" w:type="pct"/>
                            <w:shd w:val="clear" w:color="auto" w:fill="FFFFFF" w:themeFill="background1"/>
                            <w:vAlign w:val="center"/>
                          </w:tcPr>
                          <w:p w14:paraId="276C3E91"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sidRPr="009155C6">
                              <w:rPr>
                                <w:rFonts w:ascii="Segoe UI" w:hAnsi="Segoe UI" w:cs="Segoe UI"/>
                                <w:sz w:val="21"/>
                                <w:szCs w:val="21"/>
                              </w:rPr>
                              <w:t>3.146</w:t>
                            </w:r>
                            <w:r>
                              <w:rPr>
                                <w:rFonts w:ascii="Segoe UI" w:hAnsi="Segoe UI" w:cs="Segoe UI"/>
                                <w:sz w:val="21"/>
                                <w:szCs w:val="21"/>
                              </w:rPr>
                              <w:t xml:space="preserve"> (2.310, 3.983)</w:t>
                            </w:r>
                          </w:p>
                        </w:tc>
                      </w:tr>
                      <w:tr w:rsidR="00FD68B0" w14:paraId="590B0783" w14:textId="77777777" w:rsidTr="00D067BA">
                        <w:trPr>
                          <w:trHeight w:val="218"/>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3385C403"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WQOLCQ</w:t>
                            </w:r>
                          </w:p>
                        </w:tc>
                        <w:tc>
                          <w:tcPr>
                            <w:tcW w:w="3856" w:type="pct"/>
                            <w:shd w:val="clear" w:color="auto" w:fill="FFFFFF" w:themeFill="background1"/>
                            <w:vAlign w:val="center"/>
                          </w:tcPr>
                          <w:p w14:paraId="2DBD7A56"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sidRPr="009155C6">
                              <w:rPr>
                                <w:rFonts w:ascii="Segoe UI" w:hAnsi="Segoe UI" w:cs="Segoe UI"/>
                                <w:sz w:val="21"/>
                                <w:szCs w:val="21"/>
                              </w:rPr>
                              <w:t>0.798</w:t>
                            </w:r>
                            <w:r>
                              <w:rPr>
                                <w:rFonts w:ascii="Segoe UI" w:hAnsi="Segoe UI" w:cs="Segoe UI"/>
                                <w:sz w:val="21"/>
                                <w:szCs w:val="21"/>
                              </w:rPr>
                              <w:t xml:space="preserve"> (0.295, 1.301)</w:t>
                            </w:r>
                          </w:p>
                        </w:tc>
                      </w:tr>
                      <w:tr w:rsidR="00FD68B0" w14:paraId="54604A88" w14:textId="77777777" w:rsidTr="00D067BA">
                        <w:trPr>
                          <w:trHeight w:val="241"/>
                        </w:trPr>
                        <w:tc>
                          <w:tcPr>
                            <w:cnfStyle w:val="001000000000" w:firstRow="0" w:lastRow="0" w:firstColumn="1" w:lastColumn="0" w:oddVBand="0" w:evenVBand="0" w:oddHBand="0" w:evenHBand="0" w:firstRowFirstColumn="0" w:firstRowLastColumn="0" w:lastRowFirstColumn="0" w:lastRowLastColumn="0"/>
                            <w:tcW w:w="1144" w:type="pct"/>
                            <w:tcBorders>
                              <w:left w:val="single" w:sz="4" w:space="0" w:color="auto"/>
                            </w:tcBorders>
                            <w:shd w:val="clear" w:color="auto" w:fill="FFFFFF" w:themeFill="background1"/>
                            <w:vAlign w:val="center"/>
                          </w:tcPr>
                          <w:p w14:paraId="172C175E" w14:textId="77777777" w:rsidR="00FD68B0" w:rsidRPr="007B139C" w:rsidRDefault="00FD68B0" w:rsidP="00D067BA">
                            <w:pPr>
                              <w:bidi w:val="0"/>
                              <w:jc w:val="center"/>
                              <w:rPr>
                                <w:rFonts w:ascii="Segoe UI" w:hAnsi="Segoe UI" w:cs="Segoe UI"/>
                                <w:sz w:val="21"/>
                                <w:szCs w:val="21"/>
                              </w:rPr>
                            </w:pPr>
                            <w:r w:rsidRPr="007B139C">
                              <w:rPr>
                                <w:rFonts w:ascii="Segoe UI" w:hAnsi="Segoe UI" w:cs="Segoe UI"/>
                                <w:sz w:val="21"/>
                                <w:szCs w:val="21"/>
                              </w:rPr>
                              <w:t>MESS</w:t>
                            </w:r>
                          </w:p>
                        </w:tc>
                        <w:tc>
                          <w:tcPr>
                            <w:tcW w:w="3856" w:type="pct"/>
                            <w:shd w:val="clear" w:color="auto" w:fill="FFFFFF" w:themeFill="background1"/>
                            <w:vAlign w:val="center"/>
                          </w:tcPr>
                          <w:p w14:paraId="11891E69" w14:textId="77777777" w:rsidR="00FD68B0" w:rsidRPr="009155C6" w:rsidRDefault="00FD68B0" w:rsidP="00D067BA">
                            <w:pPr>
                              <w:bidi w:val="0"/>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r>
                              <w:rPr>
                                <w:rFonts w:ascii="Segoe UI" w:hAnsi="Segoe UI" w:cs="Segoe UI"/>
                                <w:sz w:val="21"/>
                                <w:szCs w:val="21"/>
                              </w:rPr>
                              <w:t>-0.877 (-1.749, 0.041)</w:t>
                            </w:r>
                          </w:p>
                        </w:tc>
                      </w:tr>
                    </w:tbl>
                    <w:p w14:paraId="0D181994" w14:textId="77777777" w:rsidR="00FD68B0" w:rsidRDefault="00FD68B0" w:rsidP="00FD68B0"/>
                  </w:txbxContent>
                </v:textbox>
              </v:shape>
            </w:pict>
          </mc:Fallback>
        </mc:AlternateContent>
      </w:r>
      <w:r w:rsidRPr="0000665E">
        <w:rPr>
          <w:rFonts w:asciiTheme="majorBidi" w:hAnsiTheme="majorBidi" w:cstheme="majorBidi"/>
        </w:rPr>
        <w:t>Table 3: The tools that were utilized solely in one article</w:t>
      </w:r>
    </w:p>
    <w:p w14:paraId="711769A2" w14:textId="77777777" w:rsidR="00FD68B0" w:rsidRPr="0000665E" w:rsidRDefault="00FD68B0" w:rsidP="00FD68B0">
      <w:pPr>
        <w:bidi w:val="0"/>
        <w:spacing w:after="0" w:line="240" w:lineRule="auto"/>
        <w:rPr>
          <w:rFonts w:asciiTheme="majorBidi" w:hAnsiTheme="majorBidi" w:cstheme="majorBidi"/>
        </w:rPr>
      </w:pPr>
    </w:p>
    <w:p w14:paraId="2A3C5AE6" w14:textId="77777777" w:rsidR="00FD68B0" w:rsidRPr="0000665E" w:rsidRDefault="00FD68B0" w:rsidP="00FD68B0">
      <w:pPr>
        <w:bidi w:val="0"/>
        <w:spacing w:after="0" w:line="240" w:lineRule="auto"/>
        <w:rPr>
          <w:rFonts w:asciiTheme="majorBidi" w:hAnsiTheme="majorBidi" w:cstheme="majorBidi"/>
          <w:rtl/>
        </w:rPr>
      </w:pPr>
    </w:p>
    <w:p w14:paraId="6877EFE9" w14:textId="77777777" w:rsidR="00FD68B0" w:rsidRPr="0000665E" w:rsidRDefault="00FD68B0" w:rsidP="00FD68B0">
      <w:pPr>
        <w:bidi w:val="0"/>
        <w:spacing w:after="0" w:line="240" w:lineRule="auto"/>
        <w:jc w:val="both"/>
        <w:rPr>
          <w:rFonts w:asciiTheme="majorBidi" w:hAnsiTheme="majorBidi" w:cstheme="majorBidi"/>
        </w:rPr>
      </w:pPr>
    </w:p>
    <w:p w14:paraId="5C3BACFD" w14:textId="77777777" w:rsidR="00FD68B0" w:rsidRPr="0000665E" w:rsidRDefault="00FD68B0" w:rsidP="00FD68B0">
      <w:pPr>
        <w:bidi w:val="0"/>
        <w:spacing w:after="0" w:line="240" w:lineRule="auto"/>
        <w:jc w:val="both"/>
        <w:rPr>
          <w:rFonts w:asciiTheme="majorBidi" w:hAnsiTheme="majorBidi" w:cstheme="majorBidi"/>
        </w:rPr>
      </w:pPr>
    </w:p>
    <w:p w14:paraId="78683C99" w14:textId="77777777" w:rsidR="00FD68B0" w:rsidRPr="0000665E" w:rsidRDefault="00FD68B0" w:rsidP="00FD68B0">
      <w:pPr>
        <w:bidi w:val="0"/>
        <w:spacing w:after="0" w:line="240" w:lineRule="auto"/>
        <w:jc w:val="both"/>
        <w:rPr>
          <w:rFonts w:asciiTheme="majorBidi" w:hAnsiTheme="majorBidi" w:cstheme="majorBidi"/>
        </w:rPr>
      </w:pPr>
    </w:p>
    <w:p w14:paraId="51E9BFDA" w14:textId="77777777" w:rsidR="00FD68B0" w:rsidRPr="0000665E" w:rsidRDefault="00FD68B0" w:rsidP="00FD68B0">
      <w:pPr>
        <w:bidi w:val="0"/>
        <w:spacing w:after="0" w:line="240" w:lineRule="auto"/>
        <w:jc w:val="both"/>
        <w:rPr>
          <w:rFonts w:asciiTheme="majorBidi" w:hAnsiTheme="majorBidi" w:cstheme="majorBidi"/>
        </w:rPr>
      </w:pPr>
    </w:p>
    <w:p w14:paraId="0F71FB38" w14:textId="77777777" w:rsidR="00FD68B0" w:rsidRPr="0000665E" w:rsidRDefault="00FD68B0" w:rsidP="00FD68B0">
      <w:pPr>
        <w:bidi w:val="0"/>
        <w:spacing w:after="0" w:line="240" w:lineRule="auto"/>
        <w:jc w:val="both"/>
        <w:rPr>
          <w:rFonts w:asciiTheme="majorBidi" w:hAnsiTheme="majorBidi" w:cstheme="majorBidi"/>
        </w:rPr>
      </w:pPr>
    </w:p>
    <w:p w14:paraId="22BF51D6" w14:textId="77777777" w:rsidR="00FD68B0" w:rsidRPr="0000665E" w:rsidRDefault="00FD68B0" w:rsidP="00FD68B0">
      <w:pPr>
        <w:bidi w:val="0"/>
        <w:spacing w:after="0" w:line="240" w:lineRule="auto"/>
        <w:jc w:val="both"/>
        <w:rPr>
          <w:rFonts w:asciiTheme="majorBidi" w:hAnsiTheme="majorBidi" w:cstheme="majorBidi"/>
        </w:rPr>
      </w:pPr>
    </w:p>
    <w:p w14:paraId="20B344F4" w14:textId="77777777" w:rsidR="00FD68B0" w:rsidRPr="0000665E" w:rsidRDefault="00FD68B0" w:rsidP="00FD68B0">
      <w:pPr>
        <w:bidi w:val="0"/>
        <w:spacing w:after="0" w:line="240" w:lineRule="auto"/>
        <w:jc w:val="both"/>
        <w:rPr>
          <w:rFonts w:asciiTheme="majorBidi" w:hAnsiTheme="majorBidi" w:cstheme="majorBidi"/>
        </w:rPr>
      </w:pPr>
    </w:p>
    <w:p w14:paraId="1868FFB0" w14:textId="77777777" w:rsidR="00FD68B0" w:rsidRPr="0000665E" w:rsidRDefault="00FD68B0" w:rsidP="00FD68B0">
      <w:pPr>
        <w:bidi w:val="0"/>
        <w:spacing w:after="0" w:line="240" w:lineRule="auto"/>
        <w:jc w:val="both"/>
        <w:rPr>
          <w:rFonts w:asciiTheme="majorBidi" w:hAnsiTheme="majorBidi" w:cstheme="majorBidi"/>
        </w:rPr>
      </w:pPr>
    </w:p>
    <w:p w14:paraId="0F25BB83" w14:textId="77777777" w:rsidR="00FD68B0" w:rsidRPr="0000665E" w:rsidRDefault="00FD68B0" w:rsidP="00FD68B0">
      <w:pPr>
        <w:bidi w:val="0"/>
        <w:spacing w:after="0" w:line="240" w:lineRule="auto"/>
        <w:jc w:val="both"/>
        <w:rPr>
          <w:rFonts w:asciiTheme="majorBidi" w:hAnsiTheme="majorBidi" w:cstheme="majorBidi"/>
          <w:rtl/>
        </w:rPr>
      </w:pPr>
      <w:r w:rsidRPr="0000665E">
        <w:rPr>
          <w:rFonts w:asciiTheme="majorBidi" w:hAnsiTheme="majorBidi" w:cstheme="majorBidi"/>
        </w:rPr>
        <w:t xml:space="preserve">Assessment of Communication and Interaction Skills (ACIS), Anderson Negative Symptoms (ANSQ), </w:t>
      </w:r>
      <w:r w:rsidRPr="0000665E">
        <w:rPr>
          <w:rFonts w:asciiTheme="majorBidi" w:hAnsiTheme="majorBidi" w:cstheme="majorBidi"/>
          <w:color w:val="333333"/>
        </w:rPr>
        <w:t xml:space="preserve">Brief Psychiatric Rating Scale (BPRS), </w:t>
      </w:r>
      <w:r w:rsidRPr="0000665E">
        <w:rPr>
          <w:rFonts w:asciiTheme="majorBidi" w:hAnsiTheme="majorBidi" w:cstheme="majorBidi"/>
        </w:rPr>
        <w:t>Dehbozorgi social skills (DSK), general health of caregivers (GHC), Medication Adherence Rating Scale (MARS), Wisconsin Quality of Life Client Questionnaire (WQOLCQ), Matson evaluation of social skills (MESS</w:t>
      </w:r>
    </w:p>
    <w:p w14:paraId="35974963" w14:textId="77777777" w:rsidR="00FD68B0" w:rsidRPr="0000665E" w:rsidRDefault="00FD68B0" w:rsidP="00FD68B0">
      <w:pPr>
        <w:autoSpaceDE w:val="0"/>
        <w:autoSpaceDN w:val="0"/>
        <w:bidi w:val="0"/>
        <w:adjustRightInd w:val="0"/>
        <w:spacing w:after="0" w:line="240" w:lineRule="auto"/>
        <w:rPr>
          <w:rFonts w:asciiTheme="majorBidi" w:hAnsiTheme="majorBidi" w:cstheme="majorBidi"/>
          <w:b/>
          <w:bCs/>
        </w:rPr>
      </w:pPr>
    </w:p>
    <w:p w14:paraId="07E728AB" w14:textId="77777777" w:rsidR="00FD68B0" w:rsidRPr="0000665E" w:rsidRDefault="00FD68B0" w:rsidP="00FD68B0">
      <w:pPr>
        <w:autoSpaceDE w:val="0"/>
        <w:autoSpaceDN w:val="0"/>
        <w:bidi w:val="0"/>
        <w:adjustRightInd w:val="0"/>
        <w:spacing w:after="0" w:line="240" w:lineRule="auto"/>
        <w:rPr>
          <w:rFonts w:asciiTheme="majorBidi" w:hAnsiTheme="majorBidi" w:cstheme="majorBidi"/>
          <w:b/>
          <w:bCs/>
        </w:rPr>
      </w:pPr>
    </w:p>
    <w:p w14:paraId="4A0FE975" w14:textId="77777777" w:rsidR="00FD68B0" w:rsidRPr="0000665E" w:rsidRDefault="00FD68B0" w:rsidP="00FD68B0">
      <w:pPr>
        <w:autoSpaceDE w:val="0"/>
        <w:autoSpaceDN w:val="0"/>
        <w:bidi w:val="0"/>
        <w:adjustRightInd w:val="0"/>
        <w:spacing w:after="0" w:line="240" w:lineRule="auto"/>
        <w:rPr>
          <w:rFonts w:asciiTheme="majorBidi" w:hAnsiTheme="majorBidi" w:cstheme="majorBidi"/>
          <w:b/>
          <w:bCs/>
        </w:rPr>
      </w:pPr>
      <w:r w:rsidRPr="0000665E">
        <w:rPr>
          <w:rFonts w:asciiTheme="majorBidi" w:eastAsia="Times New Roman" w:hAnsiTheme="majorBidi" w:cstheme="majorBidi"/>
          <w:b/>
          <w:bCs/>
          <w:lang w:bidi="ar-SA"/>
        </w:rPr>
        <w:t>E: A brief description of some of the tools used</w:t>
      </w:r>
    </w:p>
    <w:p w14:paraId="5F7C1654"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Experience Interview Schedule (FEIS)</w:t>
      </w:r>
    </w:p>
    <w:p w14:paraId="367172C7"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An instrument for measuring the burden of caregivers. A higher score indicates a higher burden of illness, and a lower score indicates a lower burden of illness.</w:t>
      </w:r>
    </w:p>
    <w:p w14:paraId="394D031A" w14:textId="77777777" w:rsidR="00FD68B0" w:rsidRPr="0000665E" w:rsidRDefault="00FD68B0" w:rsidP="00FD68B0">
      <w:pPr>
        <w:autoSpaceDE w:val="0"/>
        <w:autoSpaceDN w:val="0"/>
        <w:bidi w:val="0"/>
        <w:adjustRightInd w:val="0"/>
        <w:spacing w:after="0" w:line="240" w:lineRule="auto"/>
        <w:ind w:left="284" w:hanging="284"/>
        <w:rPr>
          <w:rFonts w:asciiTheme="majorBidi" w:hAnsiTheme="majorBidi" w:cstheme="majorBidi"/>
        </w:rPr>
      </w:pPr>
    </w:p>
    <w:p w14:paraId="5A7CC8DF"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The Clinical Global Impressions Scale (CGI)</w:t>
      </w:r>
    </w:p>
    <w:p w14:paraId="0032F758"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 measure used by healthcare professionals to assess the severity of mental illness and the effectiveness of treatment. It is a simple tool that involves rating the patient's overall level of functioning on a scale from 1 to 7, with lower scores indicating better functioning</w:t>
      </w:r>
      <w:r w:rsidRPr="0000665E">
        <w:rPr>
          <w:rFonts w:asciiTheme="majorBidi" w:hAnsiTheme="majorBidi" w:cstheme="majorBidi"/>
          <w:noProof/>
        </w:rPr>
        <w:t xml:space="preserve"> (9)</w:t>
      </w:r>
      <w:r w:rsidRPr="0000665E">
        <w:rPr>
          <w:rFonts w:asciiTheme="majorBidi" w:hAnsiTheme="majorBidi" w:cstheme="majorBidi"/>
        </w:rPr>
        <w:t>.</w:t>
      </w:r>
    </w:p>
    <w:p w14:paraId="3E47A6C3" w14:textId="77777777" w:rsidR="00FD68B0" w:rsidRPr="0000665E" w:rsidRDefault="00FD68B0" w:rsidP="00FD68B0">
      <w:pPr>
        <w:autoSpaceDE w:val="0"/>
        <w:autoSpaceDN w:val="0"/>
        <w:bidi w:val="0"/>
        <w:adjustRightInd w:val="0"/>
        <w:spacing w:after="0" w:line="240" w:lineRule="auto"/>
        <w:ind w:left="284" w:hanging="284"/>
        <w:rPr>
          <w:rFonts w:asciiTheme="majorBidi" w:hAnsiTheme="majorBidi" w:cstheme="majorBidi"/>
        </w:rPr>
      </w:pPr>
    </w:p>
    <w:p w14:paraId="5DD55EBB"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 xml:space="preserve">The Client Satisfaction Questionnaire (CSQ) </w:t>
      </w:r>
    </w:p>
    <w:p w14:paraId="5DA016A1"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 tool used to assess the satisfaction of clients with mental health services. It consists of a series of questions that measure different aspects of the client's experience, such as the quality of care, the therapist-client relationship, and the outcome of treatment. Higher scores indicate greater satisfaction with mental health services. The CSQ is typically scored on a scale from 1 to 4 or 1 to 5, with higher scores indicating higher levels of satisfaction. However, the specific scoring system can vary depending on the version of the CSQ being used. In general, a score of 4 or 5 on the CSQ suggests that the client is very satisfied with their mental health services, while a score of 2 or lower indicates dissatisfaction</w:t>
      </w:r>
      <w:r w:rsidRPr="0000665E">
        <w:rPr>
          <w:rFonts w:asciiTheme="majorBidi" w:hAnsiTheme="majorBidi" w:cstheme="majorBidi"/>
          <w:noProof/>
        </w:rPr>
        <w:t xml:space="preserve"> (10)</w:t>
      </w:r>
      <w:r w:rsidRPr="0000665E">
        <w:rPr>
          <w:rFonts w:asciiTheme="majorBidi" w:hAnsiTheme="majorBidi" w:cstheme="majorBidi"/>
        </w:rPr>
        <w:t>.</w:t>
      </w:r>
    </w:p>
    <w:p w14:paraId="61911180" w14:textId="77777777" w:rsidR="00FD68B0" w:rsidRPr="0000665E" w:rsidRDefault="00FD68B0" w:rsidP="00FD68B0">
      <w:pPr>
        <w:autoSpaceDE w:val="0"/>
        <w:autoSpaceDN w:val="0"/>
        <w:bidi w:val="0"/>
        <w:adjustRightInd w:val="0"/>
        <w:spacing w:after="0" w:line="240" w:lineRule="auto"/>
        <w:ind w:left="284" w:hanging="284"/>
        <w:rPr>
          <w:rFonts w:asciiTheme="majorBidi" w:hAnsiTheme="majorBidi" w:cstheme="majorBidi"/>
        </w:rPr>
      </w:pPr>
    </w:p>
    <w:p w14:paraId="155954BD"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Hamilton depression rating scale (HDRS)</w:t>
      </w:r>
    </w:p>
    <w:p w14:paraId="1F148618"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 widely used tool to measure the severity of depressive symptoms in individuals with depression. Higher scores indicating greater severity of symptoms.</w:t>
      </w:r>
    </w:p>
    <w:p w14:paraId="7168F95E" w14:textId="77777777" w:rsidR="00FD68B0" w:rsidRPr="0000665E" w:rsidRDefault="00FD68B0" w:rsidP="00FD68B0">
      <w:pPr>
        <w:autoSpaceDE w:val="0"/>
        <w:autoSpaceDN w:val="0"/>
        <w:bidi w:val="0"/>
        <w:adjustRightInd w:val="0"/>
        <w:spacing w:after="0" w:line="240" w:lineRule="auto"/>
        <w:ind w:left="284" w:hanging="284"/>
        <w:rPr>
          <w:rFonts w:asciiTheme="majorBidi" w:hAnsiTheme="majorBidi" w:cstheme="majorBidi"/>
        </w:rPr>
      </w:pPr>
    </w:p>
    <w:p w14:paraId="63338342"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Knowledge Questionnaire for caregivers (KQC)</w:t>
      </w:r>
    </w:p>
    <w:p w14:paraId="4A3F5B69"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 questionnaire</w:t>
      </w:r>
      <w:r w:rsidRPr="0000665E">
        <w:rPr>
          <w:rFonts w:asciiTheme="majorBidi" w:hAnsiTheme="majorBidi" w:cstheme="majorBidi"/>
          <w:rtl/>
        </w:rPr>
        <w:t xml:space="preserve"> </w:t>
      </w:r>
      <w:r w:rsidRPr="0000665E">
        <w:rPr>
          <w:rFonts w:asciiTheme="majorBidi" w:hAnsiTheme="majorBidi" w:cstheme="majorBidi"/>
        </w:rPr>
        <w:t>to assess caregiver mental health, burden and knowledge about mental illness and its treatment. It consists of a series of questions designed to measure the caregiver's understanding of various aspects of mental illness, including symptoms, causes, treatments, and medications (11).</w:t>
      </w:r>
    </w:p>
    <w:p w14:paraId="7BA29C37"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Kohlman Evaluation of Living Skills (KELS)</w:t>
      </w:r>
    </w:p>
    <w:p w14:paraId="284FD85A"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 tool used to evaluate an individual's ability to perform basic living skills. A higher score indicates better function and greater independence in performing activities of daily living (adls) and instrumental activities of daily living (iadls).</w:t>
      </w:r>
    </w:p>
    <w:p w14:paraId="1A2BBD9A" w14:textId="77777777" w:rsidR="00FD68B0" w:rsidRPr="0000665E" w:rsidRDefault="00FD68B0" w:rsidP="00FD68B0">
      <w:pPr>
        <w:autoSpaceDE w:val="0"/>
        <w:autoSpaceDN w:val="0"/>
        <w:bidi w:val="0"/>
        <w:adjustRightInd w:val="0"/>
        <w:spacing w:after="0" w:line="240" w:lineRule="auto"/>
        <w:ind w:left="284" w:hanging="284"/>
        <w:rPr>
          <w:rFonts w:asciiTheme="majorBidi" w:hAnsiTheme="majorBidi" w:cstheme="majorBidi"/>
        </w:rPr>
      </w:pPr>
    </w:p>
    <w:p w14:paraId="1B158CAC"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Positive and Negative Syndrome Scale (PANSS)</w:t>
      </w:r>
    </w:p>
    <w:p w14:paraId="24C26027"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lastRenderedPageBreak/>
        <w:t>A questionnaire</w:t>
      </w:r>
      <w:r w:rsidRPr="0000665E">
        <w:rPr>
          <w:rFonts w:asciiTheme="majorBidi" w:hAnsiTheme="majorBidi" w:cstheme="majorBidi"/>
          <w:rtl/>
        </w:rPr>
        <w:t xml:space="preserve"> </w:t>
      </w:r>
      <w:r w:rsidRPr="0000665E">
        <w:rPr>
          <w:rFonts w:asciiTheme="majorBidi" w:hAnsiTheme="majorBidi" w:cstheme="majorBidi"/>
        </w:rPr>
        <w:t>to evaluating positive and negative symptoms subscale respectively. Higher score reflected more severe symptoms.</w:t>
      </w:r>
    </w:p>
    <w:p w14:paraId="4FEF7E73" w14:textId="77777777" w:rsidR="00FD68B0" w:rsidRPr="0000665E" w:rsidRDefault="00FD68B0" w:rsidP="00FD68B0">
      <w:pPr>
        <w:autoSpaceDE w:val="0"/>
        <w:autoSpaceDN w:val="0"/>
        <w:bidi w:val="0"/>
        <w:adjustRightInd w:val="0"/>
        <w:spacing w:after="0" w:line="240" w:lineRule="auto"/>
        <w:ind w:left="284" w:hanging="284"/>
        <w:rPr>
          <w:rFonts w:asciiTheme="majorBidi" w:hAnsiTheme="majorBidi" w:cstheme="majorBidi"/>
        </w:rPr>
      </w:pPr>
    </w:p>
    <w:p w14:paraId="31D2EA27"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Wisconsin Quality of Life Client Questionnaire (WHO QOL)</w:t>
      </w:r>
    </w:p>
    <w:p w14:paraId="036DB4FC"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 widely used assessment tool designed to measure an individual's perceived quality of life. Is scored on a Likert-type scale, typically ranging from 1 to 5 or 1 to 7, with higher scores indicating better quality of life.</w:t>
      </w:r>
    </w:p>
    <w:p w14:paraId="22C4E0B8" w14:textId="77777777" w:rsidR="00FD68B0" w:rsidRPr="0000665E" w:rsidRDefault="00FD68B0" w:rsidP="00FD68B0">
      <w:pPr>
        <w:autoSpaceDE w:val="0"/>
        <w:autoSpaceDN w:val="0"/>
        <w:bidi w:val="0"/>
        <w:adjustRightInd w:val="0"/>
        <w:spacing w:after="0" w:line="240" w:lineRule="auto"/>
        <w:ind w:left="284" w:hanging="284"/>
        <w:rPr>
          <w:rFonts w:asciiTheme="majorBidi" w:hAnsiTheme="majorBidi" w:cstheme="majorBidi"/>
        </w:rPr>
      </w:pPr>
    </w:p>
    <w:p w14:paraId="75EDBD05" w14:textId="77777777" w:rsidR="00FD68B0" w:rsidRPr="0000665E" w:rsidRDefault="00FD68B0" w:rsidP="00FD68B0">
      <w:pPr>
        <w:pStyle w:val="ListParagraph"/>
        <w:numPr>
          <w:ilvl w:val="0"/>
          <w:numId w:val="1"/>
        </w:numPr>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Young Mania Rating Scale (YMRS)</w:t>
      </w:r>
    </w:p>
    <w:p w14:paraId="3C796247" w14:textId="77777777" w:rsidR="00FD68B0" w:rsidRPr="0000665E" w:rsidRDefault="00FD68B0" w:rsidP="00FD68B0">
      <w:pPr>
        <w:pStyle w:val="ListParagraph"/>
        <w:autoSpaceDE w:val="0"/>
        <w:autoSpaceDN w:val="0"/>
        <w:bidi w:val="0"/>
        <w:adjustRightInd w:val="0"/>
        <w:spacing w:after="0" w:line="240" w:lineRule="auto"/>
        <w:rPr>
          <w:rFonts w:asciiTheme="majorBidi" w:hAnsiTheme="majorBidi" w:cstheme="majorBidi"/>
        </w:rPr>
      </w:pPr>
      <w:r w:rsidRPr="0000665E">
        <w:rPr>
          <w:rFonts w:asciiTheme="majorBidi" w:hAnsiTheme="majorBidi" w:cstheme="majorBidi"/>
        </w:rPr>
        <w:t>A tool used to measure the severity of manic symptoms in individuals with bipolar disorder. Higher scores indicating more severe manic symptoms.</w:t>
      </w:r>
    </w:p>
    <w:p w14:paraId="62DDBA86" w14:textId="77777777" w:rsidR="00FD68B0" w:rsidRDefault="00FD68B0" w:rsidP="00FD68B0">
      <w:pPr>
        <w:bidi w:val="0"/>
        <w:rPr>
          <w:rFonts w:hint="cs"/>
        </w:rPr>
      </w:pPr>
    </w:p>
    <w:sectPr w:rsidR="00FD68B0" w:rsidSect="0022040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60E7F"/>
    <w:multiLevelType w:val="hybridMultilevel"/>
    <w:tmpl w:val="7D1C0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D19A4"/>
    <w:multiLevelType w:val="hybridMultilevel"/>
    <w:tmpl w:val="E1A65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563D1A25"/>
    <w:multiLevelType w:val="hybridMultilevel"/>
    <w:tmpl w:val="6A9A2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0027629">
    <w:abstractNumId w:val="0"/>
  </w:num>
  <w:num w:numId="2" w16cid:durableId="1715277384">
    <w:abstractNumId w:val="1"/>
  </w:num>
  <w:num w:numId="3" w16cid:durableId="359087087">
    <w:abstractNumId w:val="2"/>
  </w:num>
  <w:num w:numId="4" w16cid:durableId="83386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8B0"/>
    <w:rsid w:val="00220404"/>
    <w:rsid w:val="00FD68B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B74DD"/>
  <w15:chartTrackingRefBased/>
  <w15:docId w15:val="{00721877-2E5A-4886-B913-8D6C8D02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8B0"/>
    <w:pPr>
      <w:bidi/>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68B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8B0"/>
    <w:pPr>
      <w:ind w:left="720"/>
      <w:contextualSpacing/>
    </w:pPr>
  </w:style>
  <w:style w:type="table" w:styleId="GridTable1Light">
    <w:name w:val="Grid Table 1 Light"/>
    <w:basedOn w:val="TableNormal"/>
    <w:uiPriority w:val="46"/>
    <w:rsid w:val="00FD68B0"/>
    <w:pPr>
      <w:spacing w:after="0" w:line="240" w:lineRule="auto"/>
    </w:pPr>
    <w:rPr>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FD68B0"/>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2">
    <w:name w:val="Table Grid2"/>
    <w:basedOn w:val="TableNormal"/>
    <w:next w:val="TableGrid"/>
    <w:uiPriority w:val="59"/>
    <w:rsid w:val="00FD68B0"/>
    <w:pPr>
      <w:spacing w:after="0" w:line="240" w:lineRule="auto"/>
    </w:pPr>
    <w:rPr>
      <w:rFonts w:eastAsia="Calibri"/>
      <w:kern w:val="0"/>
      <w:lang w:val="en-AU"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D68B0"/>
    <w:pPr>
      <w:spacing w:after="0" w:line="240" w:lineRule="auto"/>
    </w:pPr>
    <w:rPr>
      <w:rFonts w:eastAsia="Calibri"/>
      <w:kern w:val="0"/>
      <w:lang w:val="en-AU"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zhgan\Downloads\JBI.meta%20analysis%20-severe%20mental%20illness-KT%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zhgan\Downloads\JBI.meta%20analysis%20-severe%20mental%20illness-KT%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latin typeface="Times New Roman" panose="02020603050405020304" pitchFamily="18" charset="0"/>
                <a:cs typeface="Times New Roman" panose="02020603050405020304" pitchFamily="18" charset="0"/>
              </a:rPr>
              <a:t>JBI-quasi experimental Checklist</a:t>
            </a:r>
            <a:endParaRPr lang="en-US">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bar"/>
        <c:grouping val="percentStacked"/>
        <c:varyColors val="0"/>
        <c:ser>
          <c:idx val="0"/>
          <c:order val="0"/>
          <c:tx>
            <c:strRef>
              <c:f>'JBI-quasi-experimental'!$B$22</c:f>
              <c:strCache>
                <c:ptCount val="1"/>
                <c:pt idx="0">
                  <c:v>Yes</c:v>
                </c:pt>
              </c:strCache>
            </c:strRef>
          </c:tx>
          <c:spPr>
            <a:solidFill>
              <a:srgbClr val="00B050"/>
            </a:solidFill>
            <a:ln>
              <a:noFill/>
            </a:ln>
            <a:effectLst/>
          </c:spPr>
          <c:invertIfNegative val="0"/>
          <c:cat>
            <c:strRef>
              <c:f>'JBI-quasi-experimental'!$C$21:$K$21</c:f>
              <c:strCache>
                <c:ptCount val="9"/>
                <c:pt idx="0">
                  <c:v>Question 1</c:v>
                </c:pt>
                <c:pt idx="1">
                  <c:v>Question 2</c:v>
                </c:pt>
                <c:pt idx="2">
                  <c:v>Question 3</c:v>
                </c:pt>
                <c:pt idx="3">
                  <c:v>Question 4</c:v>
                </c:pt>
                <c:pt idx="4">
                  <c:v>Question 5</c:v>
                </c:pt>
                <c:pt idx="5">
                  <c:v>Question 6</c:v>
                </c:pt>
                <c:pt idx="6">
                  <c:v>Question 7</c:v>
                </c:pt>
                <c:pt idx="7">
                  <c:v>Question 8</c:v>
                </c:pt>
                <c:pt idx="8">
                  <c:v>Question 9</c:v>
                </c:pt>
              </c:strCache>
            </c:strRef>
          </c:cat>
          <c:val>
            <c:numRef>
              <c:f>'JBI-quasi-experimental'!$C$22:$K$22</c:f>
              <c:numCache>
                <c:formatCode>General</c:formatCode>
                <c:ptCount val="9"/>
                <c:pt idx="0">
                  <c:v>9</c:v>
                </c:pt>
                <c:pt idx="1">
                  <c:v>9</c:v>
                </c:pt>
                <c:pt idx="2">
                  <c:v>8</c:v>
                </c:pt>
                <c:pt idx="3">
                  <c:v>9</c:v>
                </c:pt>
                <c:pt idx="4">
                  <c:v>9</c:v>
                </c:pt>
                <c:pt idx="5">
                  <c:v>3</c:v>
                </c:pt>
                <c:pt idx="6">
                  <c:v>9</c:v>
                </c:pt>
                <c:pt idx="7">
                  <c:v>9</c:v>
                </c:pt>
                <c:pt idx="8">
                  <c:v>7</c:v>
                </c:pt>
              </c:numCache>
            </c:numRef>
          </c:val>
          <c:extLst>
            <c:ext xmlns:c16="http://schemas.microsoft.com/office/drawing/2014/chart" uri="{C3380CC4-5D6E-409C-BE32-E72D297353CC}">
              <c16:uniqueId val="{00000000-3C5C-40EF-B28E-2E99EC4F7356}"/>
            </c:ext>
          </c:extLst>
        </c:ser>
        <c:ser>
          <c:idx val="1"/>
          <c:order val="1"/>
          <c:tx>
            <c:strRef>
              <c:f>'JBI-quasi-experimental'!$B$23</c:f>
              <c:strCache>
                <c:ptCount val="1"/>
                <c:pt idx="0">
                  <c:v>No </c:v>
                </c:pt>
              </c:strCache>
            </c:strRef>
          </c:tx>
          <c:spPr>
            <a:solidFill>
              <a:srgbClr val="FF0000"/>
            </a:solidFill>
            <a:ln>
              <a:noFill/>
            </a:ln>
            <a:effectLst/>
          </c:spPr>
          <c:invertIfNegative val="0"/>
          <c:cat>
            <c:strRef>
              <c:f>'JBI-quasi-experimental'!$C$21:$K$21</c:f>
              <c:strCache>
                <c:ptCount val="9"/>
                <c:pt idx="0">
                  <c:v>Question 1</c:v>
                </c:pt>
                <c:pt idx="1">
                  <c:v>Question 2</c:v>
                </c:pt>
                <c:pt idx="2">
                  <c:v>Question 3</c:v>
                </c:pt>
                <c:pt idx="3">
                  <c:v>Question 4</c:v>
                </c:pt>
                <c:pt idx="4">
                  <c:v>Question 5</c:v>
                </c:pt>
                <c:pt idx="5">
                  <c:v>Question 6</c:v>
                </c:pt>
                <c:pt idx="6">
                  <c:v>Question 7</c:v>
                </c:pt>
                <c:pt idx="7">
                  <c:v>Question 8</c:v>
                </c:pt>
                <c:pt idx="8">
                  <c:v>Question 9</c:v>
                </c:pt>
              </c:strCache>
            </c:strRef>
          </c:cat>
          <c:val>
            <c:numRef>
              <c:f>'JBI-quasi-experimental'!$C$23:$K$23</c:f>
              <c:numCache>
                <c:formatCode>General</c:formatCode>
                <c:ptCount val="9"/>
                <c:pt idx="0">
                  <c:v>0</c:v>
                </c:pt>
                <c:pt idx="1">
                  <c:v>0</c:v>
                </c:pt>
                <c:pt idx="2">
                  <c:v>0</c:v>
                </c:pt>
                <c:pt idx="3">
                  <c:v>0</c:v>
                </c:pt>
                <c:pt idx="4">
                  <c:v>0</c:v>
                </c:pt>
                <c:pt idx="5">
                  <c:v>1</c:v>
                </c:pt>
                <c:pt idx="6">
                  <c:v>0</c:v>
                </c:pt>
                <c:pt idx="7">
                  <c:v>3</c:v>
                </c:pt>
                <c:pt idx="8">
                  <c:v>2</c:v>
                </c:pt>
              </c:numCache>
            </c:numRef>
          </c:val>
          <c:extLst>
            <c:ext xmlns:c16="http://schemas.microsoft.com/office/drawing/2014/chart" uri="{C3380CC4-5D6E-409C-BE32-E72D297353CC}">
              <c16:uniqueId val="{00000001-3C5C-40EF-B28E-2E99EC4F7356}"/>
            </c:ext>
          </c:extLst>
        </c:ser>
        <c:ser>
          <c:idx val="2"/>
          <c:order val="2"/>
          <c:tx>
            <c:strRef>
              <c:f>'JBI-quasi-experimental'!$B$24</c:f>
              <c:strCache>
                <c:ptCount val="1"/>
                <c:pt idx="0">
                  <c:v>Unclear</c:v>
                </c:pt>
              </c:strCache>
            </c:strRef>
          </c:tx>
          <c:spPr>
            <a:solidFill>
              <a:schemeClr val="accent3"/>
            </a:solidFill>
            <a:ln>
              <a:noFill/>
            </a:ln>
            <a:effectLst/>
          </c:spPr>
          <c:invertIfNegative val="0"/>
          <c:cat>
            <c:strRef>
              <c:f>'JBI-quasi-experimental'!$C$21:$K$21</c:f>
              <c:strCache>
                <c:ptCount val="9"/>
                <c:pt idx="0">
                  <c:v>Question 1</c:v>
                </c:pt>
                <c:pt idx="1">
                  <c:v>Question 2</c:v>
                </c:pt>
                <c:pt idx="2">
                  <c:v>Question 3</c:v>
                </c:pt>
                <c:pt idx="3">
                  <c:v>Question 4</c:v>
                </c:pt>
                <c:pt idx="4">
                  <c:v>Question 5</c:v>
                </c:pt>
                <c:pt idx="5">
                  <c:v>Question 6</c:v>
                </c:pt>
                <c:pt idx="6">
                  <c:v>Question 7</c:v>
                </c:pt>
                <c:pt idx="7">
                  <c:v>Question 8</c:v>
                </c:pt>
                <c:pt idx="8">
                  <c:v>Question 9</c:v>
                </c:pt>
              </c:strCache>
            </c:strRef>
          </c:cat>
          <c:val>
            <c:numRef>
              <c:f>'JBI-quasi-experimental'!$C$24:$K$24</c:f>
              <c:numCache>
                <c:formatCode>General</c:formatCode>
                <c:ptCount val="9"/>
                <c:pt idx="0">
                  <c:v>0</c:v>
                </c:pt>
                <c:pt idx="1">
                  <c:v>0</c:v>
                </c:pt>
                <c:pt idx="2">
                  <c:v>1</c:v>
                </c:pt>
                <c:pt idx="3">
                  <c:v>0</c:v>
                </c:pt>
                <c:pt idx="4">
                  <c:v>0</c:v>
                </c:pt>
                <c:pt idx="5">
                  <c:v>0</c:v>
                </c:pt>
                <c:pt idx="6">
                  <c:v>0</c:v>
                </c:pt>
                <c:pt idx="7">
                  <c:v>1</c:v>
                </c:pt>
                <c:pt idx="8">
                  <c:v>0</c:v>
                </c:pt>
              </c:numCache>
            </c:numRef>
          </c:val>
          <c:extLst>
            <c:ext xmlns:c16="http://schemas.microsoft.com/office/drawing/2014/chart" uri="{C3380CC4-5D6E-409C-BE32-E72D297353CC}">
              <c16:uniqueId val="{00000002-3C5C-40EF-B28E-2E99EC4F7356}"/>
            </c:ext>
          </c:extLst>
        </c:ser>
        <c:ser>
          <c:idx val="3"/>
          <c:order val="3"/>
          <c:tx>
            <c:strRef>
              <c:f>'JBI-quasi-experimental'!$B$25</c:f>
              <c:strCache>
                <c:ptCount val="1"/>
                <c:pt idx="0">
                  <c:v>Not applicable</c:v>
                </c:pt>
              </c:strCache>
            </c:strRef>
          </c:tx>
          <c:spPr>
            <a:solidFill>
              <a:schemeClr val="bg2">
                <a:lumMod val="50000"/>
              </a:schemeClr>
            </a:solidFill>
            <a:ln>
              <a:noFill/>
            </a:ln>
            <a:effectLst/>
          </c:spPr>
          <c:invertIfNegative val="0"/>
          <c:cat>
            <c:strRef>
              <c:f>'JBI-quasi-experimental'!$C$21:$K$21</c:f>
              <c:strCache>
                <c:ptCount val="9"/>
                <c:pt idx="0">
                  <c:v>Question 1</c:v>
                </c:pt>
                <c:pt idx="1">
                  <c:v>Question 2</c:v>
                </c:pt>
                <c:pt idx="2">
                  <c:v>Question 3</c:v>
                </c:pt>
                <c:pt idx="3">
                  <c:v>Question 4</c:v>
                </c:pt>
                <c:pt idx="4">
                  <c:v>Question 5</c:v>
                </c:pt>
                <c:pt idx="5">
                  <c:v>Question 6</c:v>
                </c:pt>
                <c:pt idx="6">
                  <c:v>Question 7</c:v>
                </c:pt>
                <c:pt idx="7">
                  <c:v>Question 8</c:v>
                </c:pt>
                <c:pt idx="8">
                  <c:v>Question 9</c:v>
                </c:pt>
              </c:strCache>
            </c:strRef>
          </c:cat>
          <c:val>
            <c:numRef>
              <c:f>'JBI-quasi-experimental'!$C$25:$K$25</c:f>
              <c:numCache>
                <c:formatCode>General</c:formatCode>
                <c:ptCount val="9"/>
                <c:pt idx="0">
                  <c:v>0</c:v>
                </c:pt>
                <c:pt idx="1">
                  <c:v>0</c:v>
                </c:pt>
                <c:pt idx="2">
                  <c:v>0</c:v>
                </c:pt>
                <c:pt idx="3">
                  <c:v>0</c:v>
                </c:pt>
                <c:pt idx="4">
                  <c:v>0</c:v>
                </c:pt>
                <c:pt idx="5">
                  <c:v>5</c:v>
                </c:pt>
                <c:pt idx="6">
                  <c:v>0</c:v>
                </c:pt>
                <c:pt idx="7">
                  <c:v>0</c:v>
                </c:pt>
                <c:pt idx="8">
                  <c:v>0</c:v>
                </c:pt>
              </c:numCache>
            </c:numRef>
          </c:val>
          <c:extLst>
            <c:ext xmlns:c16="http://schemas.microsoft.com/office/drawing/2014/chart" uri="{C3380CC4-5D6E-409C-BE32-E72D297353CC}">
              <c16:uniqueId val="{00000003-3C5C-40EF-B28E-2E99EC4F7356}"/>
            </c:ext>
          </c:extLst>
        </c:ser>
        <c:dLbls>
          <c:showLegendKey val="0"/>
          <c:showVal val="0"/>
          <c:showCatName val="0"/>
          <c:showSerName val="0"/>
          <c:showPercent val="0"/>
          <c:showBubbleSize val="0"/>
        </c:dLbls>
        <c:gapWidth val="150"/>
        <c:overlap val="100"/>
        <c:axId val="1811822319"/>
        <c:axId val="1870416783"/>
      </c:barChart>
      <c:catAx>
        <c:axId val="1811822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70416783"/>
        <c:crosses val="autoZero"/>
        <c:auto val="1"/>
        <c:lblAlgn val="ctr"/>
        <c:lblOffset val="100"/>
        <c:noMultiLvlLbl val="0"/>
      </c:catAx>
      <c:valAx>
        <c:axId val="187041678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11822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latin typeface="Times New Roman" panose="02020603050405020304" pitchFamily="18" charset="0"/>
                <a:cs typeface="Times New Roman" panose="02020603050405020304" pitchFamily="18" charset="0"/>
              </a:rPr>
              <a:t>JBI-economic Checklist</a:t>
            </a:r>
            <a:endParaRPr lang="en-US">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bar"/>
        <c:grouping val="percentStacked"/>
        <c:varyColors val="0"/>
        <c:ser>
          <c:idx val="0"/>
          <c:order val="0"/>
          <c:tx>
            <c:strRef>
              <c:f>'JBI-economic'!$D$15</c:f>
              <c:strCache>
                <c:ptCount val="1"/>
                <c:pt idx="0">
                  <c:v>Yes</c:v>
                </c:pt>
              </c:strCache>
            </c:strRef>
          </c:tx>
          <c:spPr>
            <a:solidFill>
              <a:srgbClr val="00B050"/>
            </a:solidFill>
            <a:ln>
              <a:noFill/>
            </a:ln>
            <a:effectLst/>
          </c:spPr>
          <c:invertIfNegative val="0"/>
          <c:cat>
            <c:strRef>
              <c:f>'JBI-economic'!$E$14:$O$14</c:f>
              <c:strCache>
                <c:ptCount val="11"/>
                <c:pt idx="0">
                  <c:v>Question 1</c:v>
                </c:pt>
                <c:pt idx="1">
                  <c:v>Question 2</c:v>
                </c:pt>
                <c:pt idx="2">
                  <c:v>Question 3</c:v>
                </c:pt>
                <c:pt idx="3">
                  <c:v>Question 4</c:v>
                </c:pt>
                <c:pt idx="4">
                  <c:v>Question 5</c:v>
                </c:pt>
                <c:pt idx="5">
                  <c:v>Question 6</c:v>
                </c:pt>
                <c:pt idx="6">
                  <c:v>Question 7</c:v>
                </c:pt>
                <c:pt idx="7">
                  <c:v>Question 8</c:v>
                </c:pt>
                <c:pt idx="8">
                  <c:v>Question 9</c:v>
                </c:pt>
                <c:pt idx="9">
                  <c:v>Question 10</c:v>
                </c:pt>
                <c:pt idx="10">
                  <c:v>Question 11</c:v>
                </c:pt>
              </c:strCache>
            </c:strRef>
          </c:cat>
          <c:val>
            <c:numRef>
              <c:f>'JBI-economic'!$E$15:$O$15</c:f>
              <c:numCache>
                <c:formatCode>General</c:formatCode>
                <c:ptCount val="11"/>
                <c:pt idx="0">
                  <c:v>2</c:v>
                </c:pt>
                <c:pt idx="1">
                  <c:v>2</c:v>
                </c:pt>
                <c:pt idx="2">
                  <c:v>2</c:v>
                </c:pt>
                <c:pt idx="3">
                  <c:v>2</c:v>
                </c:pt>
                <c:pt idx="4">
                  <c:v>2</c:v>
                </c:pt>
                <c:pt idx="5">
                  <c:v>1</c:v>
                </c:pt>
                <c:pt idx="6">
                  <c:v>0</c:v>
                </c:pt>
                <c:pt idx="7">
                  <c:v>2</c:v>
                </c:pt>
                <c:pt idx="8">
                  <c:v>1</c:v>
                </c:pt>
                <c:pt idx="9">
                  <c:v>2</c:v>
                </c:pt>
                <c:pt idx="10">
                  <c:v>2</c:v>
                </c:pt>
              </c:numCache>
            </c:numRef>
          </c:val>
          <c:extLst>
            <c:ext xmlns:c16="http://schemas.microsoft.com/office/drawing/2014/chart" uri="{C3380CC4-5D6E-409C-BE32-E72D297353CC}">
              <c16:uniqueId val="{00000000-284D-43EF-AC82-50A1B63CECF9}"/>
            </c:ext>
          </c:extLst>
        </c:ser>
        <c:ser>
          <c:idx val="1"/>
          <c:order val="1"/>
          <c:tx>
            <c:strRef>
              <c:f>'JBI-economic'!$D$16</c:f>
              <c:strCache>
                <c:ptCount val="1"/>
                <c:pt idx="0">
                  <c:v>No </c:v>
                </c:pt>
              </c:strCache>
            </c:strRef>
          </c:tx>
          <c:spPr>
            <a:solidFill>
              <a:srgbClr val="FF0000"/>
            </a:solidFill>
            <a:ln>
              <a:noFill/>
            </a:ln>
            <a:effectLst/>
          </c:spPr>
          <c:invertIfNegative val="0"/>
          <c:cat>
            <c:strRef>
              <c:f>'JBI-economic'!$E$14:$O$14</c:f>
              <c:strCache>
                <c:ptCount val="11"/>
                <c:pt idx="0">
                  <c:v>Question 1</c:v>
                </c:pt>
                <c:pt idx="1">
                  <c:v>Question 2</c:v>
                </c:pt>
                <c:pt idx="2">
                  <c:v>Question 3</c:v>
                </c:pt>
                <c:pt idx="3">
                  <c:v>Question 4</c:v>
                </c:pt>
                <c:pt idx="4">
                  <c:v>Question 5</c:v>
                </c:pt>
                <c:pt idx="5">
                  <c:v>Question 6</c:v>
                </c:pt>
                <c:pt idx="6">
                  <c:v>Question 7</c:v>
                </c:pt>
                <c:pt idx="7">
                  <c:v>Question 8</c:v>
                </c:pt>
                <c:pt idx="8">
                  <c:v>Question 9</c:v>
                </c:pt>
                <c:pt idx="9">
                  <c:v>Question 10</c:v>
                </c:pt>
                <c:pt idx="10">
                  <c:v>Question 11</c:v>
                </c:pt>
              </c:strCache>
            </c:strRef>
          </c:cat>
          <c:val>
            <c:numRef>
              <c:f>'JBI-economic'!$E$16:$O$16</c:f>
              <c:numCache>
                <c:formatCode>General</c:formatCode>
                <c:ptCount val="11"/>
                <c:pt idx="0">
                  <c:v>0</c:v>
                </c:pt>
                <c:pt idx="1">
                  <c:v>0</c:v>
                </c:pt>
                <c:pt idx="2">
                  <c:v>0</c:v>
                </c:pt>
                <c:pt idx="3">
                  <c:v>0</c:v>
                </c:pt>
                <c:pt idx="4">
                  <c:v>0</c:v>
                </c:pt>
                <c:pt idx="5">
                  <c:v>1</c:v>
                </c:pt>
                <c:pt idx="6">
                  <c:v>2</c:v>
                </c:pt>
                <c:pt idx="7">
                  <c:v>0</c:v>
                </c:pt>
                <c:pt idx="8">
                  <c:v>1</c:v>
                </c:pt>
                <c:pt idx="9">
                  <c:v>0</c:v>
                </c:pt>
                <c:pt idx="10">
                  <c:v>0</c:v>
                </c:pt>
              </c:numCache>
            </c:numRef>
          </c:val>
          <c:extLst>
            <c:ext xmlns:c16="http://schemas.microsoft.com/office/drawing/2014/chart" uri="{C3380CC4-5D6E-409C-BE32-E72D297353CC}">
              <c16:uniqueId val="{00000001-284D-43EF-AC82-50A1B63CECF9}"/>
            </c:ext>
          </c:extLst>
        </c:ser>
        <c:ser>
          <c:idx val="2"/>
          <c:order val="2"/>
          <c:tx>
            <c:strRef>
              <c:f>'JBI-economic'!$D$17</c:f>
              <c:strCache>
                <c:ptCount val="1"/>
                <c:pt idx="0">
                  <c:v>Unclear</c:v>
                </c:pt>
              </c:strCache>
            </c:strRef>
          </c:tx>
          <c:spPr>
            <a:solidFill>
              <a:schemeClr val="accent3"/>
            </a:solidFill>
            <a:ln>
              <a:noFill/>
            </a:ln>
            <a:effectLst/>
          </c:spPr>
          <c:invertIfNegative val="0"/>
          <c:cat>
            <c:strRef>
              <c:f>'JBI-economic'!$E$14:$O$14</c:f>
              <c:strCache>
                <c:ptCount val="11"/>
                <c:pt idx="0">
                  <c:v>Question 1</c:v>
                </c:pt>
                <c:pt idx="1">
                  <c:v>Question 2</c:v>
                </c:pt>
                <c:pt idx="2">
                  <c:v>Question 3</c:v>
                </c:pt>
                <c:pt idx="3">
                  <c:v>Question 4</c:v>
                </c:pt>
                <c:pt idx="4">
                  <c:v>Question 5</c:v>
                </c:pt>
                <c:pt idx="5">
                  <c:v>Question 6</c:v>
                </c:pt>
                <c:pt idx="6">
                  <c:v>Question 7</c:v>
                </c:pt>
                <c:pt idx="7">
                  <c:v>Question 8</c:v>
                </c:pt>
                <c:pt idx="8">
                  <c:v>Question 9</c:v>
                </c:pt>
                <c:pt idx="9">
                  <c:v>Question 10</c:v>
                </c:pt>
                <c:pt idx="10">
                  <c:v>Question 11</c:v>
                </c:pt>
              </c:strCache>
            </c:strRef>
          </c:cat>
          <c:val>
            <c:numRef>
              <c:f>'JBI-economic'!$E$17:$O$17</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2-284D-43EF-AC82-50A1B63CECF9}"/>
            </c:ext>
          </c:extLst>
        </c:ser>
        <c:ser>
          <c:idx val="3"/>
          <c:order val="3"/>
          <c:tx>
            <c:strRef>
              <c:f>'JBI-economic'!$D$18</c:f>
              <c:strCache>
                <c:ptCount val="1"/>
                <c:pt idx="0">
                  <c:v>Not applicable</c:v>
                </c:pt>
              </c:strCache>
            </c:strRef>
          </c:tx>
          <c:spPr>
            <a:solidFill>
              <a:schemeClr val="bg2">
                <a:lumMod val="50000"/>
              </a:schemeClr>
            </a:solidFill>
            <a:ln>
              <a:noFill/>
            </a:ln>
            <a:effectLst/>
          </c:spPr>
          <c:invertIfNegative val="0"/>
          <c:cat>
            <c:strRef>
              <c:f>'JBI-economic'!$E$14:$O$14</c:f>
              <c:strCache>
                <c:ptCount val="11"/>
                <c:pt idx="0">
                  <c:v>Question 1</c:v>
                </c:pt>
                <c:pt idx="1">
                  <c:v>Question 2</c:v>
                </c:pt>
                <c:pt idx="2">
                  <c:v>Question 3</c:v>
                </c:pt>
                <c:pt idx="3">
                  <c:v>Question 4</c:v>
                </c:pt>
                <c:pt idx="4">
                  <c:v>Question 5</c:v>
                </c:pt>
                <c:pt idx="5">
                  <c:v>Question 6</c:v>
                </c:pt>
                <c:pt idx="6">
                  <c:v>Question 7</c:v>
                </c:pt>
                <c:pt idx="7">
                  <c:v>Question 8</c:v>
                </c:pt>
                <c:pt idx="8">
                  <c:v>Question 9</c:v>
                </c:pt>
                <c:pt idx="9">
                  <c:v>Question 10</c:v>
                </c:pt>
                <c:pt idx="10">
                  <c:v>Question 11</c:v>
                </c:pt>
              </c:strCache>
            </c:strRef>
          </c:cat>
          <c:val>
            <c:numRef>
              <c:f>'JBI-economic'!$E$18:$O$18</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3-284D-43EF-AC82-50A1B63CECF9}"/>
            </c:ext>
          </c:extLst>
        </c:ser>
        <c:dLbls>
          <c:showLegendKey val="0"/>
          <c:showVal val="0"/>
          <c:showCatName val="0"/>
          <c:showSerName val="0"/>
          <c:showPercent val="0"/>
          <c:showBubbleSize val="0"/>
        </c:dLbls>
        <c:gapWidth val="150"/>
        <c:overlap val="100"/>
        <c:axId val="1811822319"/>
        <c:axId val="1870416783"/>
      </c:barChart>
      <c:catAx>
        <c:axId val="1811822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70416783"/>
        <c:crosses val="autoZero"/>
        <c:auto val="1"/>
        <c:lblAlgn val="ctr"/>
        <c:lblOffset val="100"/>
        <c:noMultiLvlLbl val="0"/>
      </c:catAx>
      <c:valAx>
        <c:axId val="187041678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11822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5970</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2023-11-10T15:42:00Z</dcterms:created>
  <dcterms:modified xsi:type="dcterms:W3CDTF">2023-11-10T15:42:00Z</dcterms:modified>
</cp:coreProperties>
</file>