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3B695" w14:textId="299C078A" w:rsidR="004B042A" w:rsidRPr="000E6D00" w:rsidRDefault="004B042A">
      <w:pPr>
        <w:rPr>
          <w:rFonts w:ascii="Times New Roman" w:hAnsi="Times New Roman" w:cs="Times New Roman"/>
          <w:b/>
          <w:bCs/>
          <w:sz w:val="24"/>
          <w:szCs w:val="24"/>
        </w:rPr>
      </w:pPr>
      <w:r w:rsidRPr="000E6D00">
        <w:rPr>
          <w:rFonts w:ascii="Times New Roman" w:hAnsi="Times New Roman" w:cs="Times New Roman"/>
          <w:b/>
          <w:bCs/>
          <w:sz w:val="24"/>
          <w:szCs w:val="24"/>
        </w:rPr>
        <w:t>Supplemental Materials</w:t>
      </w:r>
    </w:p>
    <w:p w14:paraId="02C0F28B" w14:textId="77777777" w:rsidR="004B042A" w:rsidRDefault="004B042A">
      <w:pPr>
        <w:rPr>
          <w:rFonts w:ascii="Times New Roman" w:hAnsi="Times New Roman" w:cs="Times New Roman"/>
          <w:b/>
          <w:bCs/>
        </w:rPr>
      </w:pPr>
    </w:p>
    <w:p w14:paraId="19F4163F" w14:textId="3E07088C" w:rsidR="004B042A" w:rsidRPr="000E6D00" w:rsidRDefault="000E6D00">
      <w:pPr>
        <w:rPr>
          <w:rFonts w:ascii="Times New Roman" w:hAnsi="Times New Roman" w:cs="Times New Roman"/>
          <w:b/>
          <w:bCs/>
          <w:sz w:val="20"/>
          <w:szCs w:val="20"/>
        </w:rPr>
      </w:pPr>
      <w:r w:rsidRPr="000E6D00">
        <w:rPr>
          <w:rFonts w:ascii="Times New Roman" w:hAnsi="Times New Roman" w:cs="Times New Roman"/>
          <w:b/>
          <w:bCs/>
          <w:sz w:val="20"/>
          <w:szCs w:val="20"/>
        </w:rPr>
        <w:t>Supplemental Methods</w:t>
      </w:r>
    </w:p>
    <w:p w14:paraId="597F0361" w14:textId="20EFFCD3" w:rsidR="000E6D00" w:rsidRDefault="000E6D00">
      <w:pPr>
        <w:rPr>
          <w:rFonts w:ascii="Times New Roman" w:hAnsi="Times New Roman" w:cs="Times New Roman"/>
          <w:b/>
          <w:bCs/>
          <w:sz w:val="20"/>
          <w:szCs w:val="20"/>
        </w:rPr>
      </w:pPr>
      <w:r w:rsidRPr="000E6D00">
        <w:rPr>
          <w:rFonts w:ascii="Times New Roman" w:hAnsi="Times New Roman" w:cs="Times New Roman"/>
          <w:b/>
          <w:bCs/>
          <w:sz w:val="20"/>
          <w:szCs w:val="20"/>
        </w:rPr>
        <w:t>Supplemental Results</w:t>
      </w:r>
    </w:p>
    <w:p w14:paraId="30BCABBE" w14:textId="6718212E" w:rsidR="009C679C" w:rsidRDefault="009C679C">
      <w:pPr>
        <w:rPr>
          <w:rFonts w:ascii="Times New Roman" w:hAnsi="Times New Roman" w:cs="Times New Roman"/>
          <w:b/>
          <w:bCs/>
          <w:sz w:val="20"/>
          <w:szCs w:val="20"/>
        </w:rPr>
      </w:pPr>
      <w:r w:rsidRPr="009C679C">
        <w:rPr>
          <w:rFonts w:ascii="Times New Roman" w:hAnsi="Times New Roman" w:cs="Times New Roman"/>
          <w:b/>
          <w:bCs/>
          <w:sz w:val="20"/>
          <w:szCs w:val="20"/>
        </w:rPr>
        <w:t>Fig</w:t>
      </w:r>
      <w:r>
        <w:rPr>
          <w:rFonts w:ascii="Times New Roman" w:hAnsi="Times New Roman" w:cs="Times New Roman"/>
          <w:b/>
          <w:bCs/>
          <w:sz w:val="20"/>
          <w:szCs w:val="20"/>
        </w:rPr>
        <w:t>ure</w:t>
      </w:r>
      <w:r w:rsidRPr="009C679C">
        <w:rPr>
          <w:rFonts w:ascii="Times New Roman" w:hAnsi="Times New Roman" w:cs="Times New Roman"/>
          <w:b/>
          <w:bCs/>
          <w:sz w:val="20"/>
          <w:szCs w:val="20"/>
        </w:rPr>
        <w:t xml:space="preserve"> S1. Illustration of the data structure in difference-in-differences analysis</w:t>
      </w:r>
    </w:p>
    <w:p w14:paraId="680A9489" w14:textId="3C2E1A6B" w:rsidR="004F75BD" w:rsidRDefault="004F75BD">
      <w:pPr>
        <w:rPr>
          <w:rFonts w:ascii="Times New Roman" w:hAnsi="Times New Roman" w:cs="Times New Roman"/>
          <w:b/>
          <w:bCs/>
          <w:sz w:val="20"/>
          <w:szCs w:val="20"/>
        </w:rPr>
      </w:pPr>
      <w:r w:rsidRPr="004F75BD">
        <w:rPr>
          <w:rFonts w:ascii="Times New Roman" w:hAnsi="Times New Roman" w:cs="Times New Roman"/>
          <w:b/>
          <w:bCs/>
          <w:sz w:val="20"/>
          <w:szCs w:val="20"/>
        </w:rPr>
        <w:t>Table S1. Data sources and definitions for cohort characteristics</w:t>
      </w:r>
    </w:p>
    <w:p w14:paraId="08DCE0FB" w14:textId="05619D7C" w:rsidR="004F75BD" w:rsidRDefault="001300E9">
      <w:pPr>
        <w:rPr>
          <w:rFonts w:ascii="Times New Roman" w:hAnsi="Times New Roman" w:cs="Times New Roman"/>
          <w:b/>
          <w:bCs/>
          <w:sz w:val="20"/>
          <w:szCs w:val="20"/>
        </w:rPr>
      </w:pPr>
      <w:r w:rsidRPr="001300E9">
        <w:rPr>
          <w:rFonts w:ascii="Times New Roman" w:hAnsi="Times New Roman" w:cs="Times New Roman"/>
          <w:b/>
          <w:bCs/>
          <w:sz w:val="20"/>
          <w:szCs w:val="20"/>
        </w:rPr>
        <w:t>Table S</w:t>
      </w:r>
      <w:r>
        <w:rPr>
          <w:rFonts w:ascii="Times New Roman" w:hAnsi="Times New Roman" w:cs="Times New Roman"/>
          <w:b/>
          <w:bCs/>
          <w:sz w:val="20"/>
          <w:szCs w:val="20"/>
        </w:rPr>
        <w:t>2</w:t>
      </w:r>
      <w:r w:rsidRPr="001300E9">
        <w:rPr>
          <w:rFonts w:ascii="Times New Roman" w:hAnsi="Times New Roman" w:cs="Times New Roman"/>
          <w:b/>
          <w:bCs/>
          <w:sz w:val="20"/>
          <w:szCs w:val="20"/>
        </w:rPr>
        <w:t>. ICD-10 codes for defining acute substance misuse events</w:t>
      </w:r>
    </w:p>
    <w:p w14:paraId="6A3F0D32" w14:textId="4DAA5947" w:rsidR="00C948B6" w:rsidRDefault="00C948B6">
      <w:pPr>
        <w:rPr>
          <w:rFonts w:ascii="Times New Roman" w:hAnsi="Times New Roman" w:cs="Times New Roman"/>
          <w:b/>
          <w:bCs/>
          <w:sz w:val="20"/>
          <w:szCs w:val="20"/>
        </w:rPr>
      </w:pPr>
      <w:r w:rsidRPr="00C948B6">
        <w:rPr>
          <w:rFonts w:ascii="Times New Roman" w:hAnsi="Times New Roman" w:cs="Times New Roman"/>
          <w:b/>
          <w:bCs/>
          <w:sz w:val="20"/>
          <w:szCs w:val="20"/>
        </w:rPr>
        <w:t>Table S</w:t>
      </w:r>
      <w:r>
        <w:rPr>
          <w:rFonts w:ascii="Times New Roman" w:hAnsi="Times New Roman" w:cs="Times New Roman"/>
          <w:b/>
          <w:bCs/>
          <w:sz w:val="20"/>
          <w:szCs w:val="20"/>
        </w:rPr>
        <w:t>3</w:t>
      </w:r>
      <w:r w:rsidRPr="00C948B6">
        <w:rPr>
          <w:rFonts w:ascii="Times New Roman" w:hAnsi="Times New Roman" w:cs="Times New Roman"/>
          <w:b/>
          <w:bCs/>
          <w:sz w:val="20"/>
          <w:szCs w:val="20"/>
        </w:rPr>
        <w:t>. ICD-10 codes for defining acute mental health events</w:t>
      </w:r>
    </w:p>
    <w:p w14:paraId="45168F6D" w14:textId="0DBE4B17" w:rsidR="00CB748A" w:rsidRDefault="00DB1C63">
      <w:pPr>
        <w:rPr>
          <w:rFonts w:ascii="Times New Roman" w:hAnsi="Times New Roman" w:cs="Times New Roman"/>
          <w:b/>
          <w:bCs/>
          <w:sz w:val="20"/>
          <w:szCs w:val="20"/>
        </w:rPr>
      </w:pPr>
      <w:r w:rsidRPr="00DB1C63">
        <w:rPr>
          <w:rFonts w:ascii="Times New Roman" w:hAnsi="Times New Roman" w:cs="Times New Roman"/>
          <w:b/>
          <w:bCs/>
          <w:sz w:val="20"/>
          <w:szCs w:val="20"/>
        </w:rPr>
        <w:t>Table S</w:t>
      </w:r>
      <w:r>
        <w:rPr>
          <w:rFonts w:ascii="Times New Roman" w:hAnsi="Times New Roman" w:cs="Times New Roman"/>
          <w:b/>
          <w:bCs/>
          <w:sz w:val="20"/>
          <w:szCs w:val="20"/>
        </w:rPr>
        <w:t>4</w:t>
      </w:r>
      <w:r w:rsidRPr="00DB1C63">
        <w:rPr>
          <w:rFonts w:ascii="Times New Roman" w:hAnsi="Times New Roman" w:cs="Times New Roman"/>
          <w:b/>
          <w:bCs/>
          <w:sz w:val="20"/>
          <w:szCs w:val="20"/>
        </w:rPr>
        <w:t>. ICD-10 codes for defining acute somatic health events</w:t>
      </w:r>
    </w:p>
    <w:p w14:paraId="371E4A4A" w14:textId="791FC835" w:rsidR="006C2740" w:rsidRDefault="006C2740">
      <w:pPr>
        <w:rPr>
          <w:rFonts w:ascii="Times New Roman" w:hAnsi="Times New Roman" w:cs="Times New Roman"/>
          <w:b/>
          <w:bCs/>
          <w:sz w:val="20"/>
          <w:szCs w:val="20"/>
        </w:rPr>
      </w:pPr>
      <w:r w:rsidRPr="006C2740">
        <w:rPr>
          <w:rFonts w:ascii="Times New Roman" w:hAnsi="Times New Roman" w:cs="Times New Roman"/>
          <w:b/>
          <w:bCs/>
          <w:sz w:val="20"/>
          <w:szCs w:val="20"/>
        </w:rPr>
        <w:t>Table S</w:t>
      </w:r>
      <w:r>
        <w:rPr>
          <w:rFonts w:ascii="Times New Roman" w:hAnsi="Times New Roman" w:cs="Times New Roman"/>
          <w:b/>
          <w:bCs/>
          <w:sz w:val="20"/>
          <w:szCs w:val="20"/>
        </w:rPr>
        <w:t>5</w:t>
      </w:r>
      <w:r w:rsidRPr="006C2740">
        <w:rPr>
          <w:rFonts w:ascii="Times New Roman" w:hAnsi="Times New Roman" w:cs="Times New Roman"/>
          <w:b/>
          <w:bCs/>
          <w:sz w:val="20"/>
          <w:szCs w:val="20"/>
        </w:rPr>
        <w:t>. Covariates for the within-individual analysis</w:t>
      </w:r>
    </w:p>
    <w:p w14:paraId="59D87F60" w14:textId="53266604" w:rsidR="001874BB" w:rsidRDefault="001874BB">
      <w:pPr>
        <w:rPr>
          <w:rFonts w:ascii="Times New Roman" w:hAnsi="Times New Roman" w:cs="Times New Roman"/>
          <w:b/>
          <w:bCs/>
          <w:sz w:val="20"/>
          <w:szCs w:val="20"/>
        </w:rPr>
      </w:pPr>
      <w:r w:rsidRPr="001874BB">
        <w:rPr>
          <w:rFonts w:ascii="Times New Roman" w:hAnsi="Times New Roman" w:cs="Times New Roman"/>
          <w:b/>
          <w:bCs/>
          <w:sz w:val="20"/>
          <w:szCs w:val="20"/>
        </w:rPr>
        <w:t>Fig</w:t>
      </w:r>
      <w:r>
        <w:rPr>
          <w:rFonts w:ascii="Times New Roman" w:hAnsi="Times New Roman" w:cs="Times New Roman"/>
          <w:b/>
          <w:bCs/>
          <w:sz w:val="20"/>
          <w:szCs w:val="20"/>
        </w:rPr>
        <w:t>ure</w:t>
      </w:r>
      <w:r w:rsidRPr="001874BB">
        <w:rPr>
          <w:rFonts w:ascii="Times New Roman" w:hAnsi="Times New Roman" w:cs="Times New Roman"/>
          <w:b/>
          <w:bCs/>
          <w:sz w:val="20"/>
          <w:szCs w:val="20"/>
        </w:rPr>
        <w:t xml:space="preserve"> S</w:t>
      </w:r>
      <w:r>
        <w:rPr>
          <w:rFonts w:ascii="Times New Roman" w:hAnsi="Times New Roman" w:cs="Times New Roman"/>
          <w:b/>
          <w:bCs/>
          <w:sz w:val="20"/>
          <w:szCs w:val="20"/>
        </w:rPr>
        <w:t>2</w:t>
      </w:r>
      <w:r w:rsidRPr="001874BB">
        <w:rPr>
          <w:rFonts w:ascii="Times New Roman" w:hAnsi="Times New Roman" w:cs="Times New Roman"/>
          <w:b/>
          <w:bCs/>
          <w:sz w:val="20"/>
          <w:szCs w:val="20"/>
        </w:rPr>
        <w:t>. Prevalence of somatic diagnoses over the pre-treatment time</w:t>
      </w:r>
    </w:p>
    <w:p w14:paraId="53BB942B" w14:textId="02073DC6" w:rsidR="005B2EC9" w:rsidRDefault="005B2EC9">
      <w:pPr>
        <w:rPr>
          <w:rFonts w:ascii="Times New Roman" w:hAnsi="Times New Roman" w:cs="Times New Roman"/>
          <w:b/>
          <w:bCs/>
          <w:sz w:val="20"/>
          <w:szCs w:val="20"/>
        </w:rPr>
      </w:pPr>
      <w:r w:rsidRPr="006827F6">
        <w:rPr>
          <w:rFonts w:ascii="Times New Roman" w:hAnsi="Times New Roman" w:cs="Times New Roman"/>
          <w:b/>
          <w:bCs/>
          <w:sz w:val="20"/>
          <w:szCs w:val="20"/>
        </w:rPr>
        <w:t>Table S</w:t>
      </w:r>
      <w:r>
        <w:rPr>
          <w:rFonts w:ascii="Times New Roman" w:hAnsi="Times New Roman" w:cs="Times New Roman"/>
          <w:b/>
          <w:bCs/>
          <w:sz w:val="20"/>
          <w:szCs w:val="20"/>
        </w:rPr>
        <w:t>6</w:t>
      </w:r>
      <w:r w:rsidRPr="006827F6">
        <w:rPr>
          <w:rFonts w:ascii="Times New Roman" w:hAnsi="Times New Roman" w:cs="Times New Roman"/>
          <w:b/>
          <w:bCs/>
          <w:sz w:val="20"/>
          <w:szCs w:val="20"/>
        </w:rPr>
        <w:t xml:space="preserve">. </w:t>
      </w:r>
      <w:r w:rsidR="00CA4816" w:rsidRPr="00CA4816">
        <w:rPr>
          <w:rFonts w:ascii="Times New Roman" w:hAnsi="Times New Roman" w:cs="Times New Roman"/>
          <w:b/>
          <w:bCs/>
          <w:sz w:val="20"/>
          <w:szCs w:val="20"/>
        </w:rPr>
        <w:t>Number of observations used in the estimation of event study coefficients in Manuscript Figure 2</w:t>
      </w:r>
    </w:p>
    <w:p w14:paraId="20C67E69" w14:textId="33D1CC4C" w:rsidR="006827F6" w:rsidRDefault="006827F6">
      <w:pPr>
        <w:rPr>
          <w:rFonts w:ascii="Times New Roman" w:hAnsi="Times New Roman" w:cs="Times New Roman"/>
          <w:b/>
          <w:bCs/>
          <w:sz w:val="20"/>
          <w:szCs w:val="20"/>
        </w:rPr>
      </w:pPr>
      <w:r w:rsidRPr="006827F6">
        <w:rPr>
          <w:rFonts w:ascii="Times New Roman" w:hAnsi="Times New Roman" w:cs="Times New Roman"/>
          <w:b/>
          <w:bCs/>
          <w:sz w:val="20"/>
          <w:szCs w:val="20"/>
        </w:rPr>
        <w:t>Table S</w:t>
      </w:r>
      <w:r w:rsidR="00CA4816">
        <w:rPr>
          <w:rFonts w:ascii="Times New Roman" w:hAnsi="Times New Roman" w:cs="Times New Roman"/>
          <w:b/>
          <w:bCs/>
          <w:sz w:val="20"/>
          <w:szCs w:val="20"/>
        </w:rPr>
        <w:t>7</w:t>
      </w:r>
      <w:r w:rsidRPr="006827F6">
        <w:rPr>
          <w:rFonts w:ascii="Times New Roman" w:hAnsi="Times New Roman" w:cs="Times New Roman"/>
          <w:b/>
          <w:bCs/>
          <w:sz w:val="20"/>
          <w:szCs w:val="20"/>
        </w:rPr>
        <w:t>. Frequencies for the order of different types of sanctions in the cohort</w:t>
      </w:r>
    </w:p>
    <w:p w14:paraId="4AC20FD0" w14:textId="50AEC0B6" w:rsidR="00AA797A" w:rsidRDefault="00AA797A">
      <w:pPr>
        <w:rPr>
          <w:rFonts w:ascii="Times New Roman" w:hAnsi="Times New Roman" w:cs="Times New Roman"/>
          <w:b/>
          <w:bCs/>
          <w:sz w:val="20"/>
          <w:szCs w:val="20"/>
        </w:rPr>
      </w:pPr>
      <w:r w:rsidRPr="00AA797A">
        <w:rPr>
          <w:rFonts w:ascii="Times New Roman" w:hAnsi="Times New Roman" w:cs="Times New Roman"/>
          <w:b/>
          <w:bCs/>
          <w:sz w:val="20"/>
          <w:szCs w:val="20"/>
        </w:rPr>
        <w:t>Table S</w:t>
      </w:r>
      <w:r w:rsidR="00CA4816">
        <w:rPr>
          <w:rFonts w:ascii="Times New Roman" w:hAnsi="Times New Roman" w:cs="Times New Roman"/>
          <w:b/>
          <w:bCs/>
          <w:sz w:val="20"/>
          <w:szCs w:val="20"/>
        </w:rPr>
        <w:t>8</w:t>
      </w:r>
      <w:r w:rsidRPr="00AA797A">
        <w:rPr>
          <w:rFonts w:ascii="Times New Roman" w:hAnsi="Times New Roman" w:cs="Times New Roman"/>
          <w:b/>
          <w:bCs/>
          <w:sz w:val="20"/>
          <w:szCs w:val="20"/>
        </w:rPr>
        <w:t>. Within-individual Cox regression models estimating associations of sanction type with substance misuse, mental health, somatic health, and crime</w:t>
      </w:r>
      <w:r w:rsidR="00AF1E8F">
        <w:rPr>
          <w:rFonts w:ascii="Times New Roman" w:hAnsi="Times New Roman" w:cs="Times New Roman"/>
          <w:b/>
          <w:bCs/>
          <w:sz w:val="20"/>
          <w:szCs w:val="20"/>
        </w:rPr>
        <w:t xml:space="preserve"> (probation as reference)</w:t>
      </w:r>
    </w:p>
    <w:p w14:paraId="235DB6DF" w14:textId="0B0B8367" w:rsidR="00831B2C" w:rsidRDefault="00AF1E8F">
      <w:pPr>
        <w:rPr>
          <w:rFonts w:ascii="Times New Roman" w:hAnsi="Times New Roman" w:cs="Times New Roman"/>
          <w:b/>
          <w:bCs/>
          <w:sz w:val="20"/>
          <w:szCs w:val="20"/>
        </w:rPr>
      </w:pPr>
      <w:r w:rsidRPr="00AF1E8F">
        <w:rPr>
          <w:rFonts w:ascii="Times New Roman" w:hAnsi="Times New Roman" w:cs="Times New Roman"/>
          <w:b/>
          <w:bCs/>
          <w:sz w:val="20"/>
          <w:szCs w:val="20"/>
        </w:rPr>
        <w:t>Table S</w:t>
      </w:r>
      <w:r w:rsidR="00CA4816">
        <w:rPr>
          <w:rFonts w:ascii="Times New Roman" w:hAnsi="Times New Roman" w:cs="Times New Roman"/>
          <w:b/>
          <w:bCs/>
          <w:sz w:val="20"/>
          <w:szCs w:val="20"/>
        </w:rPr>
        <w:t>9</w:t>
      </w:r>
      <w:r w:rsidRPr="00AF1E8F">
        <w:rPr>
          <w:rFonts w:ascii="Times New Roman" w:hAnsi="Times New Roman" w:cs="Times New Roman"/>
          <w:b/>
          <w:bCs/>
          <w:sz w:val="20"/>
          <w:szCs w:val="20"/>
        </w:rPr>
        <w:t>. Within-individual Cox regression models estimating associations of sanction type with substance misuse, mental health, somatic health, and crime (controlling for time-varying indicator for time under supervision)</w:t>
      </w:r>
    </w:p>
    <w:p w14:paraId="0CE0307B" w14:textId="110F9056" w:rsidR="00434E97" w:rsidRDefault="00434E97">
      <w:pPr>
        <w:rPr>
          <w:rFonts w:ascii="Times New Roman" w:hAnsi="Times New Roman" w:cs="Times New Roman"/>
          <w:b/>
          <w:bCs/>
          <w:sz w:val="20"/>
          <w:szCs w:val="20"/>
        </w:rPr>
      </w:pPr>
      <w:r w:rsidRPr="00434E97">
        <w:rPr>
          <w:rFonts w:ascii="Times New Roman" w:hAnsi="Times New Roman" w:cs="Times New Roman"/>
          <w:b/>
          <w:bCs/>
          <w:sz w:val="20"/>
          <w:szCs w:val="20"/>
        </w:rPr>
        <w:t>Table S</w:t>
      </w:r>
      <w:r w:rsidR="00CA4816">
        <w:rPr>
          <w:rFonts w:ascii="Times New Roman" w:hAnsi="Times New Roman" w:cs="Times New Roman"/>
          <w:b/>
          <w:bCs/>
          <w:sz w:val="20"/>
          <w:szCs w:val="20"/>
        </w:rPr>
        <w:t>10</w:t>
      </w:r>
      <w:r w:rsidRPr="00434E97">
        <w:rPr>
          <w:rFonts w:ascii="Times New Roman" w:hAnsi="Times New Roman" w:cs="Times New Roman"/>
          <w:b/>
          <w:bCs/>
          <w:sz w:val="20"/>
          <w:szCs w:val="20"/>
        </w:rPr>
        <w:t>. Within-individual Cox regression models estimating associations of sanction type with substance misuse, mental health, somatic health, and crime (start of follow-up at entry to prison for prison sanctions)</w:t>
      </w:r>
    </w:p>
    <w:p w14:paraId="6CFED6D4" w14:textId="1BB35FE8" w:rsidR="00A47855" w:rsidRDefault="00A47855">
      <w:pPr>
        <w:rPr>
          <w:rFonts w:ascii="Times New Roman" w:hAnsi="Times New Roman" w:cs="Times New Roman"/>
          <w:b/>
          <w:bCs/>
          <w:sz w:val="20"/>
          <w:szCs w:val="20"/>
        </w:rPr>
      </w:pPr>
      <w:r w:rsidRPr="00A47855">
        <w:rPr>
          <w:rFonts w:ascii="Times New Roman" w:hAnsi="Times New Roman" w:cs="Times New Roman"/>
          <w:b/>
          <w:bCs/>
          <w:sz w:val="20"/>
          <w:szCs w:val="20"/>
        </w:rPr>
        <w:t>Fig</w:t>
      </w:r>
      <w:r>
        <w:rPr>
          <w:rFonts w:ascii="Times New Roman" w:hAnsi="Times New Roman" w:cs="Times New Roman"/>
          <w:b/>
          <w:bCs/>
          <w:sz w:val="20"/>
          <w:szCs w:val="20"/>
        </w:rPr>
        <w:t>ure</w:t>
      </w:r>
      <w:r w:rsidRPr="00A47855">
        <w:rPr>
          <w:rFonts w:ascii="Times New Roman" w:hAnsi="Times New Roman" w:cs="Times New Roman"/>
          <w:b/>
          <w:bCs/>
          <w:sz w:val="20"/>
          <w:szCs w:val="20"/>
        </w:rPr>
        <w:t xml:space="preserve"> S</w:t>
      </w:r>
      <w:r>
        <w:rPr>
          <w:rFonts w:ascii="Times New Roman" w:hAnsi="Times New Roman" w:cs="Times New Roman"/>
          <w:b/>
          <w:bCs/>
          <w:sz w:val="20"/>
          <w:szCs w:val="20"/>
        </w:rPr>
        <w:t>3</w:t>
      </w:r>
      <w:r w:rsidRPr="00A47855">
        <w:rPr>
          <w:rFonts w:ascii="Times New Roman" w:hAnsi="Times New Roman" w:cs="Times New Roman"/>
          <w:b/>
          <w:bCs/>
          <w:sz w:val="20"/>
          <w:szCs w:val="20"/>
        </w:rPr>
        <w:t xml:space="preserve">. </w:t>
      </w:r>
      <w:r>
        <w:rPr>
          <w:rFonts w:ascii="Times New Roman" w:hAnsi="Times New Roman" w:cs="Times New Roman"/>
          <w:b/>
          <w:bCs/>
          <w:sz w:val="20"/>
          <w:szCs w:val="20"/>
        </w:rPr>
        <w:t>Difference-in-differences s</w:t>
      </w:r>
      <w:r w:rsidRPr="00A47855">
        <w:rPr>
          <w:rFonts w:ascii="Times New Roman" w:hAnsi="Times New Roman" w:cs="Times New Roman"/>
          <w:b/>
          <w:bCs/>
          <w:sz w:val="20"/>
          <w:szCs w:val="20"/>
        </w:rPr>
        <w:t>ensitivity analysis with time-varying treatment</w:t>
      </w:r>
    </w:p>
    <w:p w14:paraId="15BFCE01" w14:textId="3B768423" w:rsidR="003C1558" w:rsidRDefault="003C1558">
      <w:pPr>
        <w:rPr>
          <w:rFonts w:ascii="Times New Roman" w:hAnsi="Times New Roman" w:cs="Times New Roman"/>
          <w:b/>
          <w:bCs/>
          <w:sz w:val="20"/>
          <w:szCs w:val="20"/>
        </w:rPr>
      </w:pPr>
      <w:r w:rsidRPr="003C1558">
        <w:rPr>
          <w:rFonts w:ascii="Times New Roman" w:hAnsi="Times New Roman" w:cs="Times New Roman"/>
          <w:b/>
          <w:bCs/>
          <w:sz w:val="20"/>
          <w:szCs w:val="20"/>
        </w:rPr>
        <w:t>Table S1</w:t>
      </w:r>
      <w:r w:rsidR="00CA4816">
        <w:rPr>
          <w:rFonts w:ascii="Times New Roman" w:hAnsi="Times New Roman" w:cs="Times New Roman"/>
          <w:b/>
          <w:bCs/>
          <w:sz w:val="20"/>
          <w:szCs w:val="20"/>
        </w:rPr>
        <w:t>1</w:t>
      </w:r>
      <w:r w:rsidRPr="003C1558">
        <w:rPr>
          <w:rFonts w:ascii="Times New Roman" w:hAnsi="Times New Roman" w:cs="Times New Roman"/>
          <w:b/>
          <w:bCs/>
          <w:sz w:val="20"/>
          <w:szCs w:val="20"/>
        </w:rPr>
        <w:t xml:space="preserve">. Comparison of </w:t>
      </w:r>
      <w:r>
        <w:rPr>
          <w:rFonts w:ascii="Times New Roman" w:hAnsi="Times New Roman" w:cs="Times New Roman"/>
          <w:b/>
          <w:bCs/>
          <w:sz w:val="20"/>
          <w:szCs w:val="20"/>
        </w:rPr>
        <w:t>difference-in-differences</w:t>
      </w:r>
      <w:r w:rsidRPr="003C1558">
        <w:rPr>
          <w:rFonts w:ascii="Times New Roman" w:hAnsi="Times New Roman" w:cs="Times New Roman"/>
          <w:b/>
          <w:bCs/>
          <w:sz w:val="20"/>
          <w:szCs w:val="20"/>
        </w:rPr>
        <w:t xml:space="preserve"> treatment effects from the linear model with logit and Poisson models</w:t>
      </w:r>
    </w:p>
    <w:p w14:paraId="00BA0FA1" w14:textId="259EF8C4" w:rsidR="00485D2B" w:rsidRDefault="00485D2B">
      <w:pPr>
        <w:rPr>
          <w:rFonts w:ascii="Times New Roman" w:hAnsi="Times New Roman" w:cs="Times New Roman"/>
          <w:b/>
          <w:bCs/>
          <w:sz w:val="20"/>
          <w:szCs w:val="20"/>
        </w:rPr>
      </w:pPr>
      <w:r w:rsidRPr="00485D2B">
        <w:rPr>
          <w:rFonts w:ascii="Times New Roman" w:hAnsi="Times New Roman" w:cs="Times New Roman"/>
          <w:b/>
          <w:bCs/>
          <w:sz w:val="20"/>
          <w:szCs w:val="20"/>
        </w:rPr>
        <w:t>Fig</w:t>
      </w:r>
      <w:r>
        <w:rPr>
          <w:rFonts w:ascii="Times New Roman" w:hAnsi="Times New Roman" w:cs="Times New Roman"/>
          <w:b/>
          <w:bCs/>
          <w:sz w:val="20"/>
          <w:szCs w:val="20"/>
        </w:rPr>
        <w:t>ure</w:t>
      </w:r>
      <w:r w:rsidRPr="00485D2B">
        <w:rPr>
          <w:rFonts w:ascii="Times New Roman" w:hAnsi="Times New Roman" w:cs="Times New Roman"/>
          <w:b/>
          <w:bCs/>
          <w:sz w:val="20"/>
          <w:szCs w:val="20"/>
        </w:rPr>
        <w:t xml:space="preserve"> S</w:t>
      </w:r>
      <w:r>
        <w:rPr>
          <w:rFonts w:ascii="Times New Roman" w:hAnsi="Times New Roman" w:cs="Times New Roman"/>
          <w:b/>
          <w:bCs/>
          <w:sz w:val="20"/>
          <w:szCs w:val="20"/>
        </w:rPr>
        <w:t>4</w:t>
      </w:r>
      <w:r w:rsidRPr="00485D2B">
        <w:rPr>
          <w:rFonts w:ascii="Times New Roman" w:hAnsi="Times New Roman" w:cs="Times New Roman"/>
          <w:b/>
          <w:bCs/>
          <w:sz w:val="20"/>
          <w:szCs w:val="20"/>
        </w:rPr>
        <w:t xml:space="preserve">. </w:t>
      </w:r>
      <w:r>
        <w:rPr>
          <w:rFonts w:ascii="Times New Roman" w:hAnsi="Times New Roman" w:cs="Times New Roman"/>
          <w:b/>
          <w:bCs/>
          <w:sz w:val="20"/>
          <w:szCs w:val="20"/>
        </w:rPr>
        <w:t>Difference-in-differences s</w:t>
      </w:r>
      <w:r w:rsidRPr="00485D2B">
        <w:rPr>
          <w:rFonts w:ascii="Times New Roman" w:hAnsi="Times New Roman" w:cs="Times New Roman"/>
          <w:b/>
          <w:bCs/>
          <w:sz w:val="20"/>
          <w:szCs w:val="20"/>
        </w:rPr>
        <w:t>ensitivity analysis with cohort restricted to sanctions starting in 2003 and individuals without any prison or probation time in the pre-treatment period.</w:t>
      </w:r>
    </w:p>
    <w:p w14:paraId="2C2BAD72" w14:textId="2D2C7CD9" w:rsidR="005462BA" w:rsidRDefault="005462BA">
      <w:pPr>
        <w:rPr>
          <w:rFonts w:ascii="Times New Roman" w:hAnsi="Times New Roman" w:cs="Times New Roman"/>
          <w:b/>
          <w:bCs/>
          <w:sz w:val="20"/>
          <w:szCs w:val="20"/>
        </w:rPr>
      </w:pPr>
      <w:r w:rsidRPr="005462BA">
        <w:rPr>
          <w:rFonts w:ascii="Times New Roman" w:hAnsi="Times New Roman" w:cs="Times New Roman"/>
          <w:b/>
          <w:bCs/>
          <w:sz w:val="20"/>
          <w:szCs w:val="20"/>
        </w:rPr>
        <w:t>Fig</w:t>
      </w:r>
      <w:r>
        <w:rPr>
          <w:rFonts w:ascii="Times New Roman" w:hAnsi="Times New Roman" w:cs="Times New Roman"/>
          <w:b/>
          <w:bCs/>
          <w:sz w:val="20"/>
          <w:szCs w:val="20"/>
        </w:rPr>
        <w:t>ure</w:t>
      </w:r>
      <w:r w:rsidRPr="005462BA">
        <w:rPr>
          <w:rFonts w:ascii="Times New Roman" w:hAnsi="Times New Roman" w:cs="Times New Roman"/>
          <w:b/>
          <w:bCs/>
          <w:sz w:val="20"/>
          <w:szCs w:val="20"/>
        </w:rPr>
        <w:t xml:space="preserve"> S</w:t>
      </w:r>
      <w:r w:rsidR="00C30698">
        <w:rPr>
          <w:rFonts w:ascii="Times New Roman" w:hAnsi="Times New Roman" w:cs="Times New Roman"/>
          <w:b/>
          <w:bCs/>
          <w:sz w:val="20"/>
          <w:szCs w:val="20"/>
        </w:rPr>
        <w:t>5</w:t>
      </w:r>
      <w:r w:rsidRPr="005462BA">
        <w:rPr>
          <w:rFonts w:ascii="Times New Roman" w:hAnsi="Times New Roman" w:cs="Times New Roman"/>
          <w:b/>
          <w:bCs/>
          <w:sz w:val="20"/>
          <w:szCs w:val="20"/>
        </w:rPr>
        <w:t>. Robust inference sensitivity analysis for substance misuse</w:t>
      </w:r>
    </w:p>
    <w:p w14:paraId="700F0FD8" w14:textId="7F78C1FC" w:rsidR="00C30698" w:rsidRDefault="00C30698" w:rsidP="00C30698">
      <w:pPr>
        <w:rPr>
          <w:rFonts w:ascii="Times New Roman" w:hAnsi="Times New Roman" w:cs="Times New Roman"/>
          <w:b/>
          <w:bCs/>
          <w:sz w:val="20"/>
          <w:szCs w:val="20"/>
        </w:rPr>
      </w:pPr>
      <w:r w:rsidRPr="005462BA">
        <w:rPr>
          <w:rFonts w:ascii="Times New Roman" w:hAnsi="Times New Roman" w:cs="Times New Roman"/>
          <w:b/>
          <w:bCs/>
          <w:sz w:val="20"/>
          <w:szCs w:val="20"/>
        </w:rPr>
        <w:t>Fig</w:t>
      </w:r>
      <w:r>
        <w:rPr>
          <w:rFonts w:ascii="Times New Roman" w:hAnsi="Times New Roman" w:cs="Times New Roman"/>
          <w:b/>
          <w:bCs/>
          <w:sz w:val="20"/>
          <w:szCs w:val="20"/>
        </w:rPr>
        <w:t>ure</w:t>
      </w:r>
      <w:r w:rsidRPr="005462BA">
        <w:rPr>
          <w:rFonts w:ascii="Times New Roman" w:hAnsi="Times New Roman" w:cs="Times New Roman"/>
          <w:b/>
          <w:bCs/>
          <w:sz w:val="20"/>
          <w:szCs w:val="20"/>
        </w:rPr>
        <w:t xml:space="preserve"> S</w:t>
      </w:r>
      <w:r>
        <w:rPr>
          <w:rFonts w:ascii="Times New Roman" w:hAnsi="Times New Roman" w:cs="Times New Roman"/>
          <w:b/>
          <w:bCs/>
          <w:sz w:val="20"/>
          <w:szCs w:val="20"/>
        </w:rPr>
        <w:t>6</w:t>
      </w:r>
      <w:r w:rsidRPr="005462BA">
        <w:rPr>
          <w:rFonts w:ascii="Times New Roman" w:hAnsi="Times New Roman" w:cs="Times New Roman"/>
          <w:b/>
          <w:bCs/>
          <w:sz w:val="20"/>
          <w:szCs w:val="20"/>
        </w:rPr>
        <w:t xml:space="preserve">. Robust inference sensitivity analysis for </w:t>
      </w:r>
      <w:r>
        <w:rPr>
          <w:rFonts w:ascii="Times New Roman" w:hAnsi="Times New Roman" w:cs="Times New Roman"/>
          <w:b/>
          <w:bCs/>
          <w:sz w:val="20"/>
          <w:szCs w:val="20"/>
        </w:rPr>
        <w:t>mental health</w:t>
      </w:r>
    </w:p>
    <w:p w14:paraId="4EA9D457" w14:textId="2969EBFE" w:rsidR="00C30698" w:rsidRDefault="00C30698" w:rsidP="00C30698">
      <w:pPr>
        <w:rPr>
          <w:rFonts w:ascii="Times New Roman" w:hAnsi="Times New Roman" w:cs="Times New Roman"/>
          <w:b/>
          <w:bCs/>
          <w:sz w:val="20"/>
          <w:szCs w:val="20"/>
        </w:rPr>
      </w:pPr>
      <w:r w:rsidRPr="005462BA">
        <w:rPr>
          <w:rFonts w:ascii="Times New Roman" w:hAnsi="Times New Roman" w:cs="Times New Roman"/>
          <w:b/>
          <w:bCs/>
          <w:sz w:val="20"/>
          <w:szCs w:val="20"/>
        </w:rPr>
        <w:t>Fig</w:t>
      </w:r>
      <w:r>
        <w:rPr>
          <w:rFonts w:ascii="Times New Roman" w:hAnsi="Times New Roman" w:cs="Times New Roman"/>
          <w:b/>
          <w:bCs/>
          <w:sz w:val="20"/>
          <w:szCs w:val="20"/>
        </w:rPr>
        <w:t>ure</w:t>
      </w:r>
      <w:r w:rsidRPr="005462BA">
        <w:rPr>
          <w:rFonts w:ascii="Times New Roman" w:hAnsi="Times New Roman" w:cs="Times New Roman"/>
          <w:b/>
          <w:bCs/>
          <w:sz w:val="20"/>
          <w:szCs w:val="20"/>
        </w:rPr>
        <w:t xml:space="preserve"> S</w:t>
      </w:r>
      <w:r>
        <w:rPr>
          <w:rFonts w:ascii="Times New Roman" w:hAnsi="Times New Roman" w:cs="Times New Roman"/>
          <w:b/>
          <w:bCs/>
          <w:sz w:val="20"/>
          <w:szCs w:val="20"/>
        </w:rPr>
        <w:t>7</w:t>
      </w:r>
      <w:r w:rsidRPr="005462BA">
        <w:rPr>
          <w:rFonts w:ascii="Times New Roman" w:hAnsi="Times New Roman" w:cs="Times New Roman"/>
          <w:b/>
          <w:bCs/>
          <w:sz w:val="20"/>
          <w:szCs w:val="20"/>
        </w:rPr>
        <w:t xml:space="preserve">. Robust inference sensitivity analysis for </w:t>
      </w:r>
      <w:r>
        <w:rPr>
          <w:rFonts w:ascii="Times New Roman" w:hAnsi="Times New Roman" w:cs="Times New Roman"/>
          <w:b/>
          <w:bCs/>
          <w:sz w:val="20"/>
          <w:szCs w:val="20"/>
        </w:rPr>
        <w:t>somatic health</w:t>
      </w:r>
    </w:p>
    <w:p w14:paraId="343EC8B5" w14:textId="0C05798E" w:rsidR="00C30698" w:rsidRDefault="00C30698" w:rsidP="00C30698">
      <w:pPr>
        <w:rPr>
          <w:rFonts w:ascii="Times New Roman" w:hAnsi="Times New Roman" w:cs="Times New Roman"/>
          <w:b/>
          <w:bCs/>
          <w:sz w:val="20"/>
          <w:szCs w:val="20"/>
        </w:rPr>
      </w:pPr>
      <w:r w:rsidRPr="005462BA">
        <w:rPr>
          <w:rFonts w:ascii="Times New Roman" w:hAnsi="Times New Roman" w:cs="Times New Roman"/>
          <w:b/>
          <w:bCs/>
          <w:sz w:val="20"/>
          <w:szCs w:val="20"/>
        </w:rPr>
        <w:t>Fig</w:t>
      </w:r>
      <w:r>
        <w:rPr>
          <w:rFonts w:ascii="Times New Roman" w:hAnsi="Times New Roman" w:cs="Times New Roman"/>
          <w:b/>
          <w:bCs/>
          <w:sz w:val="20"/>
          <w:szCs w:val="20"/>
        </w:rPr>
        <w:t>ure</w:t>
      </w:r>
      <w:r w:rsidRPr="005462BA">
        <w:rPr>
          <w:rFonts w:ascii="Times New Roman" w:hAnsi="Times New Roman" w:cs="Times New Roman"/>
          <w:b/>
          <w:bCs/>
          <w:sz w:val="20"/>
          <w:szCs w:val="20"/>
        </w:rPr>
        <w:t xml:space="preserve"> S</w:t>
      </w:r>
      <w:r>
        <w:rPr>
          <w:rFonts w:ascii="Times New Roman" w:hAnsi="Times New Roman" w:cs="Times New Roman"/>
          <w:b/>
          <w:bCs/>
          <w:sz w:val="20"/>
          <w:szCs w:val="20"/>
        </w:rPr>
        <w:t>8</w:t>
      </w:r>
      <w:r w:rsidRPr="005462BA">
        <w:rPr>
          <w:rFonts w:ascii="Times New Roman" w:hAnsi="Times New Roman" w:cs="Times New Roman"/>
          <w:b/>
          <w:bCs/>
          <w:sz w:val="20"/>
          <w:szCs w:val="20"/>
        </w:rPr>
        <w:t xml:space="preserve">. Robust inference sensitivity analysis for </w:t>
      </w:r>
      <w:r>
        <w:rPr>
          <w:rFonts w:ascii="Times New Roman" w:hAnsi="Times New Roman" w:cs="Times New Roman"/>
          <w:b/>
          <w:bCs/>
          <w:sz w:val="20"/>
          <w:szCs w:val="20"/>
        </w:rPr>
        <w:t>crime</w:t>
      </w:r>
    </w:p>
    <w:p w14:paraId="16A432D5" w14:textId="77777777" w:rsidR="00C30698" w:rsidRDefault="00C30698" w:rsidP="00C30698">
      <w:pPr>
        <w:rPr>
          <w:rFonts w:ascii="Times New Roman" w:hAnsi="Times New Roman" w:cs="Times New Roman"/>
          <w:b/>
          <w:bCs/>
          <w:sz w:val="20"/>
          <w:szCs w:val="20"/>
        </w:rPr>
      </w:pPr>
    </w:p>
    <w:p w14:paraId="41FE2A4E" w14:textId="77777777" w:rsidR="00C30698" w:rsidRDefault="00C30698" w:rsidP="00C30698">
      <w:pPr>
        <w:rPr>
          <w:rFonts w:ascii="Times New Roman" w:hAnsi="Times New Roman" w:cs="Times New Roman"/>
          <w:b/>
          <w:bCs/>
          <w:sz w:val="20"/>
          <w:szCs w:val="20"/>
        </w:rPr>
      </w:pPr>
    </w:p>
    <w:p w14:paraId="43944666" w14:textId="77777777" w:rsidR="000E6D00" w:rsidRDefault="000E6D00">
      <w:pPr>
        <w:rPr>
          <w:rFonts w:ascii="Times New Roman" w:hAnsi="Times New Roman" w:cs="Times New Roman"/>
          <w:b/>
          <w:bCs/>
          <w:sz w:val="20"/>
          <w:szCs w:val="20"/>
        </w:rPr>
      </w:pPr>
    </w:p>
    <w:p w14:paraId="37D0C04D" w14:textId="77777777" w:rsidR="000E6D00" w:rsidRDefault="000E6D00">
      <w:pPr>
        <w:rPr>
          <w:rFonts w:ascii="Times New Roman" w:hAnsi="Times New Roman" w:cs="Times New Roman"/>
          <w:b/>
          <w:bCs/>
          <w:sz w:val="20"/>
          <w:szCs w:val="20"/>
        </w:rPr>
        <w:sectPr w:rsidR="000E6D00">
          <w:footerReference w:type="default" r:id="rId7"/>
          <w:pgSz w:w="12240" w:h="15840"/>
          <w:pgMar w:top="1417" w:right="1417" w:bottom="1417" w:left="1417" w:header="708" w:footer="708" w:gutter="0"/>
          <w:cols w:space="708"/>
          <w:docGrid w:linePitch="360"/>
        </w:sectPr>
      </w:pPr>
    </w:p>
    <w:p w14:paraId="70246C67" w14:textId="717F3A12" w:rsidR="00076714" w:rsidRPr="00DA009F" w:rsidRDefault="002B01E8">
      <w:pPr>
        <w:rPr>
          <w:rFonts w:ascii="Times New Roman" w:hAnsi="Times New Roman" w:cs="Times New Roman"/>
          <w:b/>
          <w:bCs/>
          <w:sz w:val="20"/>
          <w:szCs w:val="20"/>
        </w:rPr>
      </w:pPr>
      <w:r w:rsidRPr="00DA009F">
        <w:rPr>
          <w:rFonts w:ascii="Times New Roman" w:hAnsi="Times New Roman" w:cs="Times New Roman"/>
          <w:b/>
          <w:bCs/>
          <w:sz w:val="20"/>
          <w:szCs w:val="20"/>
        </w:rPr>
        <w:lastRenderedPageBreak/>
        <w:t>Supplemental Methods</w:t>
      </w:r>
    </w:p>
    <w:p w14:paraId="19B2FC4E" w14:textId="67568010" w:rsidR="0061735E" w:rsidRPr="00DA009F" w:rsidRDefault="00FE01B5" w:rsidP="002B01E8">
      <w:pPr>
        <w:pBdr>
          <w:top w:val="nil"/>
          <w:left w:val="nil"/>
          <w:bottom w:val="nil"/>
          <w:right w:val="nil"/>
          <w:between w:val="nil"/>
        </w:pBdr>
        <w:spacing w:line="360" w:lineRule="auto"/>
        <w:contextualSpacing/>
        <w:rPr>
          <w:rFonts w:ascii="Times New Roman" w:hAnsi="Times New Roman" w:cs="Times New Roman"/>
          <w:color w:val="000000"/>
          <w:sz w:val="20"/>
          <w:szCs w:val="20"/>
          <w:u w:val="single"/>
        </w:rPr>
      </w:pPr>
      <w:r w:rsidRPr="00DA009F">
        <w:rPr>
          <w:rFonts w:ascii="Times New Roman" w:hAnsi="Times New Roman" w:cs="Times New Roman"/>
          <w:color w:val="000000"/>
          <w:sz w:val="20"/>
          <w:szCs w:val="20"/>
          <w:u w:val="single"/>
        </w:rPr>
        <w:t xml:space="preserve">Contract </w:t>
      </w:r>
      <w:r w:rsidR="0061735E" w:rsidRPr="00DA009F">
        <w:rPr>
          <w:rFonts w:ascii="Times New Roman" w:hAnsi="Times New Roman" w:cs="Times New Roman"/>
          <w:color w:val="000000"/>
          <w:sz w:val="20"/>
          <w:szCs w:val="20"/>
          <w:u w:val="single"/>
        </w:rPr>
        <w:t>treatment</w:t>
      </w:r>
      <w:r w:rsidRPr="00DA009F">
        <w:rPr>
          <w:rFonts w:ascii="Times New Roman" w:hAnsi="Times New Roman" w:cs="Times New Roman"/>
          <w:color w:val="000000"/>
          <w:sz w:val="20"/>
          <w:szCs w:val="20"/>
          <w:u w:val="single"/>
        </w:rPr>
        <w:t xml:space="preserve"> details</w:t>
      </w:r>
      <w:r w:rsidR="003C0579">
        <w:rPr>
          <w:rFonts w:ascii="Times New Roman" w:hAnsi="Times New Roman" w:cs="Times New Roman"/>
          <w:color w:val="000000"/>
          <w:sz w:val="20"/>
          <w:szCs w:val="20"/>
          <w:u w:val="single"/>
        </w:rPr>
        <w:t xml:space="preserve"> and institutional context</w:t>
      </w:r>
    </w:p>
    <w:p w14:paraId="5298C511" w14:textId="356ACE13" w:rsidR="0061735E" w:rsidRPr="00DA009F" w:rsidRDefault="0061735E" w:rsidP="002B01E8">
      <w:pPr>
        <w:pBdr>
          <w:top w:val="nil"/>
          <w:left w:val="nil"/>
          <w:bottom w:val="nil"/>
          <w:right w:val="nil"/>
          <w:between w:val="nil"/>
        </w:pBdr>
        <w:spacing w:line="360" w:lineRule="auto"/>
        <w:contextualSpacing/>
        <w:rPr>
          <w:rFonts w:ascii="Times New Roman" w:hAnsi="Times New Roman" w:cs="Times New Roman"/>
          <w:color w:val="000000"/>
          <w:sz w:val="20"/>
          <w:szCs w:val="20"/>
          <w:u w:val="single"/>
        </w:rPr>
      </w:pPr>
      <w:r w:rsidRPr="00DA009F">
        <w:rPr>
          <w:rFonts w:ascii="Times New Roman" w:hAnsi="Times New Roman" w:cs="Times New Roman"/>
          <w:bCs/>
          <w:color w:val="000000"/>
          <w:sz w:val="20"/>
          <w:szCs w:val="20"/>
        </w:rPr>
        <w:t xml:space="preserve">Substance misuse-related cases do not have a separate court docket but are handled in the same manner as any other court case. If the committed crime would result in a prison sentence of 2 years or less and the judge has a reason to believe that the committed crime was closely linked to defendant’s substance use problem, the defendant becomes eligible for </w:t>
      </w:r>
      <w:r w:rsidRPr="00DA009F">
        <w:rPr>
          <w:rFonts w:ascii="Times New Roman" w:hAnsi="Times New Roman" w:cs="Times New Roman"/>
          <w:bCs/>
          <w:i/>
          <w:iCs/>
          <w:color w:val="000000"/>
          <w:sz w:val="20"/>
          <w:szCs w:val="20"/>
        </w:rPr>
        <w:t>kontraktsvård</w:t>
      </w:r>
      <w:r w:rsidRPr="00DA009F">
        <w:rPr>
          <w:rFonts w:ascii="Times New Roman" w:hAnsi="Times New Roman" w:cs="Times New Roman"/>
          <w:bCs/>
          <w:color w:val="000000"/>
          <w:sz w:val="20"/>
          <w:szCs w:val="20"/>
        </w:rPr>
        <w:t xml:space="preserve"> (directly translated as contract treatment). This means that cases involving violent crimes and more serious drug-related crimes are not automatically excluded from eligibility. Contract treatment is a version of probation that involves undergoing substance use disorder treatment combined with supervision by a probation officer. The convicted person consents to treatment, and by doing so, avoids a sentence in prison. Treatment is offered by health and social care providers in the community and tailored to the specific needs of the individual. It may entail psychological and/or pharmacological treatment delivered in an inpatient or outpatient setting. Treatment length varies between 1 month and up to 2 years. Supervision by a probation officer typically lasts for at least 1 year. Participation is entirely cost-free for the participant. If the client drops out of treatment prematurely, it is up to the court’s discretion to decide whether the remaining part of the sentence must be served in prison. The judge ultimately decides whether the sanction is given or not but does not have power to regulate or intervene in the actual treatment process in any way. The client is not subjected to court appearances where his or her treatment progress is praised or castigated. </w:t>
      </w:r>
      <w:r w:rsidR="002202E8" w:rsidRPr="002202E8">
        <w:rPr>
          <w:rFonts w:ascii="Times New Roman" w:hAnsi="Times New Roman" w:cs="Times New Roman"/>
          <w:color w:val="000000"/>
          <w:sz w:val="20"/>
          <w:szCs w:val="20"/>
        </w:rPr>
        <w:t>Registers do not contain information on whether treatment was completed or not</w:t>
      </w:r>
      <w:r w:rsidR="002202E8">
        <w:rPr>
          <w:rFonts w:ascii="Times New Roman" w:hAnsi="Times New Roman" w:cs="Times New Roman"/>
          <w:color w:val="000000"/>
          <w:sz w:val="20"/>
          <w:szCs w:val="20"/>
        </w:rPr>
        <w:t>, and thus all analyses included treatment initiators (as in an intention-to-treat design).</w:t>
      </w:r>
    </w:p>
    <w:p w14:paraId="684AC4DA" w14:textId="77777777" w:rsidR="0061735E" w:rsidRPr="00DA009F" w:rsidRDefault="0061735E" w:rsidP="002B01E8">
      <w:pPr>
        <w:pBdr>
          <w:top w:val="nil"/>
          <w:left w:val="nil"/>
          <w:bottom w:val="nil"/>
          <w:right w:val="nil"/>
          <w:between w:val="nil"/>
        </w:pBdr>
        <w:spacing w:line="360" w:lineRule="auto"/>
        <w:contextualSpacing/>
        <w:rPr>
          <w:rFonts w:ascii="Times New Roman" w:hAnsi="Times New Roman" w:cs="Times New Roman"/>
          <w:color w:val="000000"/>
          <w:sz w:val="20"/>
          <w:szCs w:val="20"/>
          <w:u w:val="single"/>
        </w:rPr>
      </w:pPr>
    </w:p>
    <w:p w14:paraId="31632640" w14:textId="0285F669" w:rsidR="002B01E8" w:rsidRPr="00DA009F" w:rsidRDefault="002B01E8" w:rsidP="002B01E8">
      <w:pPr>
        <w:pBdr>
          <w:top w:val="nil"/>
          <w:left w:val="nil"/>
          <w:bottom w:val="nil"/>
          <w:right w:val="nil"/>
          <w:between w:val="nil"/>
        </w:pBdr>
        <w:spacing w:line="360" w:lineRule="auto"/>
        <w:contextualSpacing/>
        <w:rPr>
          <w:rFonts w:ascii="Times New Roman" w:hAnsi="Times New Roman" w:cs="Times New Roman"/>
          <w:color w:val="000000"/>
          <w:sz w:val="20"/>
          <w:szCs w:val="20"/>
          <w:u w:val="single"/>
        </w:rPr>
      </w:pPr>
      <w:r w:rsidRPr="00DA009F">
        <w:rPr>
          <w:rFonts w:ascii="Times New Roman" w:hAnsi="Times New Roman" w:cs="Times New Roman"/>
          <w:color w:val="000000"/>
          <w:sz w:val="20"/>
          <w:szCs w:val="20"/>
          <w:u w:val="single"/>
        </w:rPr>
        <w:t>Sensitivity analyses</w:t>
      </w:r>
      <w:r w:rsidR="004F77D0" w:rsidRPr="00DA009F">
        <w:rPr>
          <w:rFonts w:ascii="Times New Roman" w:hAnsi="Times New Roman" w:cs="Times New Roman"/>
          <w:color w:val="000000"/>
          <w:sz w:val="20"/>
          <w:szCs w:val="20"/>
          <w:u w:val="single"/>
        </w:rPr>
        <w:t>:</w:t>
      </w:r>
      <w:r w:rsidRPr="00DA009F">
        <w:rPr>
          <w:rFonts w:ascii="Times New Roman" w:hAnsi="Times New Roman" w:cs="Times New Roman"/>
          <w:color w:val="000000"/>
          <w:sz w:val="20"/>
          <w:szCs w:val="20"/>
          <w:u w:val="single"/>
        </w:rPr>
        <w:t xml:space="preserve"> difference-in-differences approach</w:t>
      </w:r>
    </w:p>
    <w:p w14:paraId="43BF3BDE" w14:textId="77777777" w:rsidR="002B01E8" w:rsidRPr="00DA009F" w:rsidRDefault="002B01E8" w:rsidP="002B01E8">
      <w:pPr>
        <w:pBdr>
          <w:top w:val="nil"/>
          <w:left w:val="nil"/>
          <w:bottom w:val="nil"/>
          <w:right w:val="nil"/>
          <w:between w:val="nil"/>
        </w:pBdr>
        <w:spacing w:line="360" w:lineRule="auto"/>
        <w:contextualSpacing/>
        <w:rPr>
          <w:rFonts w:ascii="Times New Roman" w:hAnsi="Times New Roman" w:cs="Times New Roman"/>
          <w:i/>
          <w:color w:val="000000"/>
          <w:sz w:val="20"/>
          <w:szCs w:val="20"/>
        </w:rPr>
      </w:pPr>
      <w:r w:rsidRPr="00DA009F">
        <w:rPr>
          <w:rFonts w:ascii="Times New Roman" w:hAnsi="Times New Roman" w:cs="Times New Roman"/>
          <w:i/>
          <w:color w:val="000000"/>
          <w:sz w:val="20"/>
          <w:szCs w:val="20"/>
        </w:rPr>
        <w:t xml:space="preserve">Time-varying treatment. </w:t>
      </w:r>
      <w:r w:rsidRPr="00DA009F">
        <w:rPr>
          <w:rFonts w:ascii="Times New Roman" w:hAnsi="Times New Roman" w:cs="Times New Roman"/>
          <w:color w:val="000000"/>
          <w:sz w:val="20"/>
          <w:szCs w:val="20"/>
        </w:rPr>
        <w:t>The staggered rollout design considers treatment status to be permanent, i.e., once individual becomes treated, they remain treated for the rest of the panel. However, this might not be accurate in the context of this study, as contract treatment involves treatment in combination with supervision by a probation officer, both of which will end eventually. The Prison and Probation Service’s register does not contain information on time spent in treatment, but has records for time spent under supervision since 2003. For a subset of cohort whose sanction started in 2003 or later, 89% were no longer under supervision by the end of follow-up. To account for this, we conducted a sensitivity analysis where treatment was considered time-varying. At the start of follow-up, treatment indicator was coded as 0. The indicator switched to 1 on the quarter year sanction began, and switched back to 0 on the first quarter year after supervision period had ended.</w:t>
      </w:r>
    </w:p>
    <w:p w14:paraId="1A688C97" w14:textId="77777777" w:rsidR="002B01E8" w:rsidRPr="00DA009F" w:rsidRDefault="002B01E8" w:rsidP="002B01E8">
      <w:pPr>
        <w:pBdr>
          <w:top w:val="nil"/>
          <w:left w:val="nil"/>
          <w:bottom w:val="nil"/>
          <w:right w:val="nil"/>
          <w:between w:val="nil"/>
        </w:pBdr>
        <w:spacing w:line="360" w:lineRule="auto"/>
        <w:contextualSpacing/>
        <w:rPr>
          <w:rFonts w:ascii="Times New Roman" w:hAnsi="Times New Roman" w:cs="Times New Roman"/>
          <w:color w:val="000000"/>
          <w:sz w:val="20"/>
          <w:szCs w:val="20"/>
          <w:u w:val="single"/>
        </w:rPr>
      </w:pPr>
    </w:p>
    <w:p w14:paraId="37E647A2" w14:textId="2DDAAADC" w:rsidR="002B01E8" w:rsidRPr="00DA009F" w:rsidRDefault="002B01E8" w:rsidP="002B01E8">
      <w:pPr>
        <w:pBdr>
          <w:top w:val="nil"/>
          <w:left w:val="nil"/>
          <w:bottom w:val="nil"/>
          <w:right w:val="nil"/>
          <w:between w:val="nil"/>
        </w:pBdr>
        <w:spacing w:line="360" w:lineRule="auto"/>
        <w:contextualSpacing/>
        <w:rPr>
          <w:rFonts w:ascii="Times New Roman" w:hAnsi="Times New Roman" w:cs="Times New Roman"/>
          <w:color w:val="000000"/>
          <w:sz w:val="20"/>
          <w:szCs w:val="20"/>
        </w:rPr>
      </w:pPr>
      <w:r w:rsidRPr="00DA009F">
        <w:rPr>
          <w:rFonts w:ascii="Times New Roman" w:hAnsi="Times New Roman" w:cs="Times New Roman"/>
          <w:i/>
          <w:color w:val="000000"/>
          <w:sz w:val="20"/>
          <w:szCs w:val="20"/>
        </w:rPr>
        <w:t xml:space="preserve">Non-linear difference-in-differences. </w:t>
      </w:r>
      <w:r w:rsidRPr="00DA009F">
        <w:rPr>
          <w:rFonts w:ascii="Times New Roman" w:hAnsi="Times New Roman" w:cs="Times New Roman"/>
          <w:color w:val="000000"/>
          <w:sz w:val="20"/>
          <w:szCs w:val="20"/>
        </w:rPr>
        <w:t>Although the linear probability model is a standard estimator in many fields, there may still be concerns that it is inappropriate for binary outcomes. The main concern is that the model can make predictions that are outside of bounds for the outcome. Similarly, the crime outcome is a count variable, where the Poisson model may be more appropriate than the linear model. To check whether the linear models may have been misspecified, we estimated the models again with a non-linear difference-in-differences estimator proposed by Wooldrigde [</w:t>
      </w:r>
      <w:r w:rsidR="005013CE">
        <w:rPr>
          <w:rFonts w:ascii="Times New Roman" w:hAnsi="Times New Roman" w:cs="Times New Roman"/>
          <w:color w:val="000000"/>
          <w:sz w:val="20"/>
          <w:szCs w:val="20"/>
        </w:rPr>
        <w:t>1</w:t>
      </w:r>
      <w:r w:rsidRPr="00DA009F">
        <w:rPr>
          <w:rFonts w:ascii="Times New Roman" w:hAnsi="Times New Roman" w:cs="Times New Roman"/>
          <w:color w:val="000000"/>
          <w:sz w:val="20"/>
          <w:szCs w:val="20"/>
        </w:rPr>
        <w:t xml:space="preserve">], which can fit logit and Poisson models. We computed marginal effects from the fitted models, which </w:t>
      </w:r>
      <w:r w:rsidRPr="00DA009F">
        <w:rPr>
          <w:rFonts w:ascii="Times New Roman" w:hAnsi="Times New Roman" w:cs="Times New Roman"/>
          <w:color w:val="000000"/>
          <w:sz w:val="20"/>
          <w:szCs w:val="20"/>
        </w:rPr>
        <w:lastRenderedPageBreak/>
        <w:t xml:space="preserve">can be directly compared with the estimates obtained from the linear models. Analyses were conducted with the </w:t>
      </w:r>
      <w:r w:rsidRPr="00DA009F">
        <w:rPr>
          <w:rFonts w:ascii="Times New Roman" w:hAnsi="Times New Roman" w:cs="Times New Roman"/>
          <w:i/>
          <w:iCs/>
          <w:color w:val="000000"/>
          <w:sz w:val="20"/>
          <w:szCs w:val="20"/>
        </w:rPr>
        <w:t>etwfe</w:t>
      </w:r>
      <w:r w:rsidRPr="00DA009F">
        <w:rPr>
          <w:rFonts w:ascii="Times New Roman" w:hAnsi="Times New Roman" w:cs="Times New Roman"/>
          <w:color w:val="000000"/>
          <w:sz w:val="20"/>
          <w:szCs w:val="20"/>
        </w:rPr>
        <w:t xml:space="preserve"> package in R.</w:t>
      </w:r>
    </w:p>
    <w:p w14:paraId="1856F655" w14:textId="77777777" w:rsidR="002B01E8" w:rsidRPr="00DA009F" w:rsidRDefault="002B01E8" w:rsidP="002B01E8">
      <w:pPr>
        <w:pBdr>
          <w:top w:val="nil"/>
          <w:left w:val="nil"/>
          <w:bottom w:val="nil"/>
          <w:right w:val="nil"/>
          <w:between w:val="nil"/>
        </w:pBdr>
        <w:spacing w:line="360" w:lineRule="auto"/>
        <w:contextualSpacing/>
        <w:rPr>
          <w:rFonts w:ascii="Times New Roman" w:hAnsi="Times New Roman" w:cs="Times New Roman"/>
          <w:color w:val="000000"/>
          <w:sz w:val="20"/>
          <w:szCs w:val="20"/>
        </w:rPr>
      </w:pPr>
    </w:p>
    <w:p w14:paraId="5B34E49B" w14:textId="51A5A865" w:rsidR="002B01E8" w:rsidRPr="00DA009F" w:rsidRDefault="002B01E8" w:rsidP="002B01E8">
      <w:pPr>
        <w:pBdr>
          <w:top w:val="nil"/>
          <w:left w:val="nil"/>
          <w:bottom w:val="nil"/>
          <w:right w:val="nil"/>
          <w:between w:val="nil"/>
        </w:pBdr>
        <w:spacing w:line="360" w:lineRule="auto"/>
        <w:contextualSpacing/>
        <w:rPr>
          <w:rFonts w:ascii="Times New Roman" w:hAnsi="Times New Roman" w:cs="Times New Roman"/>
          <w:color w:val="000000"/>
          <w:sz w:val="20"/>
          <w:szCs w:val="20"/>
        </w:rPr>
      </w:pPr>
      <w:r w:rsidRPr="00DA009F">
        <w:rPr>
          <w:rFonts w:ascii="Times New Roman" w:hAnsi="Times New Roman" w:cs="Times New Roman"/>
          <w:i/>
          <w:iCs/>
          <w:color w:val="000000"/>
          <w:sz w:val="20"/>
          <w:szCs w:val="20"/>
        </w:rPr>
        <w:t>Addressing potential SUTVA violations.</w:t>
      </w:r>
      <w:r w:rsidRPr="00DA009F">
        <w:rPr>
          <w:rFonts w:ascii="Times New Roman" w:hAnsi="Times New Roman" w:cs="Times New Roman"/>
          <w:color w:val="000000"/>
          <w:sz w:val="20"/>
          <w:szCs w:val="20"/>
        </w:rPr>
        <w:t xml:space="preserve"> SUTVA contains the assumption that several versions of treatment do not exist. Contract treatment violates this assumption, as individuals receive treatment that is tailored to their individual needs. Hernán and Vanderweele show that ATT is identifiable even with several versions of treatment, as long as there is only 1 version of the control [</w:t>
      </w:r>
      <w:r w:rsidR="00FA18BD">
        <w:rPr>
          <w:rFonts w:ascii="Times New Roman" w:hAnsi="Times New Roman" w:cs="Times New Roman"/>
          <w:color w:val="000000"/>
          <w:sz w:val="20"/>
          <w:szCs w:val="20"/>
        </w:rPr>
        <w:t>2</w:t>
      </w:r>
      <w:r w:rsidRPr="00DA009F">
        <w:rPr>
          <w:rFonts w:ascii="Times New Roman" w:hAnsi="Times New Roman" w:cs="Times New Roman"/>
          <w:color w:val="000000"/>
          <w:sz w:val="20"/>
          <w:szCs w:val="20"/>
        </w:rPr>
        <w:t>]. The control condition in our setting is the pre-treatment time. Most individuals spent this time in the community. However, 23% spent at least some time in prison or under regular probation. We conducted a sensitivity analysis where these individuals were removed from the cohort to homogenize the control condition.</w:t>
      </w:r>
    </w:p>
    <w:p w14:paraId="17330453" w14:textId="77777777" w:rsidR="002B01E8" w:rsidRPr="00DA009F" w:rsidRDefault="002B01E8" w:rsidP="002B01E8">
      <w:pPr>
        <w:pBdr>
          <w:top w:val="nil"/>
          <w:left w:val="nil"/>
          <w:bottom w:val="nil"/>
          <w:right w:val="nil"/>
          <w:between w:val="nil"/>
        </w:pBdr>
        <w:spacing w:line="360" w:lineRule="auto"/>
        <w:contextualSpacing/>
        <w:rPr>
          <w:rFonts w:ascii="Times New Roman" w:hAnsi="Times New Roman" w:cs="Times New Roman"/>
          <w:color w:val="000000"/>
          <w:sz w:val="20"/>
          <w:szCs w:val="20"/>
          <w:u w:val="single"/>
        </w:rPr>
      </w:pPr>
    </w:p>
    <w:p w14:paraId="24A6E31A" w14:textId="187290E5" w:rsidR="002B01E8" w:rsidRDefault="002B01E8" w:rsidP="004E4B7E">
      <w:pPr>
        <w:pBdr>
          <w:top w:val="nil"/>
          <w:left w:val="nil"/>
          <w:bottom w:val="nil"/>
          <w:right w:val="nil"/>
          <w:between w:val="nil"/>
        </w:pBdr>
        <w:spacing w:line="360" w:lineRule="auto"/>
        <w:contextualSpacing/>
        <w:rPr>
          <w:rFonts w:ascii="Times New Roman" w:hAnsi="Times New Roman" w:cs="Times New Roman"/>
          <w:color w:val="000000"/>
          <w:sz w:val="20"/>
          <w:szCs w:val="20"/>
        </w:rPr>
      </w:pPr>
      <w:r w:rsidRPr="00DA009F">
        <w:rPr>
          <w:rFonts w:ascii="Times New Roman" w:hAnsi="Times New Roman" w:cs="Times New Roman"/>
          <w:i/>
          <w:color w:val="000000"/>
          <w:sz w:val="20"/>
          <w:szCs w:val="20"/>
        </w:rPr>
        <w:t xml:space="preserve">The robust inference framework. </w:t>
      </w:r>
      <w:r w:rsidRPr="00DA009F">
        <w:rPr>
          <w:rFonts w:ascii="Times New Roman" w:hAnsi="Times New Roman" w:cs="Times New Roman"/>
          <w:color w:val="000000"/>
          <w:sz w:val="20"/>
          <w:szCs w:val="20"/>
        </w:rPr>
        <w:t>The credibility of difference-in-differences design rests on the validity of the parallel trends assumption: in the absence of treatment, the outcomes in treatment and control groups would have continued to develop in parallel. While the pre-treatment trends can be evaluated empirically, which provides some support for this assumption, the counterfactual post-treatment trend in the treatment group is always unobserved. All outcomes tended to increase over the pre-treatment period, which suggests that regression to the mean might be a concern in the context of this study. Perhaps the 2-year period preceding contract treatment was a particularly bad time in the individuals’ life, and outcomes would have been reduced to some degree even without the intervention. The “true” counterfactual post-treatment trend might slope downwards, while the observed trend in controls was increasing linearly (because they were still in their pre-treatment period). This produces biased estimates, as the assumption is that the counterfactual of the treatment group follows the observed trend of the controls.</w:t>
      </w:r>
      <w:r w:rsidRPr="00DA009F">
        <w:rPr>
          <w:rFonts w:ascii="Times New Roman" w:hAnsi="Times New Roman" w:cs="Times New Roman"/>
          <w:i/>
          <w:color w:val="000000"/>
          <w:sz w:val="20"/>
          <w:szCs w:val="20"/>
        </w:rPr>
        <w:t xml:space="preserve"> </w:t>
      </w:r>
      <w:r w:rsidRPr="00DA009F">
        <w:rPr>
          <w:rFonts w:ascii="Times New Roman" w:hAnsi="Times New Roman" w:cs="Times New Roman"/>
          <w:color w:val="000000"/>
          <w:sz w:val="20"/>
          <w:szCs w:val="20"/>
        </w:rPr>
        <w:t>A sensitivity analysis proposed by Rambachan and Roth can be used to calculate a “breakdown value”, i.e., how severe the parallel trends violation would have to be so that the original treatment effects would no longer be significant [</w:t>
      </w:r>
      <w:r w:rsidR="00F12E4A">
        <w:rPr>
          <w:rFonts w:ascii="Times New Roman" w:hAnsi="Times New Roman" w:cs="Times New Roman"/>
          <w:color w:val="000000"/>
          <w:sz w:val="20"/>
          <w:szCs w:val="20"/>
        </w:rPr>
        <w:t>3</w:t>
      </w:r>
      <w:r w:rsidRPr="00DA009F">
        <w:rPr>
          <w:rFonts w:ascii="Times New Roman" w:hAnsi="Times New Roman" w:cs="Times New Roman"/>
          <w:color w:val="000000"/>
          <w:sz w:val="20"/>
          <w:szCs w:val="20"/>
        </w:rPr>
        <w:t xml:space="preserve">]. We used their smoothness restriction approach. When imposing a smoothness restriction, the assumption is that the underlying trend does not deviate </w:t>
      </w:r>
      <w:r w:rsidRPr="00DA009F">
        <w:rPr>
          <w:rFonts w:ascii="Times New Roman" w:hAnsi="Times New Roman" w:cs="Times New Roman"/>
          <w:i/>
          <w:color w:val="000000"/>
          <w:sz w:val="20"/>
          <w:szCs w:val="20"/>
        </w:rPr>
        <w:t>too much</w:t>
      </w:r>
      <w:r w:rsidRPr="00DA009F">
        <w:rPr>
          <w:rFonts w:ascii="Times New Roman" w:hAnsi="Times New Roman" w:cs="Times New Roman"/>
          <w:color w:val="000000"/>
          <w:sz w:val="20"/>
          <w:szCs w:val="20"/>
        </w:rPr>
        <w:t xml:space="preserve"> from linearity. Specifically, the change in the slope of the underlying trend (the second difference in δ) be no more than </w:t>
      </w:r>
      <w:r w:rsidRPr="00DA009F">
        <w:rPr>
          <w:rFonts w:ascii="Times New Roman" w:hAnsi="Times New Roman" w:cs="Times New Roman"/>
          <w:i/>
          <w:color w:val="000000"/>
          <w:sz w:val="20"/>
          <w:szCs w:val="20"/>
        </w:rPr>
        <w:t>M</w:t>
      </w:r>
      <w:r w:rsidRPr="00DA009F">
        <w:rPr>
          <w:rFonts w:ascii="Times New Roman" w:hAnsi="Times New Roman" w:cs="Times New Roman"/>
          <w:color w:val="000000"/>
          <w:sz w:val="20"/>
          <w:szCs w:val="20"/>
        </w:rPr>
        <w:t xml:space="preserve"> between consecutive periods, where </w:t>
      </w:r>
      <w:r w:rsidRPr="00DA009F">
        <w:rPr>
          <w:rFonts w:ascii="Times New Roman" w:hAnsi="Times New Roman" w:cs="Times New Roman"/>
          <w:i/>
          <w:color w:val="000000"/>
          <w:sz w:val="20"/>
          <w:szCs w:val="20"/>
        </w:rPr>
        <w:t>M</w:t>
      </w:r>
      <w:r w:rsidRPr="00DA009F">
        <w:rPr>
          <w:rFonts w:ascii="Times New Roman" w:hAnsi="Times New Roman" w:cs="Times New Roman"/>
          <w:color w:val="000000"/>
          <w:sz w:val="20"/>
          <w:szCs w:val="20"/>
        </w:rPr>
        <w:t xml:space="preserve"> is a parameter specified by the researcher. We selected 0.02 as the maximum value of </w:t>
      </w:r>
      <w:r w:rsidRPr="00DA009F">
        <w:rPr>
          <w:rFonts w:ascii="Times New Roman" w:hAnsi="Times New Roman" w:cs="Times New Roman"/>
          <w:i/>
          <w:color w:val="000000"/>
          <w:sz w:val="20"/>
          <w:szCs w:val="20"/>
        </w:rPr>
        <w:t xml:space="preserve">M </w:t>
      </w:r>
      <w:r w:rsidRPr="00DA009F">
        <w:rPr>
          <w:rFonts w:ascii="Times New Roman" w:hAnsi="Times New Roman" w:cs="Times New Roman"/>
          <w:color w:val="000000"/>
          <w:sz w:val="20"/>
          <w:szCs w:val="20"/>
        </w:rPr>
        <w:t xml:space="preserve">for the medical outcomes. This means that the differential trends change by at most 0.02 units in absolute value (2 percentage points) between consecutive periods. Given our particular effect scaling, this would allow for substantial non-linearity in the underlying trend. We chose 1 as the maximum value of </w:t>
      </w:r>
      <w:r w:rsidRPr="00DA009F">
        <w:rPr>
          <w:rFonts w:ascii="Times New Roman" w:hAnsi="Times New Roman" w:cs="Times New Roman"/>
          <w:i/>
          <w:color w:val="000000"/>
          <w:sz w:val="20"/>
          <w:szCs w:val="20"/>
        </w:rPr>
        <w:t>M</w:t>
      </w:r>
      <w:r w:rsidRPr="00DA009F">
        <w:rPr>
          <w:rFonts w:ascii="Times New Roman" w:hAnsi="Times New Roman" w:cs="Times New Roman"/>
          <w:color w:val="000000"/>
          <w:sz w:val="20"/>
          <w:szCs w:val="20"/>
        </w:rPr>
        <w:t xml:space="preserve"> for the crime outcome, which has a different scaling to the other outcomes. Given this scaling, </w:t>
      </w:r>
      <w:r w:rsidRPr="00DA009F">
        <w:rPr>
          <w:rFonts w:ascii="Times New Roman" w:hAnsi="Times New Roman" w:cs="Times New Roman"/>
          <w:i/>
          <w:color w:val="000000"/>
          <w:sz w:val="20"/>
          <w:szCs w:val="20"/>
        </w:rPr>
        <w:t>M</w:t>
      </w:r>
      <w:r w:rsidRPr="00DA009F">
        <w:rPr>
          <w:rFonts w:ascii="Times New Roman" w:hAnsi="Times New Roman" w:cs="Times New Roman"/>
          <w:color w:val="000000"/>
          <w:sz w:val="20"/>
          <w:szCs w:val="20"/>
        </w:rPr>
        <w:t xml:space="preserve"> of 1 allows for substantial non-linearity in the underlying trend. The sensitivity analysis was applied to event study coefficients at t0, t2, and t4. Analyses were conducted with the </w:t>
      </w:r>
      <w:r w:rsidRPr="00DA009F">
        <w:rPr>
          <w:rFonts w:ascii="Times New Roman" w:hAnsi="Times New Roman" w:cs="Times New Roman"/>
          <w:i/>
          <w:iCs/>
          <w:color w:val="000000"/>
          <w:sz w:val="20"/>
          <w:szCs w:val="20"/>
        </w:rPr>
        <w:t>HonestDiD</w:t>
      </w:r>
      <w:r w:rsidRPr="00DA009F">
        <w:rPr>
          <w:rFonts w:ascii="Times New Roman" w:hAnsi="Times New Roman" w:cs="Times New Roman"/>
          <w:color w:val="000000"/>
          <w:sz w:val="20"/>
          <w:szCs w:val="20"/>
        </w:rPr>
        <w:t xml:space="preserve"> package in Stata.</w:t>
      </w:r>
    </w:p>
    <w:p w14:paraId="4CBCE0F6" w14:textId="77777777" w:rsidR="005013CE" w:rsidRPr="00DA009F" w:rsidRDefault="005013CE" w:rsidP="004E4B7E">
      <w:pPr>
        <w:pBdr>
          <w:top w:val="nil"/>
          <w:left w:val="nil"/>
          <w:bottom w:val="nil"/>
          <w:right w:val="nil"/>
          <w:between w:val="nil"/>
        </w:pBdr>
        <w:spacing w:line="360" w:lineRule="auto"/>
        <w:contextualSpacing/>
        <w:rPr>
          <w:rFonts w:ascii="Times New Roman" w:hAnsi="Times New Roman" w:cs="Times New Roman"/>
          <w:i/>
          <w:color w:val="000000"/>
          <w:sz w:val="20"/>
          <w:szCs w:val="20"/>
        </w:rPr>
      </w:pPr>
    </w:p>
    <w:p w14:paraId="5DD082C7" w14:textId="51FA00E7" w:rsidR="004F77D0" w:rsidRPr="00DA009F" w:rsidRDefault="004F77D0" w:rsidP="004F77D0">
      <w:pPr>
        <w:pBdr>
          <w:top w:val="nil"/>
          <w:left w:val="nil"/>
          <w:bottom w:val="nil"/>
          <w:right w:val="nil"/>
          <w:between w:val="nil"/>
        </w:pBdr>
        <w:spacing w:line="360" w:lineRule="auto"/>
        <w:contextualSpacing/>
        <w:rPr>
          <w:rFonts w:ascii="Times New Roman" w:hAnsi="Times New Roman" w:cs="Times New Roman"/>
          <w:bCs/>
          <w:color w:val="000000"/>
          <w:sz w:val="20"/>
          <w:szCs w:val="20"/>
          <w:u w:val="single"/>
        </w:rPr>
      </w:pPr>
      <w:r w:rsidRPr="00DA009F">
        <w:rPr>
          <w:rFonts w:ascii="Times New Roman" w:hAnsi="Times New Roman" w:cs="Times New Roman"/>
          <w:bCs/>
          <w:color w:val="000000"/>
          <w:sz w:val="20"/>
          <w:szCs w:val="20"/>
          <w:u w:val="single"/>
        </w:rPr>
        <w:t>Sensitivity analyses: within-individual approach</w:t>
      </w:r>
    </w:p>
    <w:p w14:paraId="2336077A" w14:textId="77777777" w:rsidR="004F77D0" w:rsidRPr="00DA009F" w:rsidRDefault="004F77D0" w:rsidP="004F77D0">
      <w:pPr>
        <w:pBdr>
          <w:top w:val="nil"/>
          <w:left w:val="nil"/>
          <w:bottom w:val="nil"/>
          <w:right w:val="nil"/>
          <w:between w:val="nil"/>
        </w:pBdr>
        <w:spacing w:line="360" w:lineRule="auto"/>
        <w:contextualSpacing/>
        <w:rPr>
          <w:rFonts w:ascii="Times New Roman" w:hAnsi="Times New Roman" w:cs="Times New Roman"/>
          <w:bCs/>
          <w:color w:val="000000"/>
          <w:sz w:val="20"/>
          <w:szCs w:val="20"/>
        </w:rPr>
      </w:pPr>
      <w:r w:rsidRPr="00DA009F">
        <w:rPr>
          <w:rFonts w:ascii="Times New Roman" w:hAnsi="Times New Roman" w:cs="Times New Roman"/>
          <w:bCs/>
          <w:color w:val="000000"/>
          <w:sz w:val="20"/>
          <w:szCs w:val="20"/>
        </w:rPr>
        <w:t xml:space="preserve">First, we tested whether time spent under supervision during follow-up influenced the results. For this analysis, we selected all sanctions since 2003 with confirmed supervision time. Follow-up time was split based on the date when supervision period ended. The final models were adjusted for time-varying covariate indicating time under supervision vs. not under supervision. The analysis ensures that follow-up time always includes supervision from </w:t>
      </w:r>
      <w:r w:rsidRPr="00DA009F">
        <w:rPr>
          <w:rFonts w:ascii="Times New Roman" w:hAnsi="Times New Roman" w:cs="Times New Roman"/>
          <w:bCs/>
          <w:color w:val="000000"/>
          <w:sz w:val="20"/>
          <w:szCs w:val="20"/>
        </w:rPr>
        <w:lastRenderedPageBreak/>
        <w:t>Prison and Probation Service, making these different types of sentences more comparable, while the time-varying covariate accounts for potentially different lengths of supervision period in different sanction types.</w:t>
      </w:r>
    </w:p>
    <w:p w14:paraId="6AC99E79" w14:textId="77777777" w:rsidR="004F77D0" w:rsidRPr="00DA009F" w:rsidRDefault="004F77D0" w:rsidP="004F77D0">
      <w:pPr>
        <w:pBdr>
          <w:top w:val="nil"/>
          <w:left w:val="nil"/>
          <w:bottom w:val="nil"/>
          <w:right w:val="nil"/>
          <w:between w:val="nil"/>
        </w:pBdr>
        <w:spacing w:line="360" w:lineRule="auto"/>
        <w:contextualSpacing/>
        <w:rPr>
          <w:rFonts w:ascii="Times New Roman" w:hAnsi="Times New Roman" w:cs="Times New Roman"/>
          <w:bCs/>
          <w:color w:val="000000"/>
          <w:sz w:val="20"/>
          <w:szCs w:val="20"/>
        </w:rPr>
      </w:pPr>
    </w:p>
    <w:p w14:paraId="53D168EA" w14:textId="77777777" w:rsidR="004F77D0" w:rsidRDefault="004F77D0" w:rsidP="004F77D0">
      <w:pPr>
        <w:pBdr>
          <w:top w:val="nil"/>
          <w:left w:val="nil"/>
          <w:bottom w:val="nil"/>
          <w:right w:val="nil"/>
          <w:between w:val="nil"/>
        </w:pBdr>
        <w:spacing w:line="360" w:lineRule="auto"/>
        <w:contextualSpacing/>
        <w:rPr>
          <w:rFonts w:ascii="Times New Roman" w:hAnsi="Times New Roman" w:cs="Times New Roman"/>
          <w:bCs/>
          <w:color w:val="000000"/>
          <w:sz w:val="20"/>
          <w:szCs w:val="20"/>
        </w:rPr>
      </w:pPr>
      <w:r w:rsidRPr="00DA009F">
        <w:rPr>
          <w:rFonts w:ascii="Times New Roman" w:hAnsi="Times New Roman" w:cs="Times New Roman"/>
          <w:bCs/>
          <w:color w:val="000000"/>
          <w:sz w:val="20"/>
          <w:szCs w:val="20"/>
        </w:rPr>
        <w:t>The start of follow-up for prison sanctions was defined as the start of parole in the main analysis. This makes the follow-up time as comparable as possible between each type of sanction, as then all of them take place in the community and contain supervision by the Prison and Probation Service. However, the actual treatment sequence for prison sanctions starts at entry to prison. While in prison, individuals have a significantly reduced probability of experiencing the outcomes due to incapacitation. Incapacitation effects are much larger than effects of supervision in the community setting, as prisoners are actively prevented from certain behaviors, such as committing crimes, using substances, or harming themselves. Further, low-penalty crimes committed in prison may sometimes be recorded as disciplinary infractions, and not reported to the police. But since none of the outcomes are impossible even during incarceration, this allows us to further investigate the role of incapacitation. For this analysis, we changed the start of follow-up for prison sanctions to prison entry. Assuming prison has larger incapacitation effects at the start of follow-up than do probation and contract treatment, this should produce longer times-to-event for the prison sanctions.</w:t>
      </w:r>
    </w:p>
    <w:p w14:paraId="6E5F2734" w14:textId="77777777" w:rsidR="005013CE" w:rsidRDefault="005013CE" w:rsidP="004F77D0">
      <w:pPr>
        <w:pBdr>
          <w:top w:val="nil"/>
          <w:left w:val="nil"/>
          <w:bottom w:val="nil"/>
          <w:right w:val="nil"/>
          <w:between w:val="nil"/>
        </w:pBdr>
        <w:spacing w:line="360" w:lineRule="auto"/>
        <w:contextualSpacing/>
        <w:rPr>
          <w:rFonts w:ascii="Times New Roman" w:hAnsi="Times New Roman" w:cs="Times New Roman"/>
          <w:bCs/>
          <w:color w:val="000000"/>
          <w:sz w:val="20"/>
          <w:szCs w:val="20"/>
        </w:rPr>
      </w:pPr>
    </w:p>
    <w:p w14:paraId="085AD2D1" w14:textId="64C6D2D9" w:rsidR="005013CE" w:rsidRDefault="005013CE" w:rsidP="004F77D0">
      <w:pPr>
        <w:pBdr>
          <w:top w:val="nil"/>
          <w:left w:val="nil"/>
          <w:bottom w:val="nil"/>
          <w:right w:val="nil"/>
          <w:between w:val="nil"/>
        </w:pBdr>
        <w:spacing w:line="360" w:lineRule="auto"/>
        <w:contextualSpacing/>
        <w:rPr>
          <w:rFonts w:ascii="Times New Roman" w:hAnsi="Times New Roman" w:cs="Times New Roman"/>
          <w:b/>
          <w:color w:val="000000"/>
          <w:sz w:val="20"/>
          <w:szCs w:val="20"/>
        </w:rPr>
      </w:pPr>
      <w:r w:rsidRPr="005013CE">
        <w:rPr>
          <w:rFonts w:ascii="Times New Roman" w:hAnsi="Times New Roman" w:cs="Times New Roman"/>
          <w:b/>
          <w:color w:val="000000"/>
          <w:sz w:val="20"/>
          <w:szCs w:val="20"/>
        </w:rPr>
        <w:t>References</w:t>
      </w:r>
    </w:p>
    <w:p w14:paraId="19CA15E1" w14:textId="77777777" w:rsidR="00FA18BD" w:rsidRPr="00FA18BD" w:rsidRDefault="00FA18BD" w:rsidP="00FA18BD">
      <w:pPr>
        <w:pStyle w:val="ListParagraph"/>
        <w:numPr>
          <w:ilvl w:val="0"/>
          <w:numId w:val="1"/>
        </w:numPr>
        <w:rPr>
          <w:rFonts w:ascii="Times New Roman" w:hAnsi="Times New Roman" w:cs="Times New Roman"/>
          <w:bCs/>
          <w:color w:val="000000"/>
          <w:sz w:val="20"/>
          <w:szCs w:val="20"/>
        </w:rPr>
      </w:pPr>
      <w:r w:rsidRPr="00FA18BD">
        <w:rPr>
          <w:rFonts w:ascii="Times New Roman" w:hAnsi="Times New Roman" w:cs="Times New Roman"/>
          <w:bCs/>
          <w:color w:val="000000"/>
          <w:sz w:val="20"/>
          <w:szCs w:val="20"/>
        </w:rPr>
        <w:t>Wooldridge, J. (2023). Simple approaches to nonlinear difference-in-differences with panel data. The Econometrics Journal, 26(3), C31–C66.</w:t>
      </w:r>
    </w:p>
    <w:p w14:paraId="63D58CF8" w14:textId="77777777" w:rsidR="00F65024" w:rsidRPr="00F65024" w:rsidRDefault="00F65024" w:rsidP="00F65024">
      <w:pPr>
        <w:pStyle w:val="ListParagraph"/>
        <w:numPr>
          <w:ilvl w:val="0"/>
          <w:numId w:val="1"/>
        </w:numPr>
        <w:rPr>
          <w:rFonts w:ascii="Times New Roman" w:hAnsi="Times New Roman" w:cs="Times New Roman"/>
          <w:bCs/>
          <w:color w:val="000000"/>
          <w:sz w:val="20"/>
          <w:szCs w:val="20"/>
        </w:rPr>
      </w:pPr>
      <w:r w:rsidRPr="00F65024">
        <w:rPr>
          <w:rFonts w:ascii="Times New Roman" w:hAnsi="Times New Roman" w:cs="Times New Roman"/>
          <w:bCs/>
          <w:color w:val="000000"/>
          <w:sz w:val="20"/>
          <w:szCs w:val="20"/>
          <w:lang w:val="sv-SE"/>
        </w:rPr>
        <w:t xml:space="preserve">VanderWeele, T. J., &amp; Hernan, M. A. (2013). </w:t>
      </w:r>
      <w:r w:rsidRPr="00F65024">
        <w:rPr>
          <w:rFonts w:ascii="Times New Roman" w:hAnsi="Times New Roman" w:cs="Times New Roman"/>
          <w:bCs/>
          <w:color w:val="000000"/>
          <w:sz w:val="20"/>
          <w:szCs w:val="20"/>
        </w:rPr>
        <w:t>Causal inference under multiple versions of treatment. Journal of Causal Inference, 1(1), 1-20.</w:t>
      </w:r>
    </w:p>
    <w:p w14:paraId="41A49CFB" w14:textId="77777777" w:rsidR="00F12E4A" w:rsidRPr="00F12E4A" w:rsidRDefault="00F12E4A" w:rsidP="00F12E4A">
      <w:pPr>
        <w:pStyle w:val="ListParagraph"/>
        <w:numPr>
          <w:ilvl w:val="0"/>
          <w:numId w:val="1"/>
        </w:numPr>
        <w:rPr>
          <w:rFonts w:ascii="Times New Roman" w:hAnsi="Times New Roman" w:cs="Times New Roman"/>
          <w:bCs/>
          <w:color w:val="000000"/>
          <w:sz w:val="20"/>
          <w:szCs w:val="20"/>
        </w:rPr>
      </w:pPr>
      <w:r w:rsidRPr="00F12E4A">
        <w:rPr>
          <w:rFonts w:ascii="Times New Roman" w:hAnsi="Times New Roman" w:cs="Times New Roman"/>
          <w:bCs/>
          <w:color w:val="000000"/>
          <w:sz w:val="20"/>
          <w:szCs w:val="20"/>
        </w:rPr>
        <w:t>Rambachan, A., &amp; Roth, J. (2023). A more credible approach to parallel trends. Review of Economic Studies, rdad018.</w:t>
      </w:r>
    </w:p>
    <w:p w14:paraId="4E1F3BA1" w14:textId="3A53524B" w:rsidR="005013CE" w:rsidRPr="00D71D5E" w:rsidRDefault="005013CE" w:rsidP="00D71D5E">
      <w:pPr>
        <w:pBdr>
          <w:top w:val="nil"/>
          <w:left w:val="nil"/>
          <w:bottom w:val="nil"/>
          <w:right w:val="nil"/>
          <w:between w:val="nil"/>
        </w:pBdr>
        <w:spacing w:line="360" w:lineRule="auto"/>
        <w:rPr>
          <w:rFonts w:ascii="Times New Roman" w:hAnsi="Times New Roman" w:cs="Times New Roman"/>
          <w:bCs/>
          <w:color w:val="000000"/>
          <w:sz w:val="20"/>
          <w:szCs w:val="20"/>
        </w:rPr>
      </w:pPr>
    </w:p>
    <w:p w14:paraId="4BD523BD" w14:textId="77777777" w:rsidR="005013CE" w:rsidRPr="00DA009F" w:rsidRDefault="005013CE" w:rsidP="004F77D0">
      <w:pPr>
        <w:pBdr>
          <w:top w:val="nil"/>
          <w:left w:val="nil"/>
          <w:bottom w:val="nil"/>
          <w:right w:val="nil"/>
          <w:between w:val="nil"/>
        </w:pBdr>
        <w:spacing w:line="360" w:lineRule="auto"/>
        <w:contextualSpacing/>
        <w:rPr>
          <w:rFonts w:ascii="Times New Roman" w:hAnsi="Times New Roman" w:cs="Times New Roman"/>
          <w:bCs/>
          <w:color w:val="000000"/>
          <w:sz w:val="20"/>
          <w:szCs w:val="20"/>
        </w:rPr>
      </w:pPr>
    </w:p>
    <w:p w14:paraId="31CB42DA" w14:textId="77777777" w:rsidR="004F77D0" w:rsidRPr="00DA009F" w:rsidRDefault="004F77D0">
      <w:pPr>
        <w:rPr>
          <w:rFonts w:ascii="Times New Roman" w:hAnsi="Times New Roman" w:cs="Times New Roman"/>
          <w:sz w:val="20"/>
          <w:szCs w:val="20"/>
        </w:rPr>
      </w:pPr>
    </w:p>
    <w:p w14:paraId="1AA0161C" w14:textId="77777777" w:rsidR="00D86B25" w:rsidRPr="00DA009F" w:rsidRDefault="00D86B25">
      <w:pPr>
        <w:rPr>
          <w:rFonts w:ascii="Times New Roman" w:hAnsi="Times New Roman" w:cs="Times New Roman"/>
          <w:b/>
          <w:bCs/>
          <w:sz w:val="20"/>
          <w:szCs w:val="20"/>
        </w:rPr>
        <w:sectPr w:rsidR="00D86B25" w:rsidRPr="00DA009F">
          <w:pgSz w:w="12240" w:h="15840"/>
          <w:pgMar w:top="1417" w:right="1417" w:bottom="1417" w:left="1417" w:header="708" w:footer="708" w:gutter="0"/>
          <w:cols w:space="708"/>
          <w:docGrid w:linePitch="360"/>
        </w:sectPr>
      </w:pPr>
    </w:p>
    <w:p w14:paraId="09007644" w14:textId="5173AA33" w:rsidR="00820C3E" w:rsidRPr="00DA009F" w:rsidRDefault="00820C3E">
      <w:pPr>
        <w:rPr>
          <w:rFonts w:ascii="Times New Roman" w:hAnsi="Times New Roman" w:cs="Times New Roman"/>
          <w:b/>
          <w:bCs/>
          <w:sz w:val="20"/>
          <w:szCs w:val="20"/>
        </w:rPr>
      </w:pPr>
      <w:r w:rsidRPr="00DA009F">
        <w:rPr>
          <w:rFonts w:ascii="Times New Roman" w:hAnsi="Times New Roman" w:cs="Times New Roman"/>
          <w:b/>
          <w:bCs/>
          <w:sz w:val="20"/>
          <w:szCs w:val="20"/>
        </w:rPr>
        <w:lastRenderedPageBreak/>
        <w:t xml:space="preserve">Supplemental </w:t>
      </w:r>
      <w:r w:rsidR="00EF39B5">
        <w:rPr>
          <w:rFonts w:ascii="Times New Roman" w:hAnsi="Times New Roman" w:cs="Times New Roman"/>
          <w:b/>
          <w:bCs/>
          <w:sz w:val="20"/>
          <w:szCs w:val="20"/>
        </w:rPr>
        <w:t>R</w:t>
      </w:r>
      <w:r w:rsidRPr="00DA009F">
        <w:rPr>
          <w:rFonts w:ascii="Times New Roman" w:hAnsi="Times New Roman" w:cs="Times New Roman"/>
          <w:b/>
          <w:bCs/>
          <w:sz w:val="20"/>
          <w:szCs w:val="20"/>
        </w:rPr>
        <w:t>esults</w:t>
      </w:r>
    </w:p>
    <w:p w14:paraId="6C6DE5BF" w14:textId="787B6BAF" w:rsidR="00D86B25" w:rsidRPr="00DA009F" w:rsidRDefault="00D86B25" w:rsidP="00D86B25">
      <w:pPr>
        <w:pBdr>
          <w:top w:val="nil"/>
          <w:left w:val="nil"/>
          <w:bottom w:val="nil"/>
          <w:right w:val="nil"/>
          <w:between w:val="nil"/>
        </w:pBdr>
        <w:spacing w:line="360" w:lineRule="auto"/>
        <w:rPr>
          <w:rFonts w:ascii="Times New Roman" w:hAnsi="Times New Roman" w:cs="Times New Roman"/>
          <w:bCs/>
          <w:color w:val="000000"/>
          <w:sz w:val="20"/>
          <w:szCs w:val="20"/>
          <w:u w:val="single"/>
        </w:rPr>
      </w:pPr>
      <w:r w:rsidRPr="00DA009F">
        <w:rPr>
          <w:rFonts w:ascii="Times New Roman" w:hAnsi="Times New Roman" w:cs="Times New Roman"/>
          <w:bCs/>
          <w:color w:val="000000"/>
          <w:sz w:val="20"/>
          <w:szCs w:val="20"/>
          <w:u w:val="single"/>
        </w:rPr>
        <w:t>Sensitivity analyses: difference-in-differences approach</w:t>
      </w:r>
    </w:p>
    <w:p w14:paraId="125BE935" w14:textId="294BE75E" w:rsidR="006E4C38" w:rsidRDefault="00D86B25" w:rsidP="00D86B25">
      <w:pPr>
        <w:pBdr>
          <w:top w:val="nil"/>
          <w:left w:val="nil"/>
          <w:bottom w:val="nil"/>
          <w:right w:val="nil"/>
          <w:between w:val="nil"/>
        </w:pBdr>
        <w:spacing w:line="360" w:lineRule="auto"/>
        <w:rPr>
          <w:rFonts w:ascii="Times New Roman" w:hAnsi="Times New Roman" w:cs="Times New Roman"/>
          <w:bCs/>
          <w:color w:val="000000"/>
          <w:sz w:val="20"/>
          <w:szCs w:val="20"/>
        </w:rPr>
      </w:pPr>
      <w:r w:rsidRPr="00DA009F">
        <w:rPr>
          <w:rFonts w:ascii="Times New Roman" w:hAnsi="Times New Roman" w:cs="Times New Roman"/>
          <w:bCs/>
          <w:color w:val="000000"/>
          <w:sz w:val="20"/>
          <w:szCs w:val="20"/>
        </w:rPr>
        <w:t>In the first sensitivity analysis where treatment status was time-varying, the median length of treatment was 365 days (IQR: 365-396). The event study coefficients remained very similar to the original results (Figure S</w:t>
      </w:r>
      <w:r w:rsidR="00E72EF7">
        <w:rPr>
          <w:rFonts w:ascii="Times New Roman" w:hAnsi="Times New Roman" w:cs="Times New Roman"/>
          <w:bCs/>
          <w:color w:val="000000"/>
          <w:sz w:val="20"/>
          <w:szCs w:val="20"/>
        </w:rPr>
        <w:t>3</w:t>
      </w:r>
      <w:r w:rsidRPr="00DA009F">
        <w:rPr>
          <w:rFonts w:ascii="Times New Roman" w:hAnsi="Times New Roman" w:cs="Times New Roman"/>
          <w:bCs/>
          <w:color w:val="000000"/>
          <w:sz w:val="20"/>
          <w:szCs w:val="20"/>
        </w:rPr>
        <w:t xml:space="preserve">). </w:t>
      </w:r>
    </w:p>
    <w:p w14:paraId="1F93CC92" w14:textId="3A4E7CDC" w:rsidR="006E4C38" w:rsidRDefault="00D86B25" w:rsidP="00D86B25">
      <w:pPr>
        <w:pBdr>
          <w:top w:val="nil"/>
          <w:left w:val="nil"/>
          <w:bottom w:val="nil"/>
          <w:right w:val="nil"/>
          <w:between w:val="nil"/>
        </w:pBdr>
        <w:spacing w:line="360" w:lineRule="auto"/>
        <w:rPr>
          <w:rFonts w:ascii="Times New Roman" w:hAnsi="Times New Roman" w:cs="Times New Roman"/>
          <w:bCs/>
          <w:color w:val="000000"/>
          <w:sz w:val="20"/>
          <w:szCs w:val="20"/>
        </w:rPr>
      </w:pPr>
      <w:r w:rsidRPr="00DA009F">
        <w:rPr>
          <w:rFonts w:ascii="Times New Roman" w:hAnsi="Times New Roman" w:cs="Times New Roman"/>
          <w:bCs/>
          <w:color w:val="000000"/>
          <w:sz w:val="20"/>
          <w:szCs w:val="20"/>
        </w:rPr>
        <w:t>In the second sensitivity analysis using non-linear models (Table S1</w:t>
      </w:r>
      <w:r w:rsidR="00FE1963">
        <w:rPr>
          <w:rFonts w:ascii="Times New Roman" w:hAnsi="Times New Roman" w:cs="Times New Roman"/>
          <w:bCs/>
          <w:color w:val="000000"/>
          <w:sz w:val="20"/>
          <w:szCs w:val="20"/>
        </w:rPr>
        <w:t>1</w:t>
      </w:r>
      <w:r w:rsidRPr="00DA009F">
        <w:rPr>
          <w:rFonts w:ascii="Times New Roman" w:hAnsi="Times New Roman" w:cs="Times New Roman"/>
          <w:bCs/>
          <w:color w:val="000000"/>
          <w:sz w:val="20"/>
          <w:szCs w:val="20"/>
        </w:rPr>
        <w:t>), the logit model estimates for the medical outcomes were highly consistent with the original linear model coefficients. Poisson model estimates for the crime outcome were slightly lower than the linear model estimates.</w:t>
      </w:r>
    </w:p>
    <w:p w14:paraId="27F693EF" w14:textId="6DD51ADF" w:rsidR="006E4C38" w:rsidRDefault="00D86B25" w:rsidP="00D86B25">
      <w:pPr>
        <w:pBdr>
          <w:top w:val="nil"/>
          <w:left w:val="nil"/>
          <w:bottom w:val="nil"/>
          <w:right w:val="nil"/>
          <w:between w:val="nil"/>
        </w:pBdr>
        <w:spacing w:line="360" w:lineRule="auto"/>
        <w:rPr>
          <w:rFonts w:ascii="Times New Roman" w:hAnsi="Times New Roman" w:cs="Times New Roman"/>
          <w:bCs/>
          <w:color w:val="000000"/>
          <w:sz w:val="20"/>
          <w:szCs w:val="20"/>
        </w:rPr>
      </w:pPr>
      <w:r w:rsidRPr="00DA009F">
        <w:rPr>
          <w:rFonts w:ascii="Times New Roman" w:hAnsi="Times New Roman" w:cs="Times New Roman"/>
          <w:bCs/>
          <w:color w:val="000000"/>
          <w:sz w:val="20"/>
          <w:szCs w:val="20"/>
        </w:rPr>
        <w:t>In the third sensitivity analysis, excluding individuals who had been in prison or under probation during pre-treatment did not change the results (Figure S</w:t>
      </w:r>
      <w:r w:rsidR="00FF1D47">
        <w:rPr>
          <w:rFonts w:ascii="Times New Roman" w:hAnsi="Times New Roman" w:cs="Times New Roman"/>
          <w:bCs/>
          <w:color w:val="000000"/>
          <w:sz w:val="20"/>
          <w:szCs w:val="20"/>
        </w:rPr>
        <w:t>4</w:t>
      </w:r>
      <w:r w:rsidRPr="00DA009F">
        <w:rPr>
          <w:rFonts w:ascii="Times New Roman" w:hAnsi="Times New Roman" w:cs="Times New Roman"/>
          <w:bCs/>
          <w:color w:val="000000"/>
          <w:sz w:val="20"/>
          <w:szCs w:val="20"/>
        </w:rPr>
        <w:t>).</w:t>
      </w:r>
    </w:p>
    <w:p w14:paraId="4FE4E30C" w14:textId="75181A35" w:rsidR="00D86B25" w:rsidRPr="00DA009F" w:rsidRDefault="006E4C38" w:rsidP="00D86B25">
      <w:pPr>
        <w:pBdr>
          <w:top w:val="nil"/>
          <w:left w:val="nil"/>
          <w:bottom w:val="nil"/>
          <w:right w:val="nil"/>
          <w:between w:val="nil"/>
        </w:pBdr>
        <w:spacing w:line="360"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In the main analysis, we observed that </w:t>
      </w:r>
      <w:r w:rsidR="00B00D4A">
        <w:rPr>
          <w:rFonts w:ascii="Times New Roman" w:hAnsi="Times New Roman" w:cs="Times New Roman"/>
          <w:bCs/>
          <w:color w:val="000000"/>
          <w:sz w:val="20"/>
          <w:szCs w:val="20"/>
        </w:rPr>
        <w:t>p</w:t>
      </w:r>
      <w:r w:rsidR="00B00D4A" w:rsidRPr="00B00D4A">
        <w:rPr>
          <w:rFonts w:ascii="Times New Roman" w:hAnsi="Times New Roman" w:cs="Times New Roman"/>
          <w:bCs/>
          <w:color w:val="000000"/>
          <w:sz w:val="20"/>
          <w:szCs w:val="20"/>
        </w:rPr>
        <w:t>re-treatment trends in the treatment and control groups were indistinguishable from 0</w:t>
      </w:r>
      <w:r w:rsidR="00B00D4A">
        <w:rPr>
          <w:rFonts w:ascii="Times New Roman" w:hAnsi="Times New Roman" w:cs="Times New Roman"/>
          <w:bCs/>
          <w:color w:val="000000"/>
          <w:sz w:val="20"/>
          <w:szCs w:val="20"/>
        </w:rPr>
        <w:t xml:space="preserve">, </w:t>
      </w:r>
      <w:r w:rsidRPr="006E4C38">
        <w:rPr>
          <w:rFonts w:ascii="Times New Roman" w:hAnsi="Times New Roman" w:cs="Times New Roman"/>
          <w:bCs/>
          <w:color w:val="000000"/>
          <w:sz w:val="20"/>
          <w:szCs w:val="20"/>
        </w:rPr>
        <w:t>except for crime, where pre-trends showed very minor deviations. Rambachan and Roth argue that, for several reasons, this traditional approach of using null hypothesis testing for pre-trends should be avoided</w:t>
      </w:r>
      <w:r w:rsidR="0062614D">
        <w:rPr>
          <w:rFonts w:ascii="Times New Roman" w:hAnsi="Times New Roman" w:cs="Times New Roman"/>
          <w:bCs/>
          <w:color w:val="000000"/>
          <w:sz w:val="20"/>
          <w:szCs w:val="20"/>
        </w:rPr>
        <w:t xml:space="preserve"> [1-2]</w:t>
      </w:r>
      <w:r w:rsidR="00B00D4A">
        <w:rPr>
          <w:rFonts w:ascii="Times New Roman" w:hAnsi="Times New Roman" w:cs="Times New Roman"/>
          <w:bCs/>
          <w:color w:val="000000"/>
          <w:sz w:val="20"/>
          <w:szCs w:val="20"/>
        </w:rPr>
        <w:t>.</w:t>
      </w:r>
      <w:r w:rsidRPr="006E4C38">
        <w:rPr>
          <w:rFonts w:ascii="Times New Roman" w:hAnsi="Times New Roman" w:cs="Times New Roman"/>
          <w:bCs/>
          <w:color w:val="000000"/>
          <w:sz w:val="20"/>
          <w:szCs w:val="20"/>
        </w:rPr>
        <w:t xml:space="preserve"> One of their reasons is that outcome trends are never exactly parallel, and a more relevant issue is whether the potential violations induce meaningful bias to the treatment effects</w:t>
      </w:r>
      <w:r w:rsidR="00B00D4A">
        <w:rPr>
          <w:rFonts w:ascii="Times New Roman" w:hAnsi="Times New Roman" w:cs="Times New Roman"/>
          <w:bCs/>
          <w:color w:val="000000"/>
          <w:sz w:val="20"/>
          <w:szCs w:val="20"/>
        </w:rPr>
        <w:t xml:space="preserve"> [1]</w:t>
      </w:r>
      <w:r w:rsidRPr="006E4C38">
        <w:rPr>
          <w:rFonts w:ascii="Times New Roman" w:hAnsi="Times New Roman" w:cs="Times New Roman"/>
          <w:bCs/>
          <w:color w:val="000000"/>
          <w:sz w:val="20"/>
          <w:szCs w:val="20"/>
        </w:rPr>
        <w:t xml:space="preserve">. This is why we applied the robust inference sensitivity analysis to our results, rather than discarded the analysis entirely because of this pre-trend finding. </w:t>
      </w:r>
      <w:r w:rsidR="00D86B25" w:rsidRPr="00DA009F">
        <w:rPr>
          <w:rFonts w:ascii="Times New Roman" w:hAnsi="Times New Roman" w:cs="Times New Roman"/>
          <w:bCs/>
          <w:color w:val="000000"/>
          <w:sz w:val="20"/>
          <w:szCs w:val="20"/>
        </w:rPr>
        <w:t>Figures S</w:t>
      </w:r>
      <w:r w:rsidR="005462BA">
        <w:rPr>
          <w:rFonts w:ascii="Times New Roman" w:hAnsi="Times New Roman" w:cs="Times New Roman"/>
          <w:bCs/>
          <w:color w:val="000000"/>
          <w:sz w:val="20"/>
          <w:szCs w:val="20"/>
        </w:rPr>
        <w:t>5</w:t>
      </w:r>
      <w:r w:rsidR="00D86B25" w:rsidRPr="00DA009F">
        <w:rPr>
          <w:rFonts w:ascii="Times New Roman" w:hAnsi="Times New Roman" w:cs="Times New Roman"/>
          <w:bCs/>
          <w:color w:val="000000"/>
          <w:sz w:val="20"/>
          <w:szCs w:val="20"/>
        </w:rPr>
        <w:t xml:space="preserve"> to S</w:t>
      </w:r>
      <w:r w:rsidR="005462BA">
        <w:rPr>
          <w:rFonts w:ascii="Times New Roman" w:hAnsi="Times New Roman" w:cs="Times New Roman"/>
          <w:bCs/>
          <w:color w:val="000000"/>
          <w:sz w:val="20"/>
          <w:szCs w:val="20"/>
        </w:rPr>
        <w:t>8</w:t>
      </w:r>
      <w:r w:rsidR="00D86B25" w:rsidRPr="00DA009F">
        <w:rPr>
          <w:rFonts w:ascii="Times New Roman" w:hAnsi="Times New Roman" w:cs="Times New Roman"/>
          <w:bCs/>
          <w:color w:val="000000"/>
          <w:sz w:val="20"/>
          <w:szCs w:val="20"/>
        </w:rPr>
        <w:t xml:space="preserve"> show robust confidence intervals of event study coefficients at t0, t2, and t4 calculated for different values of M (parameter for non-linear divergence in the underlying trends). As expected, the latter event study coefficients were much more sensitive to non-linear violations of the parallel trends assumption than the earlier coefficients. This is due to the accumulation of bias over consecutive periods. The analyses suggest that treatment effects in the early periods of treatment were robust to large non-linear violations of the parallel trends assumption. In contrast, assumption of no large non-linear violations to the parallel trends is required to interpret the latter treatment effects as causal.</w:t>
      </w:r>
    </w:p>
    <w:p w14:paraId="1327EFE0" w14:textId="77777777" w:rsidR="00B65CBC" w:rsidRPr="0062614D" w:rsidRDefault="00B65CBC">
      <w:pPr>
        <w:rPr>
          <w:rFonts w:ascii="Times New Roman" w:hAnsi="Times New Roman" w:cs="Times New Roman"/>
          <w:b/>
          <w:bCs/>
          <w:sz w:val="20"/>
          <w:szCs w:val="20"/>
        </w:rPr>
      </w:pPr>
    </w:p>
    <w:p w14:paraId="6A748F5B" w14:textId="3E6E624F" w:rsidR="0062614D" w:rsidRDefault="0062614D">
      <w:pPr>
        <w:rPr>
          <w:rFonts w:ascii="Times New Roman" w:hAnsi="Times New Roman" w:cs="Times New Roman"/>
          <w:b/>
          <w:bCs/>
          <w:sz w:val="20"/>
          <w:szCs w:val="20"/>
        </w:rPr>
      </w:pPr>
      <w:r w:rsidRPr="0062614D">
        <w:rPr>
          <w:rFonts w:ascii="Times New Roman" w:hAnsi="Times New Roman" w:cs="Times New Roman"/>
          <w:b/>
          <w:bCs/>
          <w:sz w:val="20"/>
          <w:szCs w:val="20"/>
        </w:rPr>
        <w:t>References</w:t>
      </w:r>
    </w:p>
    <w:p w14:paraId="60091591" w14:textId="24F8AD4F" w:rsidR="0062614D" w:rsidRDefault="0062614D" w:rsidP="0062614D">
      <w:pPr>
        <w:pStyle w:val="ListParagraph"/>
        <w:numPr>
          <w:ilvl w:val="0"/>
          <w:numId w:val="2"/>
        </w:numPr>
        <w:rPr>
          <w:rFonts w:ascii="Times New Roman" w:hAnsi="Times New Roman" w:cs="Times New Roman"/>
          <w:sz w:val="20"/>
          <w:szCs w:val="20"/>
        </w:rPr>
      </w:pPr>
      <w:r w:rsidRPr="0062614D">
        <w:rPr>
          <w:rFonts w:ascii="Times New Roman" w:hAnsi="Times New Roman" w:cs="Times New Roman"/>
          <w:sz w:val="20"/>
          <w:szCs w:val="20"/>
        </w:rPr>
        <w:t xml:space="preserve">Rambachan, A., &amp; Roth, J. (2023). A more credible approach to parallel trends. </w:t>
      </w:r>
      <w:r w:rsidRPr="000D620E">
        <w:rPr>
          <w:rFonts w:ascii="Times New Roman" w:hAnsi="Times New Roman" w:cs="Times New Roman"/>
          <w:i/>
          <w:iCs/>
          <w:sz w:val="20"/>
          <w:szCs w:val="20"/>
        </w:rPr>
        <w:t>Review of Economic Studies</w:t>
      </w:r>
      <w:r w:rsidRPr="0062614D">
        <w:rPr>
          <w:rFonts w:ascii="Times New Roman" w:hAnsi="Times New Roman" w:cs="Times New Roman"/>
          <w:sz w:val="20"/>
          <w:szCs w:val="20"/>
        </w:rPr>
        <w:t>, rdad018</w:t>
      </w:r>
      <w:r>
        <w:rPr>
          <w:rFonts w:ascii="Times New Roman" w:hAnsi="Times New Roman" w:cs="Times New Roman"/>
          <w:sz w:val="20"/>
          <w:szCs w:val="20"/>
        </w:rPr>
        <w:t>.</w:t>
      </w:r>
    </w:p>
    <w:p w14:paraId="4ED928D0" w14:textId="76F7AD38" w:rsidR="0062614D" w:rsidRPr="0062614D" w:rsidRDefault="00420794" w:rsidP="0062614D">
      <w:pPr>
        <w:pStyle w:val="ListParagraph"/>
        <w:numPr>
          <w:ilvl w:val="0"/>
          <w:numId w:val="2"/>
        </w:numPr>
        <w:rPr>
          <w:rFonts w:ascii="Times New Roman" w:hAnsi="Times New Roman" w:cs="Times New Roman"/>
          <w:sz w:val="20"/>
          <w:szCs w:val="20"/>
        </w:rPr>
      </w:pPr>
      <w:r w:rsidRPr="00420794">
        <w:rPr>
          <w:rFonts w:ascii="Times New Roman" w:hAnsi="Times New Roman" w:cs="Times New Roman"/>
          <w:sz w:val="20"/>
          <w:szCs w:val="20"/>
        </w:rPr>
        <w:t xml:space="preserve">Roth, J. (2022). Pretest with caution: Event-study estimates after testing for parallel trends. </w:t>
      </w:r>
      <w:r w:rsidRPr="000D620E">
        <w:rPr>
          <w:rFonts w:ascii="Times New Roman" w:hAnsi="Times New Roman" w:cs="Times New Roman"/>
          <w:i/>
          <w:iCs/>
          <w:sz w:val="20"/>
          <w:szCs w:val="20"/>
        </w:rPr>
        <w:t>American Economic Review: Insights</w:t>
      </w:r>
      <w:r w:rsidRPr="00420794">
        <w:rPr>
          <w:rFonts w:ascii="Times New Roman" w:hAnsi="Times New Roman" w:cs="Times New Roman"/>
          <w:sz w:val="20"/>
          <w:szCs w:val="20"/>
        </w:rPr>
        <w:t>, 4(3), 305-322</w:t>
      </w:r>
    </w:p>
    <w:p w14:paraId="333D5133" w14:textId="77777777" w:rsidR="0062614D" w:rsidRDefault="0062614D">
      <w:pPr>
        <w:rPr>
          <w:rFonts w:ascii="Arial" w:hAnsi="Arial" w:cs="Arial"/>
          <w:b/>
          <w:bCs/>
          <w:sz w:val="24"/>
          <w:szCs w:val="24"/>
        </w:rPr>
      </w:pPr>
    </w:p>
    <w:p w14:paraId="240E7E39" w14:textId="77777777" w:rsidR="0062614D" w:rsidRDefault="0062614D">
      <w:pPr>
        <w:rPr>
          <w:rFonts w:ascii="Arial" w:hAnsi="Arial" w:cs="Arial"/>
          <w:b/>
          <w:bCs/>
          <w:sz w:val="24"/>
          <w:szCs w:val="24"/>
        </w:rPr>
        <w:sectPr w:rsidR="0062614D">
          <w:pgSz w:w="12240" w:h="15840"/>
          <w:pgMar w:top="1417" w:right="1417" w:bottom="1417" w:left="1417" w:header="708" w:footer="708" w:gutter="0"/>
          <w:cols w:space="708"/>
          <w:docGrid w:linePitch="360"/>
        </w:sectPr>
      </w:pPr>
    </w:p>
    <w:p w14:paraId="735BB2CD" w14:textId="42BE16DF" w:rsidR="00D86B25" w:rsidRDefault="00135DC5">
      <w:pPr>
        <w:rPr>
          <w:rFonts w:ascii="Arial" w:hAnsi="Arial" w:cs="Arial"/>
          <w:b/>
          <w:bCs/>
          <w:sz w:val="24"/>
          <w:szCs w:val="24"/>
        </w:rPr>
      </w:pPr>
      <w:r>
        <w:rPr>
          <w:noProof/>
        </w:rPr>
        <w:lastRenderedPageBreak/>
        <w:drawing>
          <wp:inline distT="0" distB="0" distL="0" distR="0" wp14:anchorId="118042C7" wp14:editId="64B2926F">
            <wp:extent cx="5972810" cy="4464556"/>
            <wp:effectExtent l="0" t="0" r="0" b="0"/>
            <wp:docPr id="9" name="Picture 9" descr="A grap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patient&#10;&#10;Description automatically generated"/>
                    <pic:cNvPicPr/>
                  </pic:nvPicPr>
                  <pic:blipFill>
                    <a:blip r:embed="rId8"/>
                    <a:stretch>
                      <a:fillRect/>
                    </a:stretch>
                  </pic:blipFill>
                  <pic:spPr>
                    <a:xfrm>
                      <a:off x="0" y="0"/>
                      <a:ext cx="5972810" cy="4464556"/>
                    </a:xfrm>
                    <a:prstGeom prst="rect">
                      <a:avLst/>
                    </a:prstGeom>
                  </pic:spPr>
                </pic:pic>
              </a:graphicData>
            </a:graphic>
          </wp:inline>
        </w:drawing>
      </w:r>
    </w:p>
    <w:p w14:paraId="2ABA3516" w14:textId="77777777" w:rsidR="00D4047F" w:rsidRDefault="00D4047F" w:rsidP="009C679C">
      <w:pPr>
        <w:pStyle w:val="SMHeading"/>
        <w:rPr>
          <w:sz w:val="20"/>
          <w:szCs w:val="20"/>
        </w:rPr>
      </w:pPr>
    </w:p>
    <w:p w14:paraId="3D4652B2" w14:textId="77777777" w:rsidR="00891DDA" w:rsidRDefault="009C679C" w:rsidP="009C679C">
      <w:pPr>
        <w:pStyle w:val="SMHeading"/>
        <w:rPr>
          <w:b w:val="0"/>
          <w:bCs w:val="0"/>
          <w:sz w:val="20"/>
          <w:szCs w:val="20"/>
        </w:rPr>
      </w:pPr>
      <w:r w:rsidRPr="00D4047F">
        <w:rPr>
          <w:sz w:val="20"/>
          <w:szCs w:val="20"/>
        </w:rPr>
        <w:t xml:space="preserve">Figure S1. </w:t>
      </w:r>
      <w:r w:rsidRPr="00E709B0">
        <w:rPr>
          <w:sz w:val="20"/>
          <w:szCs w:val="20"/>
        </w:rPr>
        <w:t>Illustration of the data structure in difference-in-differences analysis.</w:t>
      </w:r>
      <w:r w:rsidRPr="00D4047F">
        <w:rPr>
          <w:b w:val="0"/>
          <w:bCs w:val="0"/>
          <w:sz w:val="20"/>
          <w:szCs w:val="20"/>
        </w:rPr>
        <w:t xml:space="preserve"> Each square represents a quarter year. X-axis represents calendar time in quarters (the first quarter is Q1 1997, the last is Q4 2013). Y-axis represents a “treatment cohort” that becomes treated at the same quarter year (the first treatment cohort starts at Q1 1999, the last at Q4 2012)</w:t>
      </w:r>
      <w:r w:rsidR="0018358B">
        <w:rPr>
          <w:b w:val="0"/>
          <w:bCs w:val="0"/>
          <w:sz w:val="20"/>
          <w:szCs w:val="20"/>
        </w:rPr>
        <w:t>.</w:t>
      </w:r>
    </w:p>
    <w:p w14:paraId="09D88548" w14:textId="77777777" w:rsidR="0018358B" w:rsidRDefault="0018358B" w:rsidP="009C679C">
      <w:pPr>
        <w:pStyle w:val="SMHeading"/>
        <w:rPr>
          <w:b w:val="0"/>
          <w:bCs w:val="0"/>
          <w:sz w:val="20"/>
          <w:szCs w:val="20"/>
        </w:rPr>
      </w:pPr>
    </w:p>
    <w:p w14:paraId="527DD79F" w14:textId="77777777" w:rsidR="0018358B" w:rsidRDefault="0018358B" w:rsidP="009C679C">
      <w:pPr>
        <w:pStyle w:val="SMHeading"/>
        <w:rPr>
          <w:b w:val="0"/>
          <w:bCs w:val="0"/>
          <w:sz w:val="20"/>
          <w:szCs w:val="20"/>
        </w:rPr>
        <w:sectPr w:rsidR="0018358B">
          <w:pgSz w:w="12240" w:h="15840"/>
          <w:pgMar w:top="1417" w:right="1417" w:bottom="1417" w:left="1417" w:header="708" w:footer="708" w:gutter="0"/>
          <w:cols w:space="708"/>
          <w:docGrid w:linePitch="360"/>
        </w:sectPr>
      </w:pPr>
    </w:p>
    <w:tbl>
      <w:tblPr>
        <w:tblpPr w:leftFromText="180" w:rightFromText="180" w:horzAnchor="margin" w:tblpY="5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3972"/>
        <w:gridCol w:w="2437"/>
        <w:gridCol w:w="1062"/>
      </w:tblGrid>
      <w:tr w:rsidR="0018358B" w:rsidRPr="0018358B" w14:paraId="55EE42DE" w14:textId="77777777" w:rsidTr="000F001F">
        <w:trPr>
          <w:trHeight w:val="290"/>
        </w:trPr>
        <w:tc>
          <w:tcPr>
            <w:tcW w:w="1024" w:type="pct"/>
            <w:shd w:val="clear" w:color="auto" w:fill="auto"/>
            <w:noWrap/>
            <w:vAlign w:val="center"/>
            <w:hideMark/>
          </w:tcPr>
          <w:p w14:paraId="63A3D3D5" w14:textId="77777777" w:rsidR="0018358B" w:rsidRPr="0018358B" w:rsidRDefault="0018358B" w:rsidP="000F001F">
            <w:pPr>
              <w:spacing w:after="0" w:line="240" w:lineRule="auto"/>
              <w:rPr>
                <w:rFonts w:ascii="Calibri" w:eastAsia="Times New Roman" w:hAnsi="Calibri" w:cs="Calibri"/>
                <w:color w:val="000000"/>
                <w:kern w:val="0"/>
                <w:sz w:val="18"/>
                <w:szCs w:val="18"/>
                <w14:ligatures w14:val="none"/>
              </w:rPr>
            </w:pPr>
            <w:r w:rsidRPr="0018358B">
              <w:rPr>
                <w:rFonts w:ascii="Calibri" w:eastAsia="Times New Roman" w:hAnsi="Calibri" w:cs="Calibri"/>
                <w:color w:val="000000"/>
                <w:kern w:val="0"/>
                <w:sz w:val="18"/>
                <w:szCs w:val="18"/>
                <w14:ligatures w14:val="none"/>
              </w:rPr>
              <w:lastRenderedPageBreak/>
              <w:t> </w:t>
            </w:r>
          </w:p>
        </w:tc>
        <w:tc>
          <w:tcPr>
            <w:tcW w:w="2114" w:type="pct"/>
            <w:shd w:val="clear" w:color="auto" w:fill="auto"/>
            <w:noWrap/>
            <w:vAlign w:val="center"/>
            <w:hideMark/>
          </w:tcPr>
          <w:p w14:paraId="1F027BCE" w14:textId="77777777" w:rsidR="0018358B" w:rsidRPr="0018358B" w:rsidRDefault="0018358B" w:rsidP="000F001F">
            <w:pPr>
              <w:spacing w:after="0" w:line="240" w:lineRule="auto"/>
              <w:rPr>
                <w:rFonts w:ascii="Arial" w:eastAsia="Times New Roman" w:hAnsi="Arial" w:cs="Arial"/>
                <w:b/>
                <w:bCs/>
                <w:color w:val="000000"/>
                <w:kern w:val="0"/>
                <w:sz w:val="18"/>
                <w:szCs w:val="18"/>
                <w14:ligatures w14:val="none"/>
              </w:rPr>
            </w:pPr>
            <w:r w:rsidRPr="0018358B">
              <w:rPr>
                <w:rFonts w:ascii="Arial" w:eastAsia="Times New Roman" w:hAnsi="Arial" w:cs="Arial"/>
                <w:b/>
                <w:bCs/>
                <w:color w:val="000000"/>
                <w:kern w:val="0"/>
                <w:sz w:val="18"/>
                <w:szCs w:val="18"/>
                <w14:ligatures w14:val="none"/>
              </w:rPr>
              <w:t>Source of data/name of register</w:t>
            </w:r>
          </w:p>
        </w:tc>
        <w:tc>
          <w:tcPr>
            <w:tcW w:w="1297" w:type="pct"/>
            <w:shd w:val="clear" w:color="auto" w:fill="auto"/>
            <w:noWrap/>
            <w:vAlign w:val="center"/>
            <w:hideMark/>
          </w:tcPr>
          <w:p w14:paraId="3D54571E" w14:textId="77777777" w:rsidR="0018358B" w:rsidRPr="0018358B" w:rsidRDefault="0018358B" w:rsidP="000F001F">
            <w:pPr>
              <w:spacing w:after="0" w:line="240" w:lineRule="auto"/>
              <w:rPr>
                <w:rFonts w:ascii="Arial" w:eastAsia="Times New Roman" w:hAnsi="Arial" w:cs="Arial"/>
                <w:b/>
                <w:bCs/>
                <w:color w:val="000000"/>
                <w:kern w:val="0"/>
                <w:sz w:val="18"/>
                <w:szCs w:val="18"/>
                <w14:ligatures w14:val="none"/>
              </w:rPr>
            </w:pPr>
            <w:r w:rsidRPr="0018358B">
              <w:rPr>
                <w:rFonts w:ascii="Arial" w:eastAsia="Times New Roman" w:hAnsi="Arial" w:cs="Arial"/>
                <w:b/>
                <w:bCs/>
                <w:color w:val="000000"/>
                <w:kern w:val="0"/>
                <w:sz w:val="18"/>
                <w:szCs w:val="18"/>
                <w14:ligatures w14:val="none"/>
              </w:rPr>
              <w:t>Timing of measurement</w:t>
            </w:r>
          </w:p>
        </w:tc>
        <w:tc>
          <w:tcPr>
            <w:tcW w:w="565" w:type="pct"/>
            <w:shd w:val="clear" w:color="auto" w:fill="auto"/>
            <w:noWrap/>
            <w:vAlign w:val="center"/>
            <w:hideMark/>
          </w:tcPr>
          <w:p w14:paraId="679EE619" w14:textId="77777777" w:rsidR="0018358B" w:rsidRPr="0018358B" w:rsidRDefault="0018358B" w:rsidP="000F001F">
            <w:pPr>
              <w:spacing w:after="0" w:line="240" w:lineRule="auto"/>
              <w:rPr>
                <w:rFonts w:ascii="Arial" w:eastAsia="Times New Roman" w:hAnsi="Arial" w:cs="Arial"/>
                <w:b/>
                <w:bCs/>
                <w:color w:val="000000"/>
                <w:kern w:val="0"/>
                <w:sz w:val="18"/>
                <w:szCs w:val="18"/>
                <w14:ligatures w14:val="none"/>
              </w:rPr>
            </w:pPr>
            <w:r w:rsidRPr="0018358B">
              <w:rPr>
                <w:rFonts w:ascii="Arial" w:eastAsia="Times New Roman" w:hAnsi="Arial" w:cs="Arial"/>
                <w:b/>
                <w:bCs/>
                <w:color w:val="000000"/>
                <w:kern w:val="0"/>
                <w:sz w:val="18"/>
                <w:szCs w:val="18"/>
                <w14:ligatures w14:val="none"/>
              </w:rPr>
              <w:t>ICD codes</w:t>
            </w:r>
          </w:p>
        </w:tc>
      </w:tr>
      <w:tr w:rsidR="0018358B" w:rsidRPr="0018358B" w14:paraId="2CD5A977" w14:textId="77777777" w:rsidTr="000F001F">
        <w:trPr>
          <w:trHeight w:val="290"/>
        </w:trPr>
        <w:tc>
          <w:tcPr>
            <w:tcW w:w="1024" w:type="pct"/>
            <w:shd w:val="clear" w:color="auto" w:fill="auto"/>
            <w:noWrap/>
            <w:vAlign w:val="bottom"/>
            <w:hideMark/>
          </w:tcPr>
          <w:p w14:paraId="30882D2B"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Sex</w:t>
            </w:r>
          </w:p>
        </w:tc>
        <w:tc>
          <w:tcPr>
            <w:tcW w:w="2114" w:type="pct"/>
            <w:shd w:val="clear" w:color="auto" w:fill="auto"/>
            <w:noWrap/>
            <w:vAlign w:val="bottom"/>
            <w:hideMark/>
          </w:tcPr>
          <w:p w14:paraId="7339A163"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Total population register</w:t>
            </w:r>
          </w:p>
        </w:tc>
        <w:tc>
          <w:tcPr>
            <w:tcW w:w="1297" w:type="pct"/>
            <w:shd w:val="clear" w:color="auto" w:fill="auto"/>
            <w:noWrap/>
            <w:vAlign w:val="bottom"/>
            <w:hideMark/>
          </w:tcPr>
          <w:p w14:paraId="04F139D8"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c>
          <w:tcPr>
            <w:tcW w:w="565" w:type="pct"/>
            <w:shd w:val="clear" w:color="auto" w:fill="auto"/>
            <w:noWrap/>
            <w:vAlign w:val="bottom"/>
            <w:hideMark/>
          </w:tcPr>
          <w:p w14:paraId="3544D615"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r w:rsidR="0018358B" w:rsidRPr="0018358B" w14:paraId="1348B515" w14:textId="77777777" w:rsidTr="000F001F">
        <w:trPr>
          <w:trHeight w:val="290"/>
        </w:trPr>
        <w:tc>
          <w:tcPr>
            <w:tcW w:w="1024" w:type="pct"/>
            <w:shd w:val="clear" w:color="auto" w:fill="auto"/>
            <w:noWrap/>
            <w:vAlign w:val="bottom"/>
            <w:hideMark/>
          </w:tcPr>
          <w:p w14:paraId="1BD2F8CC"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Age</w:t>
            </w:r>
          </w:p>
        </w:tc>
        <w:tc>
          <w:tcPr>
            <w:tcW w:w="2114" w:type="pct"/>
            <w:shd w:val="clear" w:color="auto" w:fill="auto"/>
            <w:noWrap/>
            <w:vAlign w:val="bottom"/>
            <w:hideMark/>
          </w:tcPr>
          <w:p w14:paraId="079F774A"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Total population register</w:t>
            </w:r>
          </w:p>
        </w:tc>
        <w:tc>
          <w:tcPr>
            <w:tcW w:w="1297" w:type="pct"/>
            <w:shd w:val="clear" w:color="auto" w:fill="auto"/>
            <w:noWrap/>
            <w:vAlign w:val="bottom"/>
            <w:hideMark/>
          </w:tcPr>
          <w:p w14:paraId="0BB008CF"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At contract treatment start</w:t>
            </w:r>
          </w:p>
        </w:tc>
        <w:tc>
          <w:tcPr>
            <w:tcW w:w="565" w:type="pct"/>
            <w:shd w:val="clear" w:color="auto" w:fill="auto"/>
            <w:noWrap/>
            <w:vAlign w:val="bottom"/>
            <w:hideMark/>
          </w:tcPr>
          <w:p w14:paraId="7B4EA624"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r w:rsidR="0018358B" w:rsidRPr="0018358B" w14:paraId="0E79EBCA" w14:textId="77777777" w:rsidTr="000F001F">
        <w:trPr>
          <w:trHeight w:val="290"/>
        </w:trPr>
        <w:tc>
          <w:tcPr>
            <w:tcW w:w="1024" w:type="pct"/>
            <w:shd w:val="clear" w:color="auto" w:fill="auto"/>
            <w:noWrap/>
            <w:vAlign w:val="bottom"/>
            <w:hideMark/>
          </w:tcPr>
          <w:p w14:paraId="67579FCC"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Year of sanction</w:t>
            </w:r>
          </w:p>
        </w:tc>
        <w:tc>
          <w:tcPr>
            <w:tcW w:w="2114" w:type="pct"/>
            <w:shd w:val="clear" w:color="auto" w:fill="auto"/>
            <w:noWrap/>
            <w:vAlign w:val="bottom"/>
            <w:hideMark/>
          </w:tcPr>
          <w:p w14:paraId="279A45A7"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Prison and probation services register</w:t>
            </w:r>
          </w:p>
        </w:tc>
        <w:tc>
          <w:tcPr>
            <w:tcW w:w="1297" w:type="pct"/>
            <w:shd w:val="clear" w:color="auto" w:fill="auto"/>
            <w:noWrap/>
            <w:vAlign w:val="bottom"/>
            <w:hideMark/>
          </w:tcPr>
          <w:p w14:paraId="646EEAC3"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At contract treatment start</w:t>
            </w:r>
          </w:p>
        </w:tc>
        <w:tc>
          <w:tcPr>
            <w:tcW w:w="565" w:type="pct"/>
            <w:shd w:val="clear" w:color="auto" w:fill="auto"/>
            <w:noWrap/>
            <w:vAlign w:val="bottom"/>
            <w:hideMark/>
          </w:tcPr>
          <w:p w14:paraId="0E31258B"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r w:rsidR="0018358B" w:rsidRPr="0018358B" w14:paraId="7154B9E1" w14:textId="77777777" w:rsidTr="000F001F">
        <w:trPr>
          <w:trHeight w:val="290"/>
        </w:trPr>
        <w:tc>
          <w:tcPr>
            <w:tcW w:w="1024" w:type="pct"/>
            <w:shd w:val="clear" w:color="auto" w:fill="auto"/>
            <w:noWrap/>
            <w:vAlign w:val="bottom"/>
            <w:hideMark/>
          </w:tcPr>
          <w:p w14:paraId="765750E3"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Birth country</w:t>
            </w:r>
          </w:p>
        </w:tc>
        <w:tc>
          <w:tcPr>
            <w:tcW w:w="2114" w:type="pct"/>
            <w:shd w:val="clear" w:color="auto" w:fill="auto"/>
            <w:noWrap/>
            <w:vAlign w:val="bottom"/>
            <w:hideMark/>
          </w:tcPr>
          <w:p w14:paraId="0EC710A0"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Total population register</w:t>
            </w:r>
          </w:p>
        </w:tc>
        <w:tc>
          <w:tcPr>
            <w:tcW w:w="1297" w:type="pct"/>
            <w:shd w:val="clear" w:color="auto" w:fill="auto"/>
            <w:noWrap/>
            <w:vAlign w:val="bottom"/>
            <w:hideMark/>
          </w:tcPr>
          <w:p w14:paraId="05D57CDB"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c>
          <w:tcPr>
            <w:tcW w:w="565" w:type="pct"/>
            <w:shd w:val="clear" w:color="auto" w:fill="auto"/>
            <w:noWrap/>
            <w:vAlign w:val="bottom"/>
            <w:hideMark/>
          </w:tcPr>
          <w:p w14:paraId="6A238FE8"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r w:rsidR="0018358B" w:rsidRPr="0018358B" w14:paraId="45379FF4" w14:textId="77777777" w:rsidTr="000F001F">
        <w:trPr>
          <w:trHeight w:val="290"/>
        </w:trPr>
        <w:tc>
          <w:tcPr>
            <w:tcW w:w="1024" w:type="pct"/>
            <w:shd w:val="clear" w:color="auto" w:fill="auto"/>
            <w:noWrap/>
            <w:vAlign w:val="bottom"/>
            <w:hideMark/>
          </w:tcPr>
          <w:p w14:paraId="5A6BDD94"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Education</w:t>
            </w:r>
          </w:p>
        </w:tc>
        <w:tc>
          <w:tcPr>
            <w:tcW w:w="2114" w:type="pct"/>
            <w:shd w:val="clear" w:color="auto" w:fill="auto"/>
            <w:noWrap/>
            <w:vAlign w:val="bottom"/>
            <w:hideMark/>
          </w:tcPr>
          <w:p w14:paraId="772065E2"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The longitudinal integrated database for health insurance and labour market studies</w:t>
            </w:r>
          </w:p>
        </w:tc>
        <w:tc>
          <w:tcPr>
            <w:tcW w:w="1297" w:type="pct"/>
            <w:shd w:val="clear" w:color="auto" w:fill="auto"/>
            <w:noWrap/>
            <w:vAlign w:val="bottom"/>
            <w:hideMark/>
          </w:tcPr>
          <w:p w14:paraId="30F17741"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Highest level achieved by contract treatment start</w:t>
            </w:r>
          </w:p>
        </w:tc>
        <w:tc>
          <w:tcPr>
            <w:tcW w:w="565" w:type="pct"/>
            <w:shd w:val="clear" w:color="auto" w:fill="auto"/>
            <w:noWrap/>
            <w:vAlign w:val="bottom"/>
            <w:hideMark/>
          </w:tcPr>
          <w:p w14:paraId="3A78BEAC"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r w:rsidR="0018358B" w:rsidRPr="0018358B" w14:paraId="68EE2518" w14:textId="77777777" w:rsidTr="000F001F">
        <w:trPr>
          <w:trHeight w:val="290"/>
        </w:trPr>
        <w:tc>
          <w:tcPr>
            <w:tcW w:w="1024" w:type="pct"/>
            <w:shd w:val="clear" w:color="auto" w:fill="auto"/>
            <w:noWrap/>
            <w:vAlign w:val="bottom"/>
            <w:hideMark/>
          </w:tcPr>
          <w:p w14:paraId="02003AD2"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Any mental disorder diagnosis</w:t>
            </w:r>
          </w:p>
        </w:tc>
        <w:tc>
          <w:tcPr>
            <w:tcW w:w="2114" w:type="pct"/>
            <w:shd w:val="clear" w:color="auto" w:fill="auto"/>
            <w:noWrap/>
            <w:vAlign w:val="bottom"/>
            <w:hideMark/>
          </w:tcPr>
          <w:p w14:paraId="5DDD4255"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National patient register</w:t>
            </w:r>
          </w:p>
        </w:tc>
        <w:tc>
          <w:tcPr>
            <w:tcW w:w="1297" w:type="pct"/>
            <w:shd w:val="clear" w:color="auto" w:fill="auto"/>
            <w:noWrap/>
            <w:vAlign w:val="bottom"/>
            <w:hideMark/>
          </w:tcPr>
          <w:p w14:paraId="0C46B1FE"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Registered any time by contract treatment start</w:t>
            </w:r>
          </w:p>
        </w:tc>
        <w:tc>
          <w:tcPr>
            <w:tcW w:w="565" w:type="pct"/>
            <w:shd w:val="clear" w:color="auto" w:fill="auto"/>
            <w:noWrap/>
            <w:vAlign w:val="bottom"/>
            <w:hideMark/>
          </w:tcPr>
          <w:p w14:paraId="0F27121A"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F00-F99</w:t>
            </w:r>
          </w:p>
        </w:tc>
      </w:tr>
      <w:tr w:rsidR="0018358B" w:rsidRPr="0018358B" w14:paraId="3F752DC7" w14:textId="77777777" w:rsidTr="000F001F">
        <w:trPr>
          <w:trHeight w:val="290"/>
        </w:trPr>
        <w:tc>
          <w:tcPr>
            <w:tcW w:w="1024" w:type="pct"/>
            <w:shd w:val="clear" w:color="auto" w:fill="auto"/>
            <w:noWrap/>
            <w:vAlign w:val="bottom"/>
            <w:hideMark/>
          </w:tcPr>
          <w:p w14:paraId="1311E5A9"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Any substance use disorder diagnosis</w:t>
            </w:r>
          </w:p>
        </w:tc>
        <w:tc>
          <w:tcPr>
            <w:tcW w:w="2114" w:type="pct"/>
            <w:shd w:val="clear" w:color="auto" w:fill="auto"/>
            <w:noWrap/>
            <w:vAlign w:val="bottom"/>
            <w:hideMark/>
          </w:tcPr>
          <w:p w14:paraId="30A43300"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National patient register</w:t>
            </w:r>
          </w:p>
        </w:tc>
        <w:tc>
          <w:tcPr>
            <w:tcW w:w="1297" w:type="pct"/>
            <w:shd w:val="clear" w:color="auto" w:fill="auto"/>
            <w:noWrap/>
            <w:vAlign w:val="bottom"/>
            <w:hideMark/>
          </w:tcPr>
          <w:p w14:paraId="26456017"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Registered any time by contract treatment start</w:t>
            </w:r>
          </w:p>
        </w:tc>
        <w:tc>
          <w:tcPr>
            <w:tcW w:w="565" w:type="pct"/>
            <w:shd w:val="clear" w:color="auto" w:fill="auto"/>
            <w:noWrap/>
            <w:vAlign w:val="bottom"/>
            <w:hideMark/>
          </w:tcPr>
          <w:p w14:paraId="4E842B12"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F10-F19</w:t>
            </w:r>
          </w:p>
        </w:tc>
      </w:tr>
      <w:tr w:rsidR="0018358B" w:rsidRPr="0018358B" w14:paraId="5266B6D0" w14:textId="77777777" w:rsidTr="000F001F">
        <w:trPr>
          <w:trHeight w:val="290"/>
        </w:trPr>
        <w:tc>
          <w:tcPr>
            <w:tcW w:w="1024" w:type="pct"/>
            <w:shd w:val="clear" w:color="auto" w:fill="auto"/>
            <w:noWrap/>
            <w:vAlign w:val="bottom"/>
            <w:hideMark/>
          </w:tcPr>
          <w:p w14:paraId="0D69F5C6"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Any overdose</w:t>
            </w:r>
          </w:p>
        </w:tc>
        <w:tc>
          <w:tcPr>
            <w:tcW w:w="2114" w:type="pct"/>
            <w:shd w:val="clear" w:color="auto" w:fill="auto"/>
            <w:noWrap/>
            <w:vAlign w:val="bottom"/>
            <w:hideMark/>
          </w:tcPr>
          <w:p w14:paraId="35067589"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National patient register</w:t>
            </w:r>
          </w:p>
        </w:tc>
        <w:tc>
          <w:tcPr>
            <w:tcW w:w="1297" w:type="pct"/>
            <w:shd w:val="clear" w:color="auto" w:fill="auto"/>
            <w:noWrap/>
            <w:vAlign w:val="bottom"/>
            <w:hideMark/>
          </w:tcPr>
          <w:p w14:paraId="53D7E2FB"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Registered any time by contract treatment start</w:t>
            </w:r>
          </w:p>
        </w:tc>
        <w:tc>
          <w:tcPr>
            <w:tcW w:w="565" w:type="pct"/>
            <w:shd w:val="clear" w:color="auto" w:fill="auto"/>
            <w:noWrap/>
            <w:vAlign w:val="bottom"/>
            <w:hideMark/>
          </w:tcPr>
          <w:p w14:paraId="1C2BABB3"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X40-X49, T36-F51</w:t>
            </w:r>
          </w:p>
        </w:tc>
      </w:tr>
      <w:tr w:rsidR="0018358B" w:rsidRPr="0018358B" w14:paraId="1AE248D2" w14:textId="77777777" w:rsidTr="000F001F">
        <w:trPr>
          <w:trHeight w:val="290"/>
        </w:trPr>
        <w:tc>
          <w:tcPr>
            <w:tcW w:w="1024" w:type="pct"/>
            <w:shd w:val="clear" w:color="auto" w:fill="auto"/>
            <w:noWrap/>
            <w:vAlign w:val="bottom"/>
            <w:hideMark/>
          </w:tcPr>
          <w:p w14:paraId="498019A9"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Any suicidal behavior</w:t>
            </w:r>
          </w:p>
        </w:tc>
        <w:tc>
          <w:tcPr>
            <w:tcW w:w="2114" w:type="pct"/>
            <w:shd w:val="clear" w:color="auto" w:fill="auto"/>
            <w:noWrap/>
            <w:vAlign w:val="bottom"/>
            <w:hideMark/>
          </w:tcPr>
          <w:p w14:paraId="526548E7"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National patient register</w:t>
            </w:r>
          </w:p>
        </w:tc>
        <w:tc>
          <w:tcPr>
            <w:tcW w:w="1297" w:type="pct"/>
            <w:shd w:val="clear" w:color="auto" w:fill="auto"/>
            <w:noWrap/>
            <w:vAlign w:val="bottom"/>
            <w:hideMark/>
          </w:tcPr>
          <w:p w14:paraId="12AA9DF6"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Registered any time by contract treatment start</w:t>
            </w:r>
          </w:p>
        </w:tc>
        <w:tc>
          <w:tcPr>
            <w:tcW w:w="565" w:type="pct"/>
            <w:shd w:val="clear" w:color="auto" w:fill="auto"/>
            <w:noWrap/>
            <w:vAlign w:val="bottom"/>
            <w:hideMark/>
          </w:tcPr>
          <w:p w14:paraId="367AAA41"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X60-X84, Y10-Y34</w:t>
            </w:r>
          </w:p>
        </w:tc>
      </w:tr>
      <w:tr w:rsidR="0018358B" w:rsidRPr="0018358B" w14:paraId="610D39ED" w14:textId="77777777" w:rsidTr="000F001F">
        <w:trPr>
          <w:trHeight w:val="290"/>
        </w:trPr>
        <w:tc>
          <w:tcPr>
            <w:tcW w:w="1024" w:type="pct"/>
            <w:shd w:val="clear" w:color="auto" w:fill="auto"/>
            <w:noWrap/>
            <w:vAlign w:val="bottom"/>
            <w:hideMark/>
          </w:tcPr>
          <w:p w14:paraId="76106585"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Number of convictions for any crime</w:t>
            </w:r>
          </w:p>
        </w:tc>
        <w:tc>
          <w:tcPr>
            <w:tcW w:w="2114" w:type="pct"/>
            <w:shd w:val="clear" w:color="auto" w:fill="auto"/>
            <w:noWrap/>
            <w:vAlign w:val="bottom"/>
            <w:hideMark/>
          </w:tcPr>
          <w:p w14:paraId="6E139939"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Swedish national council for crime prevention register</w:t>
            </w:r>
          </w:p>
        </w:tc>
        <w:tc>
          <w:tcPr>
            <w:tcW w:w="1297" w:type="pct"/>
            <w:shd w:val="clear" w:color="auto" w:fill="auto"/>
            <w:noWrap/>
            <w:vAlign w:val="bottom"/>
            <w:hideMark/>
          </w:tcPr>
          <w:p w14:paraId="00EA0DEE"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Registered any time by contract treatment start</w:t>
            </w:r>
          </w:p>
        </w:tc>
        <w:tc>
          <w:tcPr>
            <w:tcW w:w="565" w:type="pct"/>
            <w:shd w:val="clear" w:color="auto" w:fill="auto"/>
            <w:noWrap/>
            <w:vAlign w:val="bottom"/>
            <w:hideMark/>
          </w:tcPr>
          <w:p w14:paraId="2E251E6E"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r w:rsidR="0018358B" w:rsidRPr="0018358B" w14:paraId="49F7A05F" w14:textId="77777777" w:rsidTr="000F001F">
        <w:trPr>
          <w:trHeight w:val="290"/>
        </w:trPr>
        <w:tc>
          <w:tcPr>
            <w:tcW w:w="1024" w:type="pct"/>
            <w:shd w:val="clear" w:color="auto" w:fill="auto"/>
            <w:noWrap/>
            <w:vAlign w:val="bottom"/>
            <w:hideMark/>
          </w:tcPr>
          <w:p w14:paraId="537427E1"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Previous convictions for violent crime</w:t>
            </w:r>
          </w:p>
        </w:tc>
        <w:tc>
          <w:tcPr>
            <w:tcW w:w="2114" w:type="pct"/>
            <w:shd w:val="clear" w:color="auto" w:fill="auto"/>
            <w:noWrap/>
            <w:vAlign w:val="bottom"/>
            <w:hideMark/>
          </w:tcPr>
          <w:p w14:paraId="2A2ABEC0"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Swedish national council for crime prevention register</w:t>
            </w:r>
          </w:p>
        </w:tc>
        <w:tc>
          <w:tcPr>
            <w:tcW w:w="1297" w:type="pct"/>
            <w:shd w:val="clear" w:color="auto" w:fill="auto"/>
            <w:noWrap/>
            <w:vAlign w:val="bottom"/>
            <w:hideMark/>
          </w:tcPr>
          <w:p w14:paraId="44E4A7B0"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Registered any time by contract treatment start</w:t>
            </w:r>
          </w:p>
        </w:tc>
        <w:tc>
          <w:tcPr>
            <w:tcW w:w="565" w:type="pct"/>
            <w:shd w:val="clear" w:color="auto" w:fill="auto"/>
            <w:noWrap/>
            <w:vAlign w:val="bottom"/>
            <w:hideMark/>
          </w:tcPr>
          <w:p w14:paraId="1301DFE9"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r w:rsidR="0018358B" w:rsidRPr="0018358B" w14:paraId="400245A4" w14:textId="77777777" w:rsidTr="000F001F">
        <w:trPr>
          <w:trHeight w:val="290"/>
        </w:trPr>
        <w:tc>
          <w:tcPr>
            <w:tcW w:w="1024" w:type="pct"/>
            <w:shd w:val="clear" w:color="auto" w:fill="auto"/>
            <w:noWrap/>
            <w:vAlign w:val="bottom"/>
            <w:hideMark/>
          </w:tcPr>
          <w:p w14:paraId="3BD0353A"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Previous imprisonment</w:t>
            </w:r>
          </w:p>
        </w:tc>
        <w:tc>
          <w:tcPr>
            <w:tcW w:w="2114" w:type="pct"/>
            <w:shd w:val="clear" w:color="auto" w:fill="auto"/>
            <w:noWrap/>
            <w:vAlign w:val="bottom"/>
            <w:hideMark/>
          </w:tcPr>
          <w:p w14:paraId="3D96CE4F"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Prison and probation services register</w:t>
            </w:r>
          </w:p>
        </w:tc>
        <w:tc>
          <w:tcPr>
            <w:tcW w:w="1297" w:type="pct"/>
            <w:shd w:val="clear" w:color="auto" w:fill="auto"/>
            <w:noWrap/>
            <w:vAlign w:val="bottom"/>
            <w:hideMark/>
          </w:tcPr>
          <w:p w14:paraId="5D75772D"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Registered any time by contract treatment start</w:t>
            </w:r>
          </w:p>
        </w:tc>
        <w:tc>
          <w:tcPr>
            <w:tcW w:w="565" w:type="pct"/>
            <w:shd w:val="clear" w:color="auto" w:fill="auto"/>
            <w:noWrap/>
            <w:vAlign w:val="bottom"/>
            <w:hideMark/>
          </w:tcPr>
          <w:p w14:paraId="7E69E850" w14:textId="77777777" w:rsidR="0018358B" w:rsidRPr="0018358B" w:rsidRDefault="0018358B" w:rsidP="000F001F">
            <w:pPr>
              <w:spacing w:after="0" w:line="240" w:lineRule="auto"/>
              <w:rPr>
                <w:rFonts w:ascii="Arial" w:eastAsia="Times New Roman" w:hAnsi="Arial" w:cs="Arial"/>
                <w:color w:val="000000"/>
                <w:kern w:val="0"/>
                <w:sz w:val="18"/>
                <w:szCs w:val="18"/>
                <w14:ligatures w14:val="none"/>
              </w:rPr>
            </w:pPr>
            <w:r w:rsidRPr="0018358B">
              <w:rPr>
                <w:rFonts w:ascii="Arial" w:eastAsia="Times New Roman" w:hAnsi="Arial" w:cs="Arial"/>
                <w:color w:val="000000"/>
                <w:kern w:val="0"/>
                <w:sz w:val="18"/>
                <w:szCs w:val="18"/>
                <w14:ligatures w14:val="none"/>
              </w:rPr>
              <w:t>N/A</w:t>
            </w:r>
          </w:p>
        </w:tc>
      </w:tr>
    </w:tbl>
    <w:p w14:paraId="287477CC" w14:textId="669A0054" w:rsidR="000F001F" w:rsidRPr="000F001F" w:rsidRDefault="000F001F" w:rsidP="000F001F">
      <w:pPr>
        <w:pStyle w:val="SMHeading"/>
        <w:rPr>
          <w:b w:val="0"/>
          <w:bCs w:val="0"/>
          <w:sz w:val="20"/>
          <w:szCs w:val="20"/>
        </w:rPr>
      </w:pPr>
      <w:bookmarkStart w:id="0" w:name="_Hlk155635204"/>
      <w:r w:rsidRPr="000F001F">
        <w:rPr>
          <w:sz w:val="20"/>
          <w:szCs w:val="20"/>
        </w:rPr>
        <w:t>Table S</w:t>
      </w:r>
      <w:r>
        <w:rPr>
          <w:sz w:val="20"/>
          <w:szCs w:val="20"/>
        </w:rPr>
        <w:t>1</w:t>
      </w:r>
      <w:r w:rsidRPr="000F001F">
        <w:rPr>
          <w:sz w:val="20"/>
          <w:szCs w:val="20"/>
        </w:rPr>
        <w:t xml:space="preserve">. </w:t>
      </w:r>
      <w:r w:rsidRPr="000F001F">
        <w:rPr>
          <w:b w:val="0"/>
          <w:bCs w:val="0"/>
          <w:sz w:val="20"/>
          <w:szCs w:val="20"/>
        </w:rPr>
        <w:t>Data sources and definitions for cohort characteristics</w:t>
      </w:r>
    </w:p>
    <w:bookmarkEnd w:id="0"/>
    <w:p w14:paraId="662787B0" w14:textId="77777777" w:rsidR="00D4047F" w:rsidRDefault="00D4047F" w:rsidP="009C679C">
      <w:pPr>
        <w:pStyle w:val="SMHeading"/>
        <w:rPr>
          <w:b w:val="0"/>
          <w:bCs w:val="0"/>
          <w:sz w:val="20"/>
          <w:szCs w:val="20"/>
        </w:rPr>
      </w:pPr>
    </w:p>
    <w:p w14:paraId="3CB8D3C7" w14:textId="77777777" w:rsidR="001300E9" w:rsidRDefault="001300E9" w:rsidP="009C679C">
      <w:pPr>
        <w:pStyle w:val="SMHeading"/>
        <w:rPr>
          <w:b w:val="0"/>
          <w:sz w:val="20"/>
          <w:szCs w:val="20"/>
        </w:rPr>
        <w:sectPr w:rsidR="001300E9">
          <w:pgSz w:w="12240" w:h="15840"/>
          <w:pgMar w:top="1417" w:right="1417" w:bottom="1417" w:left="1417" w:header="708" w:footer="708" w:gutter="0"/>
          <w:cols w:space="708"/>
          <w:docGrid w:linePitch="360"/>
        </w:sectPr>
      </w:pPr>
    </w:p>
    <w:p w14:paraId="19A15E26" w14:textId="77777777" w:rsidR="001300E9" w:rsidRDefault="001300E9" w:rsidP="001300E9">
      <w:pPr>
        <w:rPr>
          <w:rFonts w:ascii="Times New Roman" w:hAnsi="Times New Roman" w:cs="Times New Roman"/>
          <w:b/>
          <w:bCs/>
          <w:sz w:val="20"/>
          <w:szCs w:val="20"/>
        </w:rPr>
      </w:pPr>
      <w:r w:rsidRPr="001300E9">
        <w:rPr>
          <w:rFonts w:ascii="Times New Roman" w:hAnsi="Times New Roman" w:cs="Times New Roman"/>
          <w:b/>
          <w:bCs/>
          <w:sz w:val="20"/>
          <w:szCs w:val="20"/>
        </w:rPr>
        <w:lastRenderedPageBreak/>
        <w:t>Table S</w:t>
      </w:r>
      <w:r>
        <w:rPr>
          <w:rFonts w:ascii="Times New Roman" w:hAnsi="Times New Roman" w:cs="Times New Roman"/>
          <w:b/>
          <w:bCs/>
          <w:sz w:val="20"/>
          <w:szCs w:val="20"/>
        </w:rPr>
        <w:t>2</w:t>
      </w:r>
      <w:r w:rsidRPr="001300E9">
        <w:rPr>
          <w:rFonts w:ascii="Times New Roman" w:hAnsi="Times New Roman" w:cs="Times New Roman"/>
          <w:b/>
          <w:bCs/>
          <w:sz w:val="20"/>
          <w:szCs w:val="20"/>
        </w:rPr>
        <w:t xml:space="preserve">. </w:t>
      </w:r>
      <w:r w:rsidRPr="001300E9">
        <w:rPr>
          <w:rFonts w:ascii="Times New Roman" w:hAnsi="Times New Roman" w:cs="Times New Roman"/>
          <w:sz w:val="20"/>
          <w:szCs w:val="20"/>
        </w:rPr>
        <w:t>ICD-10 codes for defining acute substance misuse events</w:t>
      </w:r>
    </w:p>
    <w:tbl>
      <w:tblPr>
        <w:tblW w:w="8860" w:type="dxa"/>
        <w:tblLook w:val="04A0" w:firstRow="1" w:lastRow="0" w:firstColumn="1" w:lastColumn="0" w:noHBand="0" w:noVBand="1"/>
      </w:tblPr>
      <w:tblGrid>
        <w:gridCol w:w="5650"/>
        <w:gridCol w:w="3210"/>
      </w:tblGrid>
      <w:tr w:rsidR="00E52DD6" w:rsidRPr="00E52DD6" w14:paraId="498FB7D7" w14:textId="77777777" w:rsidTr="009E0C81">
        <w:trPr>
          <w:trHeight w:val="318"/>
        </w:trPr>
        <w:tc>
          <w:tcPr>
            <w:tcW w:w="5650" w:type="dxa"/>
            <w:tcBorders>
              <w:top w:val="single" w:sz="4" w:space="0" w:color="auto"/>
              <w:left w:val="nil"/>
              <w:bottom w:val="double" w:sz="6" w:space="0" w:color="auto"/>
              <w:right w:val="nil"/>
            </w:tcBorders>
            <w:shd w:val="clear" w:color="auto" w:fill="auto"/>
            <w:noWrap/>
            <w:vAlign w:val="center"/>
            <w:hideMark/>
          </w:tcPr>
          <w:p w14:paraId="0AD3B1FA"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Name</w:t>
            </w:r>
          </w:p>
        </w:tc>
        <w:tc>
          <w:tcPr>
            <w:tcW w:w="3210" w:type="dxa"/>
            <w:tcBorders>
              <w:top w:val="single" w:sz="4" w:space="0" w:color="auto"/>
              <w:left w:val="nil"/>
              <w:bottom w:val="double" w:sz="6" w:space="0" w:color="auto"/>
              <w:right w:val="nil"/>
            </w:tcBorders>
            <w:shd w:val="clear" w:color="auto" w:fill="auto"/>
            <w:noWrap/>
            <w:vAlign w:val="center"/>
            <w:hideMark/>
          </w:tcPr>
          <w:p w14:paraId="765F8574"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ICD-10 code</w:t>
            </w:r>
          </w:p>
        </w:tc>
      </w:tr>
      <w:tr w:rsidR="00E52DD6" w:rsidRPr="00E52DD6" w14:paraId="2FC9B260" w14:textId="77777777" w:rsidTr="009E0C81">
        <w:trPr>
          <w:trHeight w:val="318"/>
        </w:trPr>
        <w:tc>
          <w:tcPr>
            <w:tcW w:w="5650" w:type="dxa"/>
            <w:tcBorders>
              <w:top w:val="nil"/>
              <w:left w:val="nil"/>
              <w:bottom w:val="nil"/>
              <w:right w:val="nil"/>
            </w:tcBorders>
            <w:shd w:val="clear" w:color="auto" w:fill="auto"/>
            <w:noWrap/>
            <w:vAlign w:val="center"/>
            <w:hideMark/>
          </w:tcPr>
          <w:p w14:paraId="298C80F5"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Acute intoxication</w:t>
            </w:r>
          </w:p>
        </w:tc>
        <w:tc>
          <w:tcPr>
            <w:tcW w:w="3210" w:type="dxa"/>
            <w:tcBorders>
              <w:top w:val="nil"/>
              <w:left w:val="nil"/>
              <w:bottom w:val="nil"/>
              <w:right w:val="nil"/>
            </w:tcBorders>
            <w:shd w:val="clear" w:color="auto" w:fill="auto"/>
            <w:noWrap/>
            <w:vAlign w:val="center"/>
            <w:hideMark/>
          </w:tcPr>
          <w:p w14:paraId="0E3C0648"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F10.0-F16.0, F18.0-F19.0</w:t>
            </w:r>
          </w:p>
        </w:tc>
      </w:tr>
      <w:tr w:rsidR="00E52DD6" w:rsidRPr="00E52DD6" w14:paraId="0A8E5804" w14:textId="77777777" w:rsidTr="009E0C81">
        <w:trPr>
          <w:trHeight w:val="307"/>
        </w:trPr>
        <w:tc>
          <w:tcPr>
            <w:tcW w:w="5650" w:type="dxa"/>
            <w:tcBorders>
              <w:top w:val="nil"/>
              <w:left w:val="nil"/>
              <w:bottom w:val="nil"/>
              <w:right w:val="nil"/>
            </w:tcBorders>
            <w:shd w:val="clear" w:color="auto" w:fill="auto"/>
            <w:noWrap/>
            <w:vAlign w:val="center"/>
            <w:hideMark/>
          </w:tcPr>
          <w:p w14:paraId="67CCEBE2"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Withdrawal state</w:t>
            </w:r>
          </w:p>
        </w:tc>
        <w:tc>
          <w:tcPr>
            <w:tcW w:w="3210" w:type="dxa"/>
            <w:tcBorders>
              <w:top w:val="nil"/>
              <w:left w:val="nil"/>
              <w:bottom w:val="nil"/>
              <w:right w:val="nil"/>
            </w:tcBorders>
            <w:shd w:val="clear" w:color="auto" w:fill="auto"/>
            <w:noWrap/>
            <w:vAlign w:val="center"/>
            <w:hideMark/>
          </w:tcPr>
          <w:p w14:paraId="3B82233B"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F10.3-F16.3, F18.3-F19.3</w:t>
            </w:r>
          </w:p>
        </w:tc>
      </w:tr>
      <w:tr w:rsidR="00E52DD6" w:rsidRPr="00E52DD6" w14:paraId="3A6DF8F8" w14:textId="77777777" w:rsidTr="009E0C81">
        <w:trPr>
          <w:trHeight w:val="307"/>
        </w:trPr>
        <w:tc>
          <w:tcPr>
            <w:tcW w:w="5650" w:type="dxa"/>
            <w:tcBorders>
              <w:top w:val="nil"/>
              <w:left w:val="nil"/>
              <w:bottom w:val="nil"/>
              <w:right w:val="nil"/>
            </w:tcBorders>
            <w:shd w:val="clear" w:color="auto" w:fill="auto"/>
            <w:noWrap/>
            <w:vAlign w:val="center"/>
            <w:hideMark/>
          </w:tcPr>
          <w:p w14:paraId="11D3532B"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Withdrawal state with delirium</w:t>
            </w:r>
          </w:p>
        </w:tc>
        <w:tc>
          <w:tcPr>
            <w:tcW w:w="3210" w:type="dxa"/>
            <w:tcBorders>
              <w:top w:val="nil"/>
              <w:left w:val="nil"/>
              <w:bottom w:val="nil"/>
              <w:right w:val="nil"/>
            </w:tcBorders>
            <w:shd w:val="clear" w:color="auto" w:fill="auto"/>
            <w:noWrap/>
            <w:vAlign w:val="center"/>
            <w:hideMark/>
          </w:tcPr>
          <w:p w14:paraId="732A578F"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F10.4-F16.4, F18.4-F19.4</w:t>
            </w:r>
          </w:p>
        </w:tc>
      </w:tr>
      <w:tr w:rsidR="00E52DD6" w:rsidRPr="00E52DD6" w14:paraId="76819F74" w14:textId="77777777" w:rsidTr="009E0C81">
        <w:trPr>
          <w:trHeight w:val="307"/>
        </w:trPr>
        <w:tc>
          <w:tcPr>
            <w:tcW w:w="5650" w:type="dxa"/>
            <w:tcBorders>
              <w:top w:val="nil"/>
              <w:left w:val="nil"/>
              <w:bottom w:val="nil"/>
              <w:right w:val="nil"/>
            </w:tcBorders>
            <w:shd w:val="clear" w:color="auto" w:fill="auto"/>
            <w:noWrap/>
            <w:vAlign w:val="center"/>
            <w:hideMark/>
          </w:tcPr>
          <w:p w14:paraId="27F50ADA"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Substance-induced psychosis</w:t>
            </w:r>
          </w:p>
        </w:tc>
        <w:tc>
          <w:tcPr>
            <w:tcW w:w="3210" w:type="dxa"/>
            <w:tcBorders>
              <w:top w:val="nil"/>
              <w:left w:val="nil"/>
              <w:bottom w:val="nil"/>
              <w:right w:val="nil"/>
            </w:tcBorders>
            <w:shd w:val="clear" w:color="auto" w:fill="auto"/>
            <w:noWrap/>
            <w:vAlign w:val="center"/>
            <w:hideMark/>
          </w:tcPr>
          <w:p w14:paraId="7EAE0EFB"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F10.5-F16.5, F18.5-F19.5</w:t>
            </w:r>
          </w:p>
        </w:tc>
      </w:tr>
      <w:tr w:rsidR="00E52DD6" w:rsidRPr="00E52DD6" w14:paraId="7A72085B" w14:textId="77777777" w:rsidTr="009E0C81">
        <w:trPr>
          <w:trHeight w:val="307"/>
        </w:trPr>
        <w:tc>
          <w:tcPr>
            <w:tcW w:w="5650" w:type="dxa"/>
            <w:tcBorders>
              <w:top w:val="nil"/>
              <w:left w:val="nil"/>
              <w:bottom w:val="nil"/>
              <w:right w:val="nil"/>
            </w:tcBorders>
            <w:shd w:val="clear" w:color="auto" w:fill="auto"/>
            <w:noWrap/>
            <w:vAlign w:val="center"/>
            <w:hideMark/>
          </w:tcPr>
          <w:p w14:paraId="65CF111C"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Poisoning by drugs or alcohol</w:t>
            </w:r>
          </w:p>
        </w:tc>
        <w:tc>
          <w:tcPr>
            <w:tcW w:w="3210" w:type="dxa"/>
            <w:tcBorders>
              <w:top w:val="nil"/>
              <w:left w:val="nil"/>
              <w:bottom w:val="nil"/>
              <w:right w:val="nil"/>
            </w:tcBorders>
            <w:shd w:val="clear" w:color="auto" w:fill="auto"/>
            <w:noWrap/>
            <w:vAlign w:val="center"/>
            <w:hideMark/>
          </w:tcPr>
          <w:p w14:paraId="53D055A2"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T36-T51, T65</w:t>
            </w:r>
          </w:p>
        </w:tc>
      </w:tr>
      <w:tr w:rsidR="00E52DD6" w:rsidRPr="00E52DD6" w14:paraId="22274DFA" w14:textId="77777777" w:rsidTr="009E0C81">
        <w:trPr>
          <w:trHeight w:val="307"/>
        </w:trPr>
        <w:tc>
          <w:tcPr>
            <w:tcW w:w="5650" w:type="dxa"/>
            <w:tcBorders>
              <w:top w:val="nil"/>
              <w:left w:val="nil"/>
              <w:bottom w:val="nil"/>
              <w:right w:val="nil"/>
            </w:tcBorders>
            <w:shd w:val="clear" w:color="auto" w:fill="auto"/>
            <w:noWrap/>
            <w:vAlign w:val="center"/>
            <w:hideMark/>
          </w:tcPr>
          <w:p w14:paraId="03B78977"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Accidental poisoning by drugs or alcohol</w:t>
            </w:r>
          </w:p>
        </w:tc>
        <w:tc>
          <w:tcPr>
            <w:tcW w:w="3210" w:type="dxa"/>
            <w:tcBorders>
              <w:top w:val="nil"/>
              <w:left w:val="nil"/>
              <w:bottom w:val="nil"/>
              <w:right w:val="nil"/>
            </w:tcBorders>
            <w:shd w:val="clear" w:color="auto" w:fill="auto"/>
            <w:noWrap/>
            <w:vAlign w:val="center"/>
            <w:hideMark/>
          </w:tcPr>
          <w:p w14:paraId="33215E31"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 xml:space="preserve">X40-X45, X49, </w:t>
            </w:r>
          </w:p>
        </w:tc>
      </w:tr>
      <w:tr w:rsidR="00E52DD6" w:rsidRPr="00E52DD6" w14:paraId="0021A7A7" w14:textId="77777777" w:rsidTr="009E0C81">
        <w:trPr>
          <w:trHeight w:val="307"/>
        </w:trPr>
        <w:tc>
          <w:tcPr>
            <w:tcW w:w="5650" w:type="dxa"/>
            <w:tcBorders>
              <w:top w:val="nil"/>
              <w:left w:val="nil"/>
              <w:bottom w:val="nil"/>
              <w:right w:val="nil"/>
            </w:tcBorders>
            <w:shd w:val="clear" w:color="auto" w:fill="auto"/>
            <w:noWrap/>
            <w:vAlign w:val="center"/>
            <w:hideMark/>
          </w:tcPr>
          <w:p w14:paraId="58E730EF"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Poisoning by drugs or alcohol (undetermined intent)</w:t>
            </w:r>
          </w:p>
        </w:tc>
        <w:tc>
          <w:tcPr>
            <w:tcW w:w="3210" w:type="dxa"/>
            <w:tcBorders>
              <w:top w:val="nil"/>
              <w:left w:val="nil"/>
              <w:bottom w:val="nil"/>
              <w:right w:val="nil"/>
            </w:tcBorders>
            <w:shd w:val="clear" w:color="auto" w:fill="auto"/>
            <w:noWrap/>
            <w:vAlign w:val="center"/>
            <w:hideMark/>
          </w:tcPr>
          <w:p w14:paraId="384D14BF"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Y10-Y15</w:t>
            </w:r>
          </w:p>
        </w:tc>
      </w:tr>
      <w:tr w:rsidR="00E52DD6" w:rsidRPr="00E52DD6" w14:paraId="2B9F11B9" w14:textId="77777777" w:rsidTr="009E0C81">
        <w:trPr>
          <w:trHeight w:val="307"/>
        </w:trPr>
        <w:tc>
          <w:tcPr>
            <w:tcW w:w="5650" w:type="dxa"/>
            <w:tcBorders>
              <w:top w:val="nil"/>
              <w:left w:val="nil"/>
              <w:bottom w:val="single" w:sz="4" w:space="0" w:color="auto"/>
              <w:right w:val="nil"/>
            </w:tcBorders>
            <w:shd w:val="clear" w:color="auto" w:fill="auto"/>
            <w:noWrap/>
            <w:vAlign w:val="center"/>
            <w:hideMark/>
          </w:tcPr>
          <w:p w14:paraId="262950FD"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 xml:space="preserve">Evidence of alcohol involvement </w:t>
            </w:r>
          </w:p>
        </w:tc>
        <w:tc>
          <w:tcPr>
            <w:tcW w:w="3210" w:type="dxa"/>
            <w:tcBorders>
              <w:top w:val="nil"/>
              <w:left w:val="nil"/>
              <w:bottom w:val="single" w:sz="4" w:space="0" w:color="auto"/>
              <w:right w:val="nil"/>
            </w:tcBorders>
            <w:shd w:val="clear" w:color="auto" w:fill="auto"/>
            <w:noWrap/>
            <w:vAlign w:val="center"/>
            <w:hideMark/>
          </w:tcPr>
          <w:p w14:paraId="1A14D0E8" w14:textId="77777777" w:rsidR="00E52DD6" w:rsidRPr="00E52DD6" w:rsidRDefault="00E52DD6" w:rsidP="00E52DD6">
            <w:pPr>
              <w:spacing w:after="0" w:line="240" w:lineRule="auto"/>
              <w:rPr>
                <w:rFonts w:ascii="Arial" w:eastAsia="Times New Roman" w:hAnsi="Arial" w:cs="Arial"/>
                <w:color w:val="000000"/>
                <w:kern w:val="0"/>
                <w:sz w:val="18"/>
                <w:szCs w:val="18"/>
                <w14:ligatures w14:val="none"/>
              </w:rPr>
            </w:pPr>
            <w:r w:rsidRPr="00E52DD6">
              <w:rPr>
                <w:rFonts w:ascii="Arial" w:eastAsia="Times New Roman" w:hAnsi="Arial" w:cs="Arial"/>
                <w:color w:val="000000"/>
                <w:kern w:val="0"/>
                <w:sz w:val="18"/>
                <w:szCs w:val="18"/>
                <w14:ligatures w14:val="none"/>
              </w:rPr>
              <w:t>Y91</w:t>
            </w:r>
          </w:p>
        </w:tc>
      </w:tr>
    </w:tbl>
    <w:p w14:paraId="3C7466CF" w14:textId="77777777" w:rsidR="00940710" w:rsidRDefault="00940710" w:rsidP="009C679C">
      <w:pPr>
        <w:pStyle w:val="SMHeading"/>
        <w:rPr>
          <w:b w:val="0"/>
          <w:sz w:val="20"/>
          <w:szCs w:val="20"/>
        </w:rPr>
        <w:sectPr w:rsidR="00940710">
          <w:pgSz w:w="12240" w:h="15840"/>
          <w:pgMar w:top="1417" w:right="1417" w:bottom="1417" w:left="1417" w:header="708" w:footer="708" w:gutter="0"/>
          <w:cols w:space="708"/>
          <w:docGrid w:linePitch="360"/>
        </w:sectPr>
      </w:pPr>
    </w:p>
    <w:p w14:paraId="68B3CB08" w14:textId="14996390" w:rsidR="00D4047F" w:rsidRPr="00D4047F" w:rsidRDefault="00C948B6" w:rsidP="009C679C">
      <w:pPr>
        <w:pStyle w:val="SMHeading"/>
        <w:rPr>
          <w:b w:val="0"/>
          <w:sz w:val="20"/>
          <w:szCs w:val="20"/>
        </w:rPr>
      </w:pPr>
      <w:r w:rsidRPr="00C948B6">
        <w:rPr>
          <w:sz w:val="20"/>
          <w:szCs w:val="20"/>
        </w:rPr>
        <w:lastRenderedPageBreak/>
        <w:t xml:space="preserve">Table </w:t>
      </w:r>
      <w:r w:rsidRPr="00546832">
        <w:rPr>
          <w:sz w:val="20"/>
          <w:szCs w:val="20"/>
        </w:rPr>
        <w:t>S3.</w:t>
      </w:r>
      <w:r w:rsidRPr="00C948B6">
        <w:rPr>
          <w:sz w:val="20"/>
          <w:szCs w:val="20"/>
        </w:rPr>
        <w:t xml:space="preserve"> </w:t>
      </w:r>
      <w:r w:rsidRPr="00C948B6">
        <w:rPr>
          <w:b w:val="0"/>
          <w:bCs w:val="0"/>
          <w:sz w:val="20"/>
          <w:szCs w:val="20"/>
        </w:rPr>
        <w:t>ICD-10 codes for defining acute mental health events</w:t>
      </w:r>
    </w:p>
    <w:p w14:paraId="2A971AC4" w14:textId="77777777" w:rsidR="00135DC5" w:rsidRDefault="00135DC5">
      <w:pPr>
        <w:rPr>
          <w:rFonts w:ascii="Arial" w:hAnsi="Arial" w:cs="Arial"/>
          <w:b/>
          <w:bCs/>
          <w:sz w:val="24"/>
          <w:szCs w:val="24"/>
        </w:rPr>
      </w:pPr>
    </w:p>
    <w:tbl>
      <w:tblPr>
        <w:tblW w:w="8932" w:type="dxa"/>
        <w:tblLook w:val="04A0" w:firstRow="1" w:lastRow="0" w:firstColumn="1" w:lastColumn="0" w:noHBand="0" w:noVBand="1"/>
      </w:tblPr>
      <w:tblGrid>
        <w:gridCol w:w="5164"/>
        <w:gridCol w:w="3768"/>
      </w:tblGrid>
      <w:tr w:rsidR="00C51699" w:rsidRPr="00C51699" w14:paraId="349E2A9C" w14:textId="77777777" w:rsidTr="009E0C81">
        <w:trPr>
          <w:trHeight w:val="319"/>
        </w:trPr>
        <w:tc>
          <w:tcPr>
            <w:tcW w:w="5164" w:type="dxa"/>
            <w:tcBorders>
              <w:top w:val="single" w:sz="4" w:space="0" w:color="auto"/>
              <w:left w:val="nil"/>
              <w:bottom w:val="double" w:sz="6" w:space="0" w:color="auto"/>
              <w:right w:val="nil"/>
            </w:tcBorders>
            <w:shd w:val="clear" w:color="auto" w:fill="auto"/>
            <w:noWrap/>
            <w:vAlign w:val="center"/>
            <w:hideMark/>
          </w:tcPr>
          <w:p w14:paraId="163EDEC3"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Name</w:t>
            </w:r>
          </w:p>
        </w:tc>
        <w:tc>
          <w:tcPr>
            <w:tcW w:w="3768" w:type="dxa"/>
            <w:tcBorders>
              <w:top w:val="single" w:sz="4" w:space="0" w:color="auto"/>
              <w:left w:val="nil"/>
              <w:bottom w:val="double" w:sz="6" w:space="0" w:color="auto"/>
              <w:right w:val="nil"/>
            </w:tcBorders>
            <w:shd w:val="clear" w:color="auto" w:fill="auto"/>
            <w:noWrap/>
            <w:vAlign w:val="center"/>
            <w:hideMark/>
          </w:tcPr>
          <w:p w14:paraId="04F48BA7"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ICD-10 code</w:t>
            </w:r>
          </w:p>
        </w:tc>
      </w:tr>
      <w:tr w:rsidR="00C51699" w:rsidRPr="00C51699" w14:paraId="4F9379FC" w14:textId="77777777" w:rsidTr="009E0C81">
        <w:trPr>
          <w:trHeight w:val="319"/>
        </w:trPr>
        <w:tc>
          <w:tcPr>
            <w:tcW w:w="5164" w:type="dxa"/>
            <w:tcBorders>
              <w:top w:val="nil"/>
              <w:left w:val="nil"/>
              <w:bottom w:val="nil"/>
              <w:right w:val="nil"/>
            </w:tcBorders>
            <w:shd w:val="clear" w:color="auto" w:fill="auto"/>
            <w:noWrap/>
            <w:vAlign w:val="center"/>
            <w:hideMark/>
          </w:tcPr>
          <w:p w14:paraId="32D56B34"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Acute psychotic episode</w:t>
            </w:r>
          </w:p>
        </w:tc>
        <w:tc>
          <w:tcPr>
            <w:tcW w:w="3768" w:type="dxa"/>
            <w:tcBorders>
              <w:top w:val="nil"/>
              <w:left w:val="nil"/>
              <w:bottom w:val="nil"/>
              <w:right w:val="nil"/>
            </w:tcBorders>
            <w:shd w:val="clear" w:color="auto" w:fill="auto"/>
            <w:noWrap/>
            <w:vAlign w:val="center"/>
            <w:hideMark/>
          </w:tcPr>
          <w:p w14:paraId="407E7D23"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F23, F29</w:t>
            </w:r>
          </w:p>
        </w:tc>
      </w:tr>
      <w:tr w:rsidR="00C51699" w:rsidRPr="00C51699" w14:paraId="44340EE5" w14:textId="77777777" w:rsidTr="009E0C81">
        <w:trPr>
          <w:trHeight w:val="309"/>
        </w:trPr>
        <w:tc>
          <w:tcPr>
            <w:tcW w:w="5164" w:type="dxa"/>
            <w:tcBorders>
              <w:top w:val="nil"/>
              <w:left w:val="nil"/>
              <w:bottom w:val="nil"/>
              <w:right w:val="nil"/>
            </w:tcBorders>
            <w:shd w:val="clear" w:color="auto" w:fill="auto"/>
            <w:noWrap/>
            <w:vAlign w:val="center"/>
            <w:hideMark/>
          </w:tcPr>
          <w:p w14:paraId="67BBA351"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Acute manic episode</w:t>
            </w:r>
          </w:p>
        </w:tc>
        <w:tc>
          <w:tcPr>
            <w:tcW w:w="3768" w:type="dxa"/>
            <w:tcBorders>
              <w:top w:val="nil"/>
              <w:left w:val="nil"/>
              <w:bottom w:val="nil"/>
              <w:right w:val="nil"/>
            </w:tcBorders>
            <w:shd w:val="clear" w:color="auto" w:fill="auto"/>
            <w:noWrap/>
            <w:vAlign w:val="center"/>
            <w:hideMark/>
          </w:tcPr>
          <w:p w14:paraId="24755469"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F30, F31.0, F31.1, F31.2</w:t>
            </w:r>
          </w:p>
        </w:tc>
      </w:tr>
      <w:tr w:rsidR="00C51699" w:rsidRPr="00C51699" w14:paraId="32143F84" w14:textId="77777777" w:rsidTr="009E0C81">
        <w:trPr>
          <w:trHeight w:val="309"/>
        </w:trPr>
        <w:tc>
          <w:tcPr>
            <w:tcW w:w="5164" w:type="dxa"/>
            <w:tcBorders>
              <w:top w:val="nil"/>
              <w:left w:val="nil"/>
              <w:bottom w:val="nil"/>
              <w:right w:val="nil"/>
            </w:tcBorders>
            <w:shd w:val="clear" w:color="auto" w:fill="auto"/>
            <w:noWrap/>
            <w:vAlign w:val="center"/>
            <w:hideMark/>
          </w:tcPr>
          <w:p w14:paraId="1C2C3D5D"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Depressive episode</w:t>
            </w:r>
          </w:p>
        </w:tc>
        <w:tc>
          <w:tcPr>
            <w:tcW w:w="3768" w:type="dxa"/>
            <w:tcBorders>
              <w:top w:val="nil"/>
              <w:left w:val="nil"/>
              <w:bottom w:val="nil"/>
              <w:right w:val="nil"/>
            </w:tcBorders>
            <w:shd w:val="clear" w:color="auto" w:fill="auto"/>
            <w:noWrap/>
            <w:vAlign w:val="center"/>
            <w:hideMark/>
          </w:tcPr>
          <w:p w14:paraId="683AC7EA"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F31.3-F31.6, F32, F38, F39</w:t>
            </w:r>
          </w:p>
        </w:tc>
      </w:tr>
      <w:tr w:rsidR="00C51699" w:rsidRPr="00C51699" w14:paraId="51F33AFF" w14:textId="77777777" w:rsidTr="009E0C81">
        <w:trPr>
          <w:trHeight w:val="309"/>
        </w:trPr>
        <w:tc>
          <w:tcPr>
            <w:tcW w:w="5164" w:type="dxa"/>
            <w:tcBorders>
              <w:top w:val="nil"/>
              <w:left w:val="nil"/>
              <w:bottom w:val="nil"/>
              <w:right w:val="nil"/>
            </w:tcBorders>
            <w:shd w:val="clear" w:color="auto" w:fill="auto"/>
            <w:noWrap/>
            <w:vAlign w:val="center"/>
            <w:hideMark/>
          </w:tcPr>
          <w:p w14:paraId="4DD566D2"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Anxiety and stress disorder</w:t>
            </w:r>
          </w:p>
        </w:tc>
        <w:tc>
          <w:tcPr>
            <w:tcW w:w="3768" w:type="dxa"/>
            <w:tcBorders>
              <w:top w:val="nil"/>
              <w:left w:val="nil"/>
              <w:bottom w:val="nil"/>
              <w:right w:val="nil"/>
            </w:tcBorders>
            <w:shd w:val="clear" w:color="auto" w:fill="auto"/>
            <w:noWrap/>
            <w:vAlign w:val="center"/>
            <w:hideMark/>
          </w:tcPr>
          <w:p w14:paraId="0ED66527"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F40, F41, F43</w:t>
            </w:r>
          </w:p>
        </w:tc>
      </w:tr>
      <w:tr w:rsidR="00C51699" w:rsidRPr="00C51699" w14:paraId="66BE6E6F" w14:textId="77777777" w:rsidTr="009E0C81">
        <w:trPr>
          <w:trHeight w:val="309"/>
        </w:trPr>
        <w:tc>
          <w:tcPr>
            <w:tcW w:w="5164" w:type="dxa"/>
            <w:tcBorders>
              <w:top w:val="nil"/>
              <w:left w:val="nil"/>
              <w:bottom w:val="single" w:sz="4" w:space="0" w:color="auto"/>
              <w:right w:val="nil"/>
            </w:tcBorders>
            <w:shd w:val="clear" w:color="auto" w:fill="auto"/>
            <w:noWrap/>
            <w:vAlign w:val="center"/>
            <w:hideMark/>
          </w:tcPr>
          <w:p w14:paraId="7B2B1A75"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Self-harm and suicidality</w:t>
            </w:r>
          </w:p>
        </w:tc>
        <w:tc>
          <w:tcPr>
            <w:tcW w:w="3768" w:type="dxa"/>
            <w:tcBorders>
              <w:top w:val="nil"/>
              <w:left w:val="nil"/>
              <w:bottom w:val="single" w:sz="4" w:space="0" w:color="auto"/>
              <w:right w:val="nil"/>
            </w:tcBorders>
            <w:shd w:val="clear" w:color="auto" w:fill="auto"/>
            <w:noWrap/>
            <w:vAlign w:val="center"/>
            <w:hideMark/>
          </w:tcPr>
          <w:p w14:paraId="3FA2E1D5" w14:textId="77777777" w:rsidR="00C51699" w:rsidRPr="00C51699" w:rsidRDefault="00C51699" w:rsidP="00C51699">
            <w:pPr>
              <w:spacing w:after="0" w:line="240" w:lineRule="auto"/>
              <w:rPr>
                <w:rFonts w:ascii="Arial" w:eastAsia="Times New Roman" w:hAnsi="Arial" w:cs="Arial"/>
                <w:color w:val="000000"/>
                <w:kern w:val="0"/>
                <w:sz w:val="18"/>
                <w:szCs w:val="18"/>
                <w14:ligatures w14:val="none"/>
              </w:rPr>
            </w:pPr>
            <w:r w:rsidRPr="00C51699">
              <w:rPr>
                <w:rFonts w:ascii="Arial" w:eastAsia="Times New Roman" w:hAnsi="Arial" w:cs="Arial"/>
                <w:color w:val="000000"/>
                <w:kern w:val="0"/>
                <w:sz w:val="18"/>
                <w:szCs w:val="18"/>
                <w14:ligatures w14:val="none"/>
              </w:rPr>
              <w:t>X60-X84, Y20-Y34</w:t>
            </w:r>
          </w:p>
        </w:tc>
      </w:tr>
    </w:tbl>
    <w:p w14:paraId="0BA18E83" w14:textId="77777777" w:rsidR="00D86B25" w:rsidRPr="00D86B25" w:rsidRDefault="00D86B25">
      <w:pPr>
        <w:rPr>
          <w:rFonts w:ascii="Arial" w:hAnsi="Arial" w:cs="Arial"/>
          <w:b/>
          <w:bCs/>
          <w:sz w:val="24"/>
          <w:szCs w:val="24"/>
        </w:rPr>
      </w:pPr>
    </w:p>
    <w:p w14:paraId="2001C9A1" w14:textId="77777777" w:rsidR="00074F2D" w:rsidRDefault="00074F2D">
      <w:pPr>
        <w:sectPr w:rsidR="00074F2D">
          <w:pgSz w:w="12240" w:h="15840"/>
          <w:pgMar w:top="1417" w:right="1417" w:bottom="1417" w:left="1417" w:header="708" w:footer="708" w:gutter="0"/>
          <w:cols w:space="708"/>
          <w:docGrid w:linePitch="360"/>
        </w:sectPr>
      </w:pPr>
    </w:p>
    <w:p w14:paraId="7FA0E540" w14:textId="77777777" w:rsidR="00074F2D" w:rsidRDefault="00074F2D" w:rsidP="00074F2D">
      <w:pPr>
        <w:rPr>
          <w:rFonts w:ascii="Times New Roman" w:hAnsi="Times New Roman" w:cs="Times New Roman"/>
          <w:b/>
          <w:bCs/>
          <w:sz w:val="20"/>
          <w:szCs w:val="20"/>
        </w:rPr>
      </w:pPr>
      <w:r w:rsidRPr="00DB1C63">
        <w:rPr>
          <w:rFonts w:ascii="Times New Roman" w:hAnsi="Times New Roman" w:cs="Times New Roman"/>
          <w:b/>
          <w:bCs/>
          <w:sz w:val="20"/>
          <w:szCs w:val="20"/>
        </w:rPr>
        <w:lastRenderedPageBreak/>
        <w:t>Table S</w:t>
      </w:r>
      <w:r>
        <w:rPr>
          <w:rFonts w:ascii="Times New Roman" w:hAnsi="Times New Roman" w:cs="Times New Roman"/>
          <w:b/>
          <w:bCs/>
          <w:sz w:val="20"/>
          <w:szCs w:val="20"/>
        </w:rPr>
        <w:t>4</w:t>
      </w:r>
      <w:r w:rsidRPr="00DB1C63">
        <w:rPr>
          <w:rFonts w:ascii="Times New Roman" w:hAnsi="Times New Roman" w:cs="Times New Roman"/>
          <w:b/>
          <w:bCs/>
          <w:sz w:val="20"/>
          <w:szCs w:val="20"/>
        </w:rPr>
        <w:t xml:space="preserve">. </w:t>
      </w:r>
      <w:r w:rsidRPr="00E2168A">
        <w:rPr>
          <w:rFonts w:ascii="Times New Roman" w:hAnsi="Times New Roman" w:cs="Times New Roman"/>
          <w:sz w:val="20"/>
          <w:szCs w:val="20"/>
        </w:rPr>
        <w:t>ICD-10 codes for defining acute somatic health events</w:t>
      </w:r>
    </w:p>
    <w:tbl>
      <w:tblPr>
        <w:tblW w:w="9382" w:type="dxa"/>
        <w:tblLook w:val="04A0" w:firstRow="1" w:lastRow="0" w:firstColumn="1" w:lastColumn="0" w:noHBand="0" w:noVBand="1"/>
      </w:tblPr>
      <w:tblGrid>
        <w:gridCol w:w="6379"/>
        <w:gridCol w:w="3003"/>
      </w:tblGrid>
      <w:tr w:rsidR="003E4DC7" w:rsidRPr="003E4DC7" w14:paraId="441331C5" w14:textId="77777777" w:rsidTr="009E0C81">
        <w:trPr>
          <w:trHeight w:val="271"/>
        </w:trPr>
        <w:tc>
          <w:tcPr>
            <w:tcW w:w="6379" w:type="dxa"/>
            <w:tcBorders>
              <w:top w:val="single" w:sz="4" w:space="0" w:color="auto"/>
              <w:left w:val="nil"/>
              <w:bottom w:val="double" w:sz="6" w:space="0" w:color="auto"/>
              <w:right w:val="nil"/>
            </w:tcBorders>
            <w:shd w:val="clear" w:color="auto" w:fill="auto"/>
            <w:noWrap/>
            <w:vAlign w:val="center"/>
            <w:hideMark/>
          </w:tcPr>
          <w:p w14:paraId="448AEE2B"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Name</w:t>
            </w:r>
          </w:p>
        </w:tc>
        <w:tc>
          <w:tcPr>
            <w:tcW w:w="3003" w:type="dxa"/>
            <w:tcBorders>
              <w:top w:val="single" w:sz="4" w:space="0" w:color="auto"/>
              <w:left w:val="nil"/>
              <w:bottom w:val="double" w:sz="6" w:space="0" w:color="auto"/>
              <w:right w:val="nil"/>
            </w:tcBorders>
            <w:shd w:val="clear" w:color="auto" w:fill="auto"/>
            <w:noWrap/>
            <w:vAlign w:val="center"/>
            <w:hideMark/>
          </w:tcPr>
          <w:p w14:paraId="20DFC848"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ICD-10 code</w:t>
            </w:r>
          </w:p>
        </w:tc>
      </w:tr>
      <w:tr w:rsidR="003E4DC7" w:rsidRPr="003E4DC7" w14:paraId="52C4489D" w14:textId="77777777" w:rsidTr="009E0C81">
        <w:trPr>
          <w:trHeight w:val="271"/>
        </w:trPr>
        <w:tc>
          <w:tcPr>
            <w:tcW w:w="6379" w:type="dxa"/>
            <w:tcBorders>
              <w:top w:val="nil"/>
              <w:left w:val="nil"/>
              <w:bottom w:val="nil"/>
              <w:right w:val="nil"/>
            </w:tcBorders>
            <w:shd w:val="clear" w:color="auto" w:fill="auto"/>
            <w:noWrap/>
            <w:vAlign w:val="center"/>
            <w:hideMark/>
          </w:tcPr>
          <w:p w14:paraId="2F693493"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Infectious and parasitic diseases</w:t>
            </w:r>
          </w:p>
        </w:tc>
        <w:tc>
          <w:tcPr>
            <w:tcW w:w="3003" w:type="dxa"/>
            <w:tcBorders>
              <w:top w:val="nil"/>
              <w:left w:val="nil"/>
              <w:bottom w:val="nil"/>
              <w:right w:val="nil"/>
            </w:tcBorders>
            <w:shd w:val="clear" w:color="auto" w:fill="auto"/>
            <w:vAlign w:val="center"/>
            <w:hideMark/>
          </w:tcPr>
          <w:p w14:paraId="7212B55B"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A00-B99</w:t>
            </w:r>
          </w:p>
        </w:tc>
      </w:tr>
      <w:tr w:rsidR="003E4DC7" w:rsidRPr="003E4DC7" w14:paraId="451DC1DF" w14:textId="77777777" w:rsidTr="009E0C81">
        <w:trPr>
          <w:trHeight w:val="262"/>
        </w:trPr>
        <w:tc>
          <w:tcPr>
            <w:tcW w:w="6379" w:type="dxa"/>
            <w:tcBorders>
              <w:top w:val="nil"/>
              <w:left w:val="nil"/>
              <w:bottom w:val="nil"/>
              <w:right w:val="nil"/>
            </w:tcBorders>
            <w:shd w:val="clear" w:color="auto" w:fill="auto"/>
            <w:noWrap/>
            <w:vAlign w:val="center"/>
            <w:hideMark/>
          </w:tcPr>
          <w:p w14:paraId="4F227FE2"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Conjunctivitis</w:t>
            </w:r>
          </w:p>
        </w:tc>
        <w:tc>
          <w:tcPr>
            <w:tcW w:w="3003" w:type="dxa"/>
            <w:tcBorders>
              <w:top w:val="nil"/>
              <w:left w:val="nil"/>
              <w:bottom w:val="nil"/>
              <w:right w:val="nil"/>
            </w:tcBorders>
            <w:shd w:val="clear" w:color="auto" w:fill="auto"/>
            <w:vAlign w:val="center"/>
            <w:hideMark/>
          </w:tcPr>
          <w:p w14:paraId="7990DA90"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H10</w:t>
            </w:r>
          </w:p>
        </w:tc>
      </w:tr>
      <w:tr w:rsidR="003E4DC7" w:rsidRPr="003E4DC7" w14:paraId="6370397F" w14:textId="77777777" w:rsidTr="009E0C81">
        <w:trPr>
          <w:trHeight w:val="262"/>
        </w:trPr>
        <w:tc>
          <w:tcPr>
            <w:tcW w:w="6379" w:type="dxa"/>
            <w:tcBorders>
              <w:top w:val="nil"/>
              <w:left w:val="nil"/>
              <w:bottom w:val="nil"/>
              <w:right w:val="nil"/>
            </w:tcBorders>
            <w:shd w:val="clear" w:color="auto" w:fill="auto"/>
            <w:noWrap/>
            <w:vAlign w:val="center"/>
            <w:hideMark/>
          </w:tcPr>
          <w:p w14:paraId="21A34FB8"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Circulatory system disease</w:t>
            </w:r>
          </w:p>
        </w:tc>
        <w:tc>
          <w:tcPr>
            <w:tcW w:w="3003" w:type="dxa"/>
            <w:tcBorders>
              <w:top w:val="nil"/>
              <w:left w:val="nil"/>
              <w:bottom w:val="nil"/>
              <w:right w:val="nil"/>
            </w:tcBorders>
            <w:shd w:val="clear" w:color="auto" w:fill="auto"/>
            <w:noWrap/>
            <w:vAlign w:val="center"/>
            <w:hideMark/>
          </w:tcPr>
          <w:p w14:paraId="1136192B"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p>
        </w:tc>
      </w:tr>
      <w:tr w:rsidR="003E4DC7" w:rsidRPr="003E4DC7" w14:paraId="68FA6477" w14:textId="77777777" w:rsidTr="009E0C81">
        <w:trPr>
          <w:trHeight w:val="262"/>
        </w:trPr>
        <w:tc>
          <w:tcPr>
            <w:tcW w:w="6379" w:type="dxa"/>
            <w:tcBorders>
              <w:top w:val="nil"/>
              <w:left w:val="nil"/>
              <w:bottom w:val="nil"/>
              <w:right w:val="nil"/>
            </w:tcBorders>
            <w:shd w:val="clear" w:color="auto" w:fill="auto"/>
            <w:noWrap/>
            <w:vAlign w:val="center"/>
            <w:hideMark/>
          </w:tcPr>
          <w:p w14:paraId="635AA3C9"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Acute rheumatic fever</w:t>
            </w:r>
          </w:p>
        </w:tc>
        <w:tc>
          <w:tcPr>
            <w:tcW w:w="3003" w:type="dxa"/>
            <w:tcBorders>
              <w:top w:val="nil"/>
              <w:left w:val="nil"/>
              <w:bottom w:val="nil"/>
              <w:right w:val="nil"/>
            </w:tcBorders>
            <w:shd w:val="clear" w:color="auto" w:fill="auto"/>
            <w:noWrap/>
            <w:vAlign w:val="center"/>
            <w:hideMark/>
          </w:tcPr>
          <w:p w14:paraId="274A5061"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I00-I02</w:t>
            </w:r>
          </w:p>
        </w:tc>
      </w:tr>
      <w:tr w:rsidR="003E4DC7" w:rsidRPr="003E4DC7" w14:paraId="53540373" w14:textId="77777777" w:rsidTr="009E0C81">
        <w:trPr>
          <w:trHeight w:val="262"/>
        </w:trPr>
        <w:tc>
          <w:tcPr>
            <w:tcW w:w="6379" w:type="dxa"/>
            <w:tcBorders>
              <w:top w:val="nil"/>
              <w:left w:val="nil"/>
              <w:bottom w:val="nil"/>
              <w:right w:val="nil"/>
            </w:tcBorders>
            <w:shd w:val="clear" w:color="auto" w:fill="auto"/>
            <w:noWrap/>
            <w:vAlign w:val="center"/>
            <w:hideMark/>
          </w:tcPr>
          <w:p w14:paraId="68ED1127"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Essential (primary) hypertension</w:t>
            </w:r>
          </w:p>
        </w:tc>
        <w:tc>
          <w:tcPr>
            <w:tcW w:w="3003" w:type="dxa"/>
            <w:tcBorders>
              <w:top w:val="nil"/>
              <w:left w:val="nil"/>
              <w:bottom w:val="nil"/>
              <w:right w:val="nil"/>
            </w:tcBorders>
            <w:shd w:val="clear" w:color="auto" w:fill="auto"/>
            <w:noWrap/>
            <w:vAlign w:val="center"/>
            <w:hideMark/>
          </w:tcPr>
          <w:p w14:paraId="69B802E5"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I10</w:t>
            </w:r>
          </w:p>
        </w:tc>
      </w:tr>
      <w:tr w:rsidR="003E4DC7" w:rsidRPr="003E4DC7" w14:paraId="625E2714" w14:textId="77777777" w:rsidTr="009E0C81">
        <w:trPr>
          <w:trHeight w:val="262"/>
        </w:trPr>
        <w:tc>
          <w:tcPr>
            <w:tcW w:w="6379" w:type="dxa"/>
            <w:tcBorders>
              <w:top w:val="nil"/>
              <w:left w:val="nil"/>
              <w:bottom w:val="nil"/>
              <w:right w:val="nil"/>
            </w:tcBorders>
            <w:shd w:val="clear" w:color="auto" w:fill="auto"/>
            <w:noWrap/>
            <w:vAlign w:val="center"/>
            <w:hideMark/>
          </w:tcPr>
          <w:p w14:paraId="59154112"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Angina pectoris</w:t>
            </w:r>
          </w:p>
        </w:tc>
        <w:tc>
          <w:tcPr>
            <w:tcW w:w="3003" w:type="dxa"/>
            <w:tcBorders>
              <w:top w:val="nil"/>
              <w:left w:val="nil"/>
              <w:bottom w:val="nil"/>
              <w:right w:val="nil"/>
            </w:tcBorders>
            <w:shd w:val="clear" w:color="auto" w:fill="auto"/>
            <w:noWrap/>
            <w:vAlign w:val="center"/>
            <w:hideMark/>
          </w:tcPr>
          <w:p w14:paraId="1F6E37C4"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I20</w:t>
            </w:r>
          </w:p>
        </w:tc>
      </w:tr>
      <w:tr w:rsidR="003E4DC7" w:rsidRPr="003E4DC7" w14:paraId="092BA4BD" w14:textId="77777777" w:rsidTr="009E0C81">
        <w:trPr>
          <w:trHeight w:val="262"/>
        </w:trPr>
        <w:tc>
          <w:tcPr>
            <w:tcW w:w="6379" w:type="dxa"/>
            <w:tcBorders>
              <w:top w:val="nil"/>
              <w:left w:val="nil"/>
              <w:bottom w:val="nil"/>
              <w:right w:val="nil"/>
            </w:tcBorders>
            <w:shd w:val="clear" w:color="auto" w:fill="auto"/>
            <w:noWrap/>
            <w:vAlign w:val="center"/>
            <w:hideMark/>
          </w:tcPr>
          <w:p w14:paraId="510E120A"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Acute myocardial infarction</w:t>
            </w:r>
          </w:p>
        </w:tc>
        <w:tc>
          <w:tcPr>
            <w:tcW w:w="3003" w:type="dxa"/>
            <w:tcBorders>
              <w:top w:val="nil"/>
              <w:left w:val="nil"/>
              <w:bottom w:val="nil"/>
              <w:right w:val="nil"/>
            </w:tcBorders>
            <w:shd w:val="clear" w:color="auto" w:fill="auto"/>
            <w:noWrap/>
            <w:vAlign w:val="center"/>
            <w:hideMark/>
          </w:tcPr>
          <w:p w14:paraId="23D6F96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I21</w:t>
            </w:r>
          </w:p>
        </w:tc>
      </w:tr>
      <w:tr w:rsidR="003E4DC7" w:rsidRPr="003E4DC7" w14:paraId="72003299" w14:textId="77777777" w:rsidTr="009E0C81">
        <w:trPr>
          <w:trHeight w:val="262"/>
        </w:trPr>
        <w:tc>
          <w:tcPr>
            <w:tcW w:w="6379" w:type="dxa"/>
            <w:tcBorders>
              <w:top w:val="nil"/>
              <w:left w:val="nil"/>
              <w:bottom w:val="nil"/>
              <w:right w:val="nil"/>
            </w:tcBorders>
            <w:shd w:val="clear" w:color="auto" w:fill="auto"/>
            <w:noWrap/>
            <w:vAlign w:val="center"/>
            <w:hideMark/>
          </w:tcPr>
          <w:p w14:paraId="6A5BADD7"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Subsequent myocardial infarction</w:t>
            </w:r>
          </w:p>
        </w:tc>
        <w:tc>
          <w:tcPr>
            <w:tcW w:w="3003" w:type="dxa"/>
            <w:tcBorders>
              <w:top w:val="nil"/>
              <w:left w:val="nil"/>
              <w:bottom w:val="nil"/>
              <w:right w:val="nil"/>
            </w:tcBorders>
            <w:shd w:val="clear" w:color="auto" w:fill="auto"/>
            <w:noWrap/>
            <w:vAlign w:val="center"/>
            <w:hideMark/>
          </w:tcPr>
          <w:p w14:paraId="5A29005F"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I22</w:t>
            </w:r>
          </w:p>
        </w:tc>
      </w:tr>
      <w:tr w:rsidR="003E4DC7" w:rsidRPr="003E4DC7" w14:paraId="2136F7AC" w14:textId="77777777" w:rsidTr="009E0C81">
        <w:trPr>
          <w:trHeight w:val="262"/>
        </w:trPr>
        <w:tc>
          <w:tcPr>
            <w:tcW w:w="6379" w:type="dxa"/>
            <w:tcBorders>
              <w:top w:val="nil"/>
              <w:left w:val="nil"/>
              <w:bottom w:val="nil"/>
              <w:right w:val="nil"/>
            </w:tcBorders>
            <w:shd w:val="clear" w:color="auto" w:fill="auto"/>
            <w:noWrap/>
            <w:vAlign w:val="center"/>
            <w:hideMark/>
          </w:tcPr>
          <w:p w14:paraId="0CA1FB9D"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Complications following acute myocardial infarction</w:t>
            </w:r>
          </w:p>
        </w:tc>
        <w:tc>
          <w:tcPr>
            <w:tcW w:w="3003" w:type="dxa"/>
            <w:tcBorders>
              <w:top w:val="nil"/>
              <w:left w:val="nil"/>
              <w:bottom w:val="nil"/>
              <w:right w:val="nil"/>
            </w:tcBorders>
            <w:shd w:val="clear" w:color="auto" w:fill="auto"/>
            <w:noWrap/>
            <w:vAlign w:val="center"/>
            <w:hideMark/>
          </w:tcPr>
          <w:p w14:paraId="3D3E7C65"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I23</w:t>
            </w:r>
          </w:p>
        </w:tc>
      </w:tr>
      <w:tr w:rsidR="003E4DC7" w:rsidRPr="003E4DC7" w14:paraId="7CF028A1" w14:textId="77777777" w:rsidTr="009E0C81">
        <w:trPr>
          <w:trHeight w:val="262"/>
        </w:trPr>
        <w:tc>
          <w:tcPr>
            <w:tcW w:w="6379" w:type="dxa"/>
            <w:tcBorders>
              <w:top w:val="nil"/>
              <w:left w:val="nil"/>
              <w:bottom w:val="nil"/>
              <w:right w:val="nil"/>
            </w:tcBorders>
            <w:shd w:val="clear" w:color="auto" w:fill="auto"/>
            <w:noWrap/>
            <w:vAlign w:val="center"/>
            <w:hideMark/>
          </w:tcPr>
          <w:p w14:paraId="54C8582D"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Other acute ischaemic heart diseases</w:t>
            </w:r>
          </w:p>
        </w:tc>
        <w:tc>
          <w:tcPr>
            <w:tcW w:w="3003" w:type="dxa"/>
            <w:tcBorders>
              <w:top w:val="nil"/>
              <w:left w:val="nil"/>
              <w:bottom w:val="nil"/>
              <w:right w:val="nil"/>
            </w:tcBorders>
            <w:shd w:val="clear" w:color="auto" w:fill="auto"/>
            <w:noWrap/>
            <w:vAlign w:val="center"/>
            <w:hideMark/>
          </w:tcPr>
          <w:p w14:paraId="24EB9642"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I24</w:t>
            </w:r>
          </w:p>
        </w:tc>
      </w:tr>
      <w:tr w:rsidR="003E4DC7" w:rsidRPr="003E4DC7" w14:paraId="42923A84" w14:textId="77777777" w:rsidTr="009E0C81">
        <w:trPr>
          <w:trHeight w:val="262"/>
        </w:trPr>
        <w:tc>
          <w:tcPr>
            <w:tcW w:w="6379" w:type="dxa"/>
            <w:tcBorders>
              <w:top w:val="nil"/>
              <w:left w:val="nil"/>
              <w:bottom w:val="nil"/>
              <w:right w:val="nil"/>
            </w:tcBorders>
            <w:shd w:val="clear" w:color="auto" w:fill="auto"/>
            <w:noWrap/>
            <w:vAlign w:val="center"/>
            <w:hideMark/>
          </w:tcPr>
          <w:p w14:paraId="2453B3B5"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Pulmonary embolism</w:t>
            </w:r>
          </w:p>
        </w:tc>
        <w:tc>
          <w:tcPr>
            <w:tcW w:w="3003" w:type="dxa"/>
            <w:tcBorders>
              <w:top w:val="nil"/>
              <w:left w:val="nil"/>
              <w:bottom w:val="nil"/>
              <w:right w:val="nil"/>
            </w:tcBorders>
            <w:shd w:val="clear" w:color="auto" w:fill="auto"/>
            <w:noWrap/>
            <w:vAlign w:val="center"/>
            <w:hideMark/>
          </w:tcPr>
          <w:p w14:paraId="3A21ED1D"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I26</w:t>
            </w:r>
          </w:p>
        </w:tc>
      </w:tr>
      <w:tr w:rsidR="003E4DC7" w:rsidRPr="003E4DC7" w14:paraId="27F936DB" w14:textId="77777777" w:rsidTr="009E0C81">
        <w:trPr>
          <w:trHeight w:val="262"/>
        </w:trPr>
        <w:tc>
          <w:tcPr>
            <w:tcW w:w="6379" w:type="dxa"/>
            <w:tcBorders>
              <w:top w:val="nil"/>
              <w:left w:val="nil"/>
              <w:bottom w:val="nil"/>
              <w:right w:val="nil"/>
            </w:tcBorders>
            <w:shd w:val="clear" w:color="auto" w:fill="auto"/>
            <w:noWrap/>
            <w:vAlign w:val="center"/>
            <w:hideMark/>
          </w:tcPr>
          <w:p w14:paraId="7EDBB0A4"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Acute pericarditis</w:t>
            </w:r>
          </w:p>
        </w:tc>
        <w:tc>
          <w:tcPr>
            <w:tcW w:w="3003" w:type="dxa"/>
            <w:tcBorders>
              <w:top w:val="nil"/>
              <w:left w:val="nil"/>
              <w:bottom w:val="nil"/>
              <w:right w:val="nil"/>
            </w:tcBorders>
            <w:shd w:val="clear" w:color="auto" w:fill="auto"/>
            <w:noWrap/>
            <w:vAlign w:val="center"/>
            <w:hideMark/>
          </w:tcPr>
          <w:p w14:paraId="4D1489D9"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I30</w:t>
            </w:r>
          </w:p>
        </w:tc>
      </w:tr>
      <w:tr w:rsidR="003E4DC7" w:rsidRPr="003E4DC7" w14:paraId="04FD81DF" w14:textId="77777777" w:rsidTr="009E0C81">
        <w:trPr>
          <w:trHeight w:val="262"/>
        </w:trPr>
        <w:tc>
          <w:tcPr>
            <w:tcW w:w="6379" w:type="dxa"/>
            <w:tcBorders>
              <w:top w:val="nil"/>
              <w:left w:val="nil"/>
              <w:bottom w:val="nil"/>
              <w:right w:val="nil"/>
            </w:tcBorders>
            <w:shd w:val="clear" w:color="auto" w:fill="auto"/>
            <w:noWrap/>
            <w:vAlign w:val="center"/>
            <w:hideMark/>
          </w:tcPr>
          <w:p w14:paraId="1EBA2E0D"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Acute and subacute endocarditis</w:t>
            </w:r>
          </w:p>
        </w:tc>
        <w:tc>
          <w:tcPr>
            <w:tcW w:w="3003" w:type="dxa"/>
            <w:tcBorders>
              <w:top w:val="nil"/>
              <w:left w:val="nil"/>
              <w:bottom w:val="nil"/>
              <w:right w:val="nil"/>
            </w:tcBorders>
            <w:shd w:val="clear" w:color="auto" w:fill="auto"/>
            <w:noWrap/>
            <w:vAlign w:val="center"/>
            <w:hideMark/>
          </w:tcPr>
          <w:p w14:paraId="67856EE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I33</w:t>
            </w:r>
          </w:p>
        </w:tc>
      </w:tr>
      <w:tr w:rsidR="003E4DC7" w:rsidRPr="003E4DC7" w14:paraId="2D3F6B96" w14:textId="77777777" w:rsidTr="009E0C81">
        <w:trPr>
          <w:trHeight w:val="262"/>
        </w:trPr>
        <w:tc>
          <w:tcPr>
            <w:tcW w:w="6379" w:type="dxa"/>
            <w:tcBorders>
              <w:top w:val="nil"/>
              <w:left w:val="nil"/>
              <w:bottom w:val="nil"/>
              <w:right w:val="nil"/>
            </w:tcBorders>
            <w:shd w:val="clear" w:color="auto" w:fill="auto"/>
            <w:noWrap/>
            <w:vAlign w:val="center"/>
            <w:hideMark/>
          </w:tcPr>
          <w:p w14:paraId="0C6C0096"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Cardiac arrest</w:t>
            </w:r>
          </w:p>
        </w:tc>
        <w:tc>
          <w:tcPr>
            <w:tcW w:w="3003" w:type="dxa"/>
            <w:tcBorders>
              <w:top w:val="nil"/>
              <w:left w:val="nil"/>
              <w:bottom w:val="nil"/>
              <w:right w:val="nil"/>
            </w:tcBorders>
            <w:shd w:val="clear" w:color="auto" w:fill="auto"/>
            <w:noWrap/>
            <w:vAlign w:val="center"/>
            <w:hideMark/>
          </w:tcPr>
          <w:p w14:paraId="265F334A"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I46</w:t>
            </w:r>
          </w:p>
        </w:tc>
      </w:tr>
      <w:tr w:rsidR="003E4DC7" w:rsidRPr="003E4DC7" w14:paraId="11235972" w14:textId="77777777" w:rsidTr="009E0C81">
        <w:trPr>
          <w:trHeight w:val="262"/>
        </w:trPr>
        <w:tc>
          <w:tcPr>
            <w:tcW w:w="6379" w:type="dxa"/>
            <w:tcBorders>
              <w:top w:val="nil"/>
              <w:left w:val="nil"/>
              <w:bottom w:val="nil"/>
              <w:right w:val="nil"/>
            </w:tcBorders>
            <w:shd w:val="clear" w:color="auto" w:fill="auto"/>
            <w:noWrap/>
            <w:vAlign w:val="center"/>
            <w:hideMark/>
          </w:tcPr>
          <w:p w14:paraId="750F1AD4"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Atrial fibrillation and flutter</w:t>
            </w:r>
          </w:p>
        </w:tc>
        <w:tc>
          <w:tcPr>
            <w:tcW w:w="3003" w:type="dxa"/>
            <w:tcBorders>
              <w:top w:val="nil"/>
              <w:left w:val="nil"/>
              <w:bottom w:val="nil"/>
              <w:right w:val="nil"/>
            </w:tcBorders>
            <w:shd w:val="clear" w:color="auto" w:fill="auto"/>
            <w:noWrap/>
            <w:vAlign w:val="center"/>
            <w:hideMark/>
          </w:tcPr>
          <w:p w14:paraId="5F851FD7"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I48</w:t>
            </w:r>
          </w:p>
        </w:tc>
      </w:tr>
      <w:tr w:rsidR="003E4DC7" w:rsidRPr="003E4DC7" w14:paraId="6793C07E" w14:textId="77777777" w:rsidTr="009E0C81">
        <w:trPr>
          <w:trHeight w:val="262"/>
        </w:trPr>
        <w:tc>
          <w:tcPr>
            <w:tcW w:w="6379" w:type="dxa"/>
            <w:tcBorders>
              <w:top w:val="nil"/>
              <w:left w:val="nil"/>
              <w:bottom w:val="nil"/>
              <w:right w:val="nil"/>
            </w:tcBorders>
            <w:shd w:val="clear" w:color="auto" w:fill="auto"/>
            <w:noWrap/>
            <w:vAlign w:val="center"/>
            <w:hideMark/>
          </w:tcPr>
          <w:p w14:paraId="142B11D4"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Other cardiac arrhythmias</w:t>
            </w:r>
          </w:p>
        </w:tc>
        <w:tc>
          <w:tcPr>
            <w:tcW w:w="3003" w:type="dxa"/>
            <w:tcBorders>
              <w:top w:val="nil"/>
              <w:left w:val="nil"/>
              <w:bottom w:val="nil"/>
              <w:right w:val="nil"/>
            </w:tcBorders>
            <w:shd w:val="clear" w:color="auto" w:fill="auto"/>
            <w:noWrap/>
            <w:vAlign w:val="center"/>
            <w:hideMark/>
          </w:tcPr>
          <w:p w14:paraId="5357BA52"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I49</w:t>
            </w:r>
          </w:p>
        </w:tc>
      </w:tr>
      <w:tr w:rsidR="003E4DC7" w:rsidRPr="003E4DC7" w14:paraId="5FE1FD25" w14:textId="77777777" w:rsidTr="009E0C81">
        <w:trPr>
          <w:trHeight w:val="262"/>
        </w:trPr>
        <w:tc>
          <w:tcPr>
            <w:tcW w:w="6379" w:type="dxa"/>
            <w:tcBorders>
              <w:top w:val="nil"/>
              <w:left w:val="nil"/>
              <w:bottom w:val="nil"/>
              <w:right w:val="nil"/>
            </w:tcBorders>
            <w:shd w:val="clear" w:color="auto" w:fill="auto"/>
            <w:noWrap/>
            <w:vAlign w:val="center"/>
            <w:hideMark/>
          </w:tcPr>
          <w:p w14:paraId="2A4C8069"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Haemorrhage</w:t>
            </w:r>
          </w:p>
        </w:tc>
        <w:tc>
          <w:tcPr>
            <w:tcW w:w="3003" w:type="dxa"/>
            <w:tcBorders>
              <w:top w:val="nil"/>
              <w:left w:val="nil"/>
              <w:bottom w:val="nil"/>
              <w:right w:val="nil"/>
            </w:tcBorders>
            <w:shd w:val="clear" w:color="auto" w:fill="auto"/>
            <w:noWrap/>
            <w:vAlign w:val="center"/>
            <w:hideMark/>
          </w:tcPr>
          <w:p w14:paraId="53E6FF6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I60-I62</w:t>
            </w:r>
          </w:p>
        </w:tc>
      </w:tr>
      <w:tr w:rsidR="003E4DC7" w:rsidRPr="003E4DC7" w14:paraId="2C386B71" w14:textId="77777777" w:rsidTr="009E0C81">
        <w:trPr>
          <w:trHeight w:val="262"/>
        </w:trPr>
        <w:tc>
          <w:tcPr>
            <w:tcW w:w="6379" w:type="dxa"/>
            <w:tcBorders>
              <w:top w:val="nil"/>
              <w:left w:val="nil"/>
              <w:bottom w:val="nil"/>
              <w:right w:val="nil"/>
            </w:tcBorders>
            <w:shd w:val="clear" w:color="auto" w:fill="auto"/>
            <w:noWrap/>
            <w:vAlign w:val="center"/>
            <w:hideMark/>
          </w:tcPr>
          <w:p w14:paraId="7BB95AA4"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Infarction</w:t>
            </w:r>
          </w:p>
        </w:tc>
        <w:tc>
          <w:tcPr>
            <w:tcW w:w="3003" w:type="dxa"/>
            <w:tcBorders>
              <w:top w:val="nil"/>
              <w:left w:val="nil"/>
              <w:bottom w:val="nil"/>
              <w:right w:val="nil"/>
            </w:tcBorders>
            <w:shd w:val="clear" w:color="auto" w:fill="auto"/>
            <w:noWrap/>
            <w:vAlign w:val="center"/>
            <w:hideMark/>
          </w:tcPr>
          <w:p w14:paraId="10D73C7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I63</w:t>
            </w:r>
          </w:p>
        </w:tc>
      </w:tr>
      <w:tr w:rsidR="003E4DC7" w:rsidRPr="003E4DC7" w14:paraId="278BBD6E" w14:textId="77777777" w:rsidTr="009E0C81">
        <w:trPr>
          <w:trHeight w:val="262"/>
        </w:trPr>
        <w:tc>
          <w:tcPr>
            <w:tcW w:w="6379" w:type="dxa"/>
            <w:tcBorders>
              <w:top w:val="nil"/>
              <w:left w:val="nil"/>
              <w:bottom w:val="nil"/>
              <w:right w:val="nil"/>
            </w:tcBorders>
            <w:shd w:val="clear" w:color="auto" w:fill="auto"/>
            <w:noWrap/>
            <w:vAlign w:val="center"/>
            <w:hideMark/>
          </w:tcPr>
          <w:p w14:paraId="0B7E9456"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Stroke</w:t>
            </w:r>
          </w:p>
        </w:tc>
        <w:tc>
          <w:tcPr>
            <w:tcW w:w="3003" w:type="dxa"/>
            <w:tcBorders>
              <w:top w:val="nil"/>
              <w:left w:val="nil"/>
              <w:bottom w:val="nil"/>
              <w:right w:val="nil"/>
            </w:tcBorders>
            <w:shd w:val="clear" w:color="auto" w:fill="auto"/>
            <w:noWrap/>
            <w:vAlign w:val="center"/>
            <w:hideMark/>
          </w:tcPr>
          <w:p w14:paraId="120D6942"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I64</w:t>
            </w:r>
          </w:p>
        </w:tc>
      </w:tr>
      <w:tr w:rsidR="003E4DC7" w:rsidRPr="003E4DC7" w14:paraId="359E9C81" w14:textId="77777777" w:rsidTr="009E0C81">
        <w:trPr>
          <w:trHeight w:val="262"/>
        </w:trPr>
        <w:tc>
          <w:tcPr>
            <w:tcW w:w="6379" w:type="dxa"/>
            <w:tcBorders>
              <w:top w:val="nil"/>
              <w:left w:val="nil"/>
              <w:bottom w:val="nil"/>
              <w:right w:val="nil"/>
            </w:tcBorders>
            <w:shd w:val="clear" w:color="auto" w:fill="auto"/>
            <w:noWrap/>
            <w:vAlign w:val="center"/>
            <w:hideMark/>
          </w:tcPr>
          <w:p w14:paraId="36EEDE22"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Aortic aneurysm and dissection</w:t>
            </w:r>
          </w:p>
        </w:tc>
        <w:tc>
          <w:tcPr>
            <w:tcW w:w="3003" w:type="dxa"/>
            <w:tcBorders>
              <w:top w:val="nil"/>
              <w:left w:val="nil"/>
              <w:bottom w:val="nil"/>
              <w:right w:val="nil"/>
            </w:tcBorders>
            <w:shd w:val="clear" w:color="auto" w:fill="auto"/>
            <w:noWrap/>
            <w:vAlign w:val="center"/>
            <w:hideMark/>
          </w:tcPr>
          <w:p w14:paraId="04CC8889"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I71</w:t>
            </w:r>
          </w:p>
        </w:tc>
      </w:tr>
      <w:tr w:rsidR="003E4DC7" w:rsidRPr="003E4DC7" w14:paraId="29E87195" w14:textId="77777777" w:rsidTr="009E0C81">
        <w:trPr>
          <w:trHeight w:val="262"/>
        </w:trPr>
        <w:tc>
          <w:tcPr>
            <w:tcW w:w="6379" w:type="dxa"/>
            <w:tcBorders>
              <w:top w:val="nil"/>
              <w:left w:val="nil"/>
              <w:bottom w:val="nil"/>
              <w:right w:val="nil"/>
            </w:tcBorders>
            <w:shd w:val="clear" w:color="auto" w:fill="auto"/>
            <w:noWrap/>
            <w:vAlign w:val="center"/>
            <w:hideMark/>
          </w:tcPr>
          <w:p w14:paraId="20E6C533"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Respiratory system disease</w:t>
            </w:r>
          </w:p>
        </w:tc>
        <w:tc>
          <w:tcPr>
            <w:tcW w:w="3003" w:type="dxa"/>
            <w:tcBorders>
              <w:top w:val="nil"/>
              <w:left w:val="nil"/>
              <w:bottom w:val="nil"/>
              <w:right w:val="nil"/>
            </w:tcBorders>
            <w:shd w:val="clear" w:color="auto" w:fill="auto"/>
            <w:noWrap/>
            <w:vAlign w:val="center"/>
            <w:hideMark/>
          </w:tcPr>
          <w:p w14:paraId="5028022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p>
        </w:tc>
      </w:tr>
      <w:tr w:rsidR="003E4DC7" w:rsidRPr="003E4DC7" w14:paraId="0B639B80" w14:textId="77777777" w:rsidTr="009E0C81">
        <w:trPr>
          <w:trHeight w:val="262"/>
        </w:trPr>
        <w:tc>
          <w:tcPr>
            <w:tcW w:w="6379" w:type="dxa"/>
            <w:tcBorders>
              <w:top w:val="nil"/>
              <w:left w:val="nil"/>
              <w:bottom w:val="nil"/>
              <w:right w:val="nil"/>
            </w:tcBorders>
            <w:shd w:val="clear" w:color="auto" w:fill="auto"/>
            <w:noWrap/>
            <w:vAlign w:val="center"/>
            <w:hideMark/>
          </w:tcPr>
          <w:p w14:paraId="555A36EC"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Acute upper respiratory infections</w:t>
            </w:r>
          </w:p>
        </w:tc>
        <w:tc>
          <w:tcPr>
            <w:tcW w:w="3003" w:type="dxa"/>
            <w:tcBorders>
              <w:top w:val="nil"/>
              <w:left w:val="nil"/>
              <w:bottom w:val="nil"/>
              <w:right w:val="nil"/>
            </w:tcBorders>
            <w:shd w:val="clear" w:color="auto" w:fill="auto"/>
            <w:noWrap/>
            <w:vAlign w:val="center"/>
            <w:hideMark/>
          </w:tcPr>
          <w:p w14:paraId="00F9D4C1"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J00-J06</w:t>
            </w:r>
          </w:p>
        </w:tc>
      </w:tr>
      <w:tr w:rsidR="003E4DC7" w:rsidRPr="003E4DC7" w14:paraId="6DE9CBCC" w14:textId="77777777" w:rsidTr="009E0C81">
        <w:trPr>
          <w:trHeight w:val="262"/>
        </w:trPr>
        <w:tc>
          <w:tcPr>
            <w:tcW w:w="6379" w:type="dxa"/>
            <w:tcBorders>
              <w:top w:val="nil"/>
              <w:left w:val="nil"/>
              <w:bottom w:val="nil"/>
              <w:right w:val="nil"/>
            </w:tcBorders>
            <w:shd w:val="clear" w:color="auto" w:fill="auto"/>
            <w:noWrap/>
            <w:vAlign w:val="center"/>
            <w:hideMark/>
          </w:tcPr>
          <w:p w14:paraId="07513780"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Influenza and pneumonia</w:t>
            </w:r>
          </w:p>
        </w:tc>
        <w:tc>
          <w:tcPr>
            <w:tcW w:w="3003" w:type="dxa"/>
            <w:tcBorders>
              <w:top w:val="nil"/>
              <w:left w:val="nil"/>
              <w:bottom w:val="nil"/>
              <w:right w:val="nil"/>
            </w:tcBorders>
            <w:shd w:val="clear" w:color="auto" w:fill="auto"/>
            <w:noWrap/>
            <w:vAlign w:val="center"/>
            <w:hideMark/>
          </w:tcPr>
          <w:p w14:paraId="51CAD8B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J09-J18</w:t>
            </w:r>
          </w:p>
        </w:tc>
      </w:tr>
      <w:tr w:rsidR="003E4DC7" w:rsidRPr="003E4DC7" w14:paraId="64788F81" w14:textId="77777777" w:rsidTr="009E0C81">
        <w:trPr>
          <w:trHeight w:val="262"/>
        </w:trPr>
        <w:tc>
          <w:tcPr>
            <w:tcW w:w="6379" w:type="dxa"/>
            <w:tcBorders>
              <w:top w:val="nil"/>
              <w:left w:val="nil"/>
              <w:bottom w:val="nil"/>
              <w:right w:val="nil"/>
            </w:tcBorders>
            <w:shd w:val="clear" w:color="auto" w:fill="auto"/>
            <w:noWrap/>
            <w:vAlign w:val="center"/>
            <w:hideMark/>
          </w:tcPr>
          <w:p w14:paraId="3D3C404E"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Other acute lower respiratory infections</w:t>
            </w:r>
          </w:p>
        </w:tc>
        <w:tc>
          <w:tcPr>
            <w:tcW w:w="3003" w:type="dxa"/>
            <w:tcBorders>
              <w:top w:val="nil"/>
              <w:left w:val="nil"/>
              <w:bottom w:val="nil"/>
              <w:right w:val="nil"/>
            </w:tcBorders>
            <w:shd w:val="clear" w:color="auto" w:fill="auto"/>
            <w:noWrap/>
            <w:vAlign w:val="center"/>
            <w:hideMark/>
          </w:tcPr>
          <w:p w14:paraId="4B7BB917"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J20-J22</w:t>
            </w:r>
          </w:p>
        </w:tc>
      </w:tr>
      <w:tr w:rsidR="003E4DC7" w:rsidRPr="003E4DC7" w14:paraId="3B9CA84F" w14:textId="77777777" w:rsidTr="009E0C81">
        <w:trPr>
          <w:trHeight w:val="262"/>
        </w:trPr>
        <w:tc>
          <w:tcPr>
            <w:tcW w:w="6379" w:type="dxa"/>
            <w:tcBorders>
              <w:top w:val="nil"/>
              <w:left w:val="nil"/>
              <w:bottom w:val="nil"/>
              <w:right w:val="nil"/>
            </w:tcBorders>
            <w:shd w:val="clear" w:color="auto" w:fill="auto"/>
            <w:noWrap/>
            <w:vAlign w:val="center"/>
            <w:hideMark/>
          </w:tcPr>
          <w:p w14:paraId="00263424"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Other diseases of upper respiratory tract</w:t>
            </w:r>
          </w:p>
        </w:tc>
        <w:tc>
          <w:tcPr>
            <w:tcW w:w="3003" w:type="dxa"/>
            <w:tcBorders>
              <w:top w:val="nil"/>
              <w:left w:val="nil"/>
              <w:bottom w:val="nil"/>
              <w:right w:val="nil"/>
            </w:tcBorders>
            <w:shd w:val="clear" w:color="auto" w:fill="auto"/>
            <w:noWrap/>
            <w:vAlign w:val="center"/>
            <w:hideMark/>
          </w:tcPr>
          <w:p w14:paraId="54AAE83F"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J30-J39</w:t>
            </w:r>
          </w:p>
        </w:tc>
      </w:tr>
      <w:tr w:rsidR="003E4DC7" w:rsidRPr="003E4DC7" w14:paraId="64D50EA3" w14:textId="77777777" w:rsidTr="009E0C81">
        <w:trPr>
          <w:trHeight w:val="262"/>
        </w:trPr>
        <w:tc>
          <w:tcPr>
            <w:tcW w:w="6379" w:type="dxa"/>
            <w:tcBorders>
              <w:top w:val="nil"/>
              <w:left w:val="nil"/>
              <w:bottom w:val="nil"/>
              <w:right w:val="nil"/>
            </w:tcBorders>
            <w:shd w:val="clear" w:color="auto" w:fill="auto"/>
            <w:noWrap/>
            <w:vAlign w:val="center"/>
            <w:hideMark/>
          </w:tcPr>
          <w:p w14:paraId="03F1A463"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Digestive system disease</w:t>
            </w:r>
          </w:p>
        </w:tc>
        <w:tc>
          <w:tcPr>
            <w:tcW w:w="3003" w:type="dxa"/>
            <w:tcBorders>
              <w:top w:val="nil"/>
              <w:left w:val="nil"/>
              <w:bottom w:val="nil"/>
              <w:right w:val="nil"/>
            </w:tcBorders>
            <w:shd w:val="clear" w:color="auto" w:fill="auto"/>
            <w:vAlign w:val="center"/>
            <w:hideMark/>
          </w:tcPr>
          <w:p w14:paraId="683C1A97"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p>
        </w:tc>
      </w:tr>
      <w:tr w:rsidR="003E4DC7" w:rsidRPr="003E4DC7" w14:paraId="6C00D6ED" w14:textId="77777777" w:rsidTr="009E0C81">
        <w:trPr>
          <w:trHeight w:val="262"/>
        </w:trPr>
        <w:tc>
          <w:tcPr>
            <w:tcW w:w="6379" w:type="dxa"/>
            <w:tcBorders>
              <w:top w:val="nil"/>
              <w:left w:val="nil"/>
              <w:bottom w:val="nil"/>
              <w:right w:val="nil"/>
            </w:tcBorders>
            <w:shd w:val="clear" w:color="auto" w:fill="auto"/>
            <w:noWrap/>
            <w:vAlign w:val="center"/>
            <w:hideMark/>
          </w:tcPr>
          <w:p w14:paraId="5C9F5FC0"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Ulcer</w:t>
            </w:r>
          </w:p>
        </w:tc>
        <w:tc>
          <w:tcPr>
            <w:tcW w:w="3003" w:type="dxa"/>
            <w:tcBorders>
              <w:top w:val="nil"/>
              <w:left w:val="nil"/>
              <w:bottom w:val="nil"/>
              <w:right w:val="nil"/>
            </w:tcBorders>
            <w:shd w:val="clear" w:color="auto" w:fill="auto"/>
            <w:noWrap/>
            <w:vAlign w:val="center"/>
            <w:hideMark/>
          </w:tcPr>
          <w:p w14:paraId="69292F1A"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K25-K28 (fourth digit 0-3)</w:t>
            </w:r>
          </w:p>
        </w:tc>
      </w:tr>
      <w:tr w:rsidR="003E4DC7" w:rsidRPr="003E4DC7" w14:paraId="2120CBAD" w14:textId="77777777" w:rsidTr="009E0C81">
        <w:trPr>
          <w:trHeight w:val="262"/>
        </w:trPr>
        <w:tc>
          <w:tcPr>
            <w:tcW w:w="6379" w:type="dxa"/>
            <w:tcBorders>
              <w:top w:val="nil"/>
              <w:left w:val="nil"/>
              <w:bottom w:val="nil"/>
              <w:right w:val="nil"/>
            </w:tcBorders>
            <w:shd w:val="clear" w:color="auto" w:fill="auto"/>
            <w:noWrap/>
            <w:vAlign w:val="center"/>
            <w:hideMark/>
          </w:tcPr>
          <w:p w14:paraId="7742442C"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Gastritis and duodenitis</w:t>
            </w:r>
          </w:p>
        </w:tc>
        <w:tc>
          <w:tcPr>
            <w:tcW w:w="3003" w:type="dxa"/>
            <w:tcBorders>
              <w:top w:val="nil"/>
              <w:left w:val="nil"/>
              <w:bottom w:val="nil"/>
              <w:right w:val="nil"/>
            </w:tcBorders>
            <w:shd w:val="clear" w:color="auto" w:fill="auto"/>
            <w:noWrap/>
            <w:vAlign w:val="center"/>
            <w:hideMark/>
          </w:tcPr>
          <w:p w14:paraId="443E3269"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K29 (fourth digit 0-3)</w:t>
            </w:r>
          </w:p>
        </w:tc>
      </w:tr>
      <w:tr w:rsidR="003E4DC7" w:rsidRPr="003E4DC7" w14:paraId="2102BB28" w14:textId="77777777" w:rsidTr="009E0C81">
        <w:trPr>
          <w:trHeight w:val="262"/>
        </w:trPr>
        <w:tc>
          <w:tcPr>
            <w:tcW w:w="6379" w:type="dxa"/>
            <w:tcBorders>
              <w:top w:val="nil"/>
              <w:left w:val="nil"/>
              <w:bottom w:val="nil"/>
              <w:right w:val="nil"/>
            </w:tcBorders>
            <w:shd w:val="clear" w:color="auto" w:fill="auto"/>
            <w:noWrap/>
            <w:vAlign w:val="center"/>
            <w:hideMark/>
          </w:tcPr>
          <w:p w14:paraId="0232640C"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Appendicitis</w:t>
            </w:r>
          </w:p>
        </w:tc>
        <w:tc>
          <w:tcPr>
            <w:tcW w:w="3003" w:type="dxa"/>
            <w:tcBorders>
              <w:top w:val="nil"/>
              <w:left w:val="nil"/>
              <w:bottom w:val="nil"/>
              <w:right w:val="nil"/>
            </w:tcBorders>
            <w:shd w:val="clear" w:color="auto" w:fill="auto"/>
            <w:noWrap/>
            <w:vAlign w:val="center"/>
            <w:hideMark/>
          </w:tcPr>
          <w:p w14:paraId="6234DCAD"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K35-K37</w:t>
            </w:r>
          </w:p>
        </w:tc>
      </w:tr>
      <w:tr w:rsidR="003E4DC7" w:rsidRPr="003E4DC7" w14:paraId="51049C62" w14:textId="77777777" w:rsidTr="009E0C81">
        <w:trPr>
          <w:trHeight w:val="262"/>
        </w:trPr>
        <w:tc>
          <w:tcPr>
            <w:tcW w:w="6379" w:type="dxa"/>
            <w:tcBorders>
              <w:top w:val="nil"/>
              <w:left w:val="nil"/>
              <w:bottom w:val="nil"/>
              <w:right w:val="nil"/>
            </w:tcBorders>
            <w:shd w:val="clear" w:color="auto" w:fill="auto"/>
            <w:noWrap/>
            <w:vAlign w:val="center"/>
            <w:hideMark/>
          </w:tcPr>
          <w:p w14:paraId="00D2C401"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Alcoholic hepatic failure</w:t>
            </w:r>
          </w:p>
        </w:tc>
        <w:tc>
          <w:tcPr>
            <w:tcW w:w="3003" w:type="dxa"/>
            <w:tcBorders>
              <w:top w:val="nil"/>
              <w:left w:val="nil"/>
              <w:bottom w:val="nil"/>
              <w:right w:val="nil"/>
            </w:tcBorders>
            <w:shd w:val="clear" w:color="auto" w:fill="auto"/>
            <w:noWrap/>
            <w:vAlign w:val="center"/>
            <w:hideMark/>
          </w:tcPr>
          <w:p w14:paraId="30B5FF01"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K70.4</w:t>
            </w:r>
          </w:p>
        </w:tc>
      </w:tr>
      <w:tr w:rsidR="003E4DC7" w:rsidRPr="003E4DC7" w14:paraId="71BA7750" w14:textId="77777777" w:rsidTr="009E0C81">
        <w:trPr>
          <w:trHeight w:val="262"/>
        </w:trPr>
        <w:tc>
          <w:tcPr>
            <w:tcW w:w="6379" w:type="dxa"/>
            <w:tcBorders>
              <w:top w:val="nil"/>
              <w:left w:val="nil"/>
              <w:bottom w:val="nil"/>
              <w:right w:val="nil"/>
            </w:tcBorders>
            <w:shd w:val="clear" w:color="auto" w:fill="auto"/>
            <w:noWrap/>
            <w:vAlign w:val="center"/>
            <w:hideMark/>
          </w:tcPr>
          <w:p w14:paraId="38F04AD5"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Toxic liver disease</w:t>
            </w:r>
          </w:p>
        </w:tc>
        <w:tc>
          <w:tcPr>
            <w:tcW w:w="3003" w:type="dxa"/>
            <w:tcBorders>
              <w:top w:val="nil"/>
              <w:left w:val="nil"/>
              <w:bottom w:val="nil"/>
              <w:right w:val="nil"/>
            </w:tcBorders>
            <w:shd w:val="clear" w:color="auto" w:fill="auto"/>
            <w:noWrap/>
            <w:vAlign w:val="center"/>
            <w:hideMark/>
          </w:tcPr>
          <w:p w14:paraId="7573ACD6"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K71</w:t>
            </w:r>
          </w:p>
        </w:tc>
      </w:tr>
      <w:tr w:rsidR="003E4DC7" w:rsidRPr="003E4DC7" w14:paraId="2E6FBDDB" w14:textId="77777777" w:rsidTr="009E0C81">
        <w:trPr>
          <w:trHeight w:val="262"/>
        </w:trPr>
        <w:tc>
          <w:tcPr>
            <w:tcW w:w="6379" w:type="dxa"/>
            <w:tcBorders>
              <w:top w:val="nil"/>
              <w:left w:val="nil"/>
              <w:bottom w:val="nil"/>
              <w:right w:val="nil"/>
            </w:tcBorders>
            <w:shd w:val="clear" w:color="auto" w:fill="auto"/>
            <w:noWrap/>
            <w:vAlign w:val="center"/>
            <w:hideMark/>
          </w:tcPr>
          <w:p w14:paraId="198035B8"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Acute and subacute hepatic failure</w:t>
            </w:r>
          </w:p>
        </w:tc>
        <w:tc>
          <w:tcPr>
            <w:tcW w:w="3003" w:type="dxa"/>
            <w:tcBorders>
              <w:top w:val="nil"/>
              <w:left w:val="nil"/>
              <w:bottom w:val="nil"/>
              <w:right w:val="nil"/>
            </w:tcBorders>
            <w:shd w:val="clear" w:color="auto" w:fill="auto"/>
            <w:noWrap/>
            <w:vAlign w:val="center"/>
            <w:hideMark/>
          </w:tcPr>
          <w:p w14:paraId="66999ED8"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K72.0</w:t>
            </w:r>
          </w:p>
        </w:tc>
      </w:tr>
      <w:tr w:rsidR="003E4DC7" w:rsidRPr="003E4DC7" w14:paraId="0DA5F083" w14:textId="77777777" w:rsidTr="009E0C81">
        <w:trPr>
          <w:trHeight w:val="262"/>
        </w:trPr>
        <w:tc>
          <w:tcPr>
            <w:tcW w:w="6379" w:type="dxa"/>
            <w:tcBorders>
              <w:top w:val="nil"/>
              <w:left w:val="nil"/>
              <w:bottom w:val="nil"/>
              <w:right w:val="nil"/>
            </w:tcBorders>
            <w:shd w:val="clear" w:color="auto" w:fill="auto"/>
            <w:noWrap/>
            <w:vAlign w:val="center"/>
            <w:hideMark/>
          </w:tcPr>
          <w:p w14:paraId="0FD337E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Skin disease</w:t>
            </w:r>
          </w:p>
        </w:tc>
        <w:tc>
          <w:tcPr>
            <w:tcW w:w="3003" w:type="dxa"/>
            <w:tcBorders>
              <w:top w:val="nil"/>
              <w:left w:val="nil"/>
              <w:bottom w:val="nil"/>
              <w:right w:val="nil"/>
            </w:tcBorders>
            <w:shd w:val="clear" w:color="auto" w:fill="auto"/>
            <w:noWrap/>
            <w:vAlign w:val="center"/>
            <w:hideMark/>
          </w:tcPr>
          <w:p w14:paraId="35154FDF"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p>
        </w:tc>
      </w:tr>
      <w:tr w:rsidR="003E4DC7" w:rsidRPr="003E4DC7" w14:paraId="0184AEFE" w14:textId="77777777" w:rsidTr="009E0C81">
        <w:trPr>
          <w:trHeight w:val="262"/>
        </w:trPr>
        <w:tc>
          <w:tcPr>
            <w:tcW w:w="6379" w:type="dxa"/>
            <w:tcBorders>
              <w:top w:val="nil"/>
              <w:left w:val="nil"/>
              <w:bottom w:val="nil"/>
              <w:right w:val="nil"/>
            </w:tcBorders>
            <w:shd w:val="clear" w:color="auto" w:fill="auto"/>
            <w:noWrap/>
            <w:vAlign w:val="center"/>
            <w:hideMark/>
          </w:tcPr>
          <w:p w14:paraId="3208848B"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Infections of the skin</w:t>
            </w:r>
          </w:p>
        </w:tc>
        <w:tc>
          <w:tcPr>
            <w:tcW w:w="3003" w:type="dxa"/>
            <w:tcBorders>
              <w:top w:val="nil"/>
              <w:left w:val="nil"/>
              <w:bottom w:val="nil"/>
              <w:right w:val="nil"/>
            </w:tcBorders>
            <w:shd w:val="clear" w:color="auto" w:fill="auto"/>
            <w:noWrap/>
            <w:vAlign w:val="center"/>
            <w:hideMark/>
          </w:tcPr>
          <w:p w14:paraId="0BD18FC2"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L00-L08</w:t>
            </w:r>
          </w:p>
        </w:tc>
      </w:tr>
      <w:tr w:rsidR="003E4DC7" w:rsidRPr="003E4DC7" w14:paraId="38B9D8DD" w14:textId="77777777" w:rsidTr="009E0C81">
        <w:trPr>
          <w:trHeight w:val="262"/>
        </w:trPr>
        <w:tc>
          <w:tcPr>
            <w:tcW w:w="6379" w:type="dxa"/>
            <w:tcBorders>
              <w:top w:val="nil"/>
              <w:left w:val="nil"/>
              <w:bottom w:val="nil"/>
              <w:right w:val="nil"/>
            </w:tcBorders>
            <w:shd w:val="clear" w:color="auto" w:fill="auto"/>
            <w:noWrap/>
            <w:vAlign w:val="center"/>
            <w:hideMark/>
          </w:tcPr>
          <w:p w14:paraId="5A39EB83"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Dermatitis due to substances taken internally</w:t>
            </w:r>
          </w:p>
        </w:tc>
        <w:tc>
          <w:tcPr>
            <w:tcW w:w="3003" w:type="dxa"/>
            <w:tcBorders>
              <w:top w:val="nil"/>
              <w:left w:val="nil"/>
              <w:bottom w:val="nil"/>
              <w:right w:val="nil"/>
            </w:tcBorders>
            <w:shd w:val="clear" w:color="auto" w:fill="auto"/>
            <w:noWrap/>
            <w:vAlign w:val="center"/>
            <w:hideMark/>
          </w:tcPr>
          <w:p w14:paraId="7B0CE4FE"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L27</w:t>
            </w:r>
          </w:p>
        </w:tc>
      </w:tr>
      <w:tr w:rsidR="003E4DC7" w:rsidRPr="003E4DC7" w14:paraId="35A7728E" w14:textId="77777777" w:rsidTr="009E0C81">
        <w:trPr>
          <w:trHeight w:val="262"/>
        </w:trPr>
        <w:tc>
          <w:tcPr>
            <w:tcW w:w="6379" w:type="dxa"/>
            <w:tcBorders>
              <w:top w:val="nil"/>
              <w:left w:val="nil"/>
              <w:bottom w:val="nil"/>
              <w:right w:val="nil"/>
            </w:tcBorders>
            <w:shd w:val="clear" w:color="auto" w:fill="auto"/>
            <w:noWrap/>
            <w:vAlign w:val="center"/>
            <w:hideMark/>
          </w:tcPr>
          <w:p w14:paraId="4CC1620A"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Infectious arthropathies</w:t>
            </w:r>
          </w:p>
        </w:tc>
        <w:tc>
          <w:tcPr>
            <w:tcW w:w="3003" w:type="dxa"/>
            <w:tcBorders>
              <w:top w:val="nil"/>
              <w:left w:val="nil"/>
              <w:bottom w:val="nil"/>
              <w:right w:val="nil"/>
            </w:tcBorders>
            <w:shd w:val="clear" w:color="auto" w:fill="auto"/>
            <w:noWrap/>
            <w:vAlign w:val="center"/>
            <w:hideMark/>
          </w:tcPr>
          <w:p w14:paraId="31DAE59C"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M00-M03</w:t>
            </w:r>
          </w:p>
        </w:tc>
      </w:tr>
      <w:tr w:rsidR="003E4DC7" w:rsidRPr="003E4DC7" w14:paraId="256F204C" w14:textId="77777777" w:rsidTr="009E0C81">
        <w:trPr>
          <w:trHeight w:val="262"/>
        </w:trPr>
        <w:tc>
          <w:tcPr>
            <w:tcW w:w="6379" w:type="dxa"/>
            <w:tcBorders>
              <w:top w:val="nil"/>
              <w:left w:val="nil"/>
              <w:bottom w:val="nil"/>
              <w:right w:val="nil"/>
            </w:tcBorders>
            <w:shd w:val="clear" w:color="auto" w:fill="auto"/>
            <w:noWrap/>
            <w:vAlign w:val="center"/>
            <w:hideMark/>
          </w:tcPr>
          <w:p w14:paraId="73E2861A"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Genitourinary system disease</w:t>
            </w:r>
          </w:p>
        </w:tc>
        <w:tc>
          <w:tcPr>
            <w:tcW w:w="3003" w:type="dxa"/>
            <w:tcBorders>
              <w:top w:val="nil"/>
              <w:left w:val="nil"/>
              <w:bottom w:val="nil"/>
              <w:right w:val="nil"/>
            </w:tcBorders>
            <w:shd w:val="clear" w:color="auto" w:fill="auto"/>
            <w:noWrap/>
            <w:vAlign w:val="center"/>
            <w:hideMark/>
          </w:tcPr>
          <w:p w14:paraId="543F8F73"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p>
        </w:tc>
      </w:tr>
      <w:tr w:rsidR="003E4DC7" w:rsidRPr="003E4DC7" w14:paraId="6480D6C2" w14:textId="77777777" w:rsidTr="009E0C81">
        <w:trPr>
          <w:trHeight w:val="262"/>
        </w:trPr>
        <w:tc>
          <w:tcPr>
            <w:tcW w:w="6379" w:type="dxa"/>
            <w:tcBorders>
              <w:top w:val="nil"/>
              <w:left w:val="nil"/>
              <w:bottom w:val="nil"/>
              <w:right w:val="nil"/>
            </w:tcBorders>
            <w:shd w:val="clear" w:color="auto" w:fill="auto"/>
            <w:noWrap/>
            <w:vAlign w:val="center"/>
            <w:hideMark/>
          </w:tcPr>
          <w:p w14:paraId="3336BE34"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Acute tubulo-interstitial nephritis</w:t>
            </w:r>
          </w:p>
        </w:tc>
        <w:tc>
          <w:tcPr>
            <w:tcW w:w="3003" w:type="dxa"/>
            <w:tcBorders>
              <w:top w:val="nil"/>
              <w:left w:val="nil"/>
              <w:bottom w:val="nil"/>
              <w:right w:val="nil"/>
            </w:tcBorders>
            <w:shd w:val="clear" w:color="auto" w:fill="auto"/>
            <w:noWrap/>
            <w:vAlign w:val="center"/>
            <w:hideMark/>
          </w:tcPr>
          <w:p w14:paraId="562BAC61"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N10</w:t>
            </w:r>
          </w:p>
        </w:tc>
      </w:tr>
      <w:tr w:rsidR="003E4DC7" w:rsidRPr="003E4DC7" w14:paraId="5A5E707B" w14:textId="77777777" w:rsidTr="009E0C81">
        <w:trPr>
          <w:trHeight w:val="262"/>
        </w:trPr>
        <w:tc>
          <w:tcPr>
            <w:tcW w:w="6379" w:type="dxa"/>
            <w:tcBorders>
              <w:top w:val="nil"/>
              <w:left w:val="nil"/>
              <w:bottom w:val="nil"/>
              <w:right w:val="nil"/>
            </w:tcBorders>
            <w:shd w:val="clear" w:color="auto" w:fill="auto"/>
            <w:noWrap/>
            <w:vAlign w:val="center"/>
            <w:hideMark/>
          </w:tcPr>
          <w:p w14:paraId="3DBBC24B"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Calculus of kidney, ureter, and lower urinary tract</w:t>
            </w:r>
          </w:p>
        </w:tc>
        <w:tc>
          <w:tcPr>
            <w:tcW w:w="3003" w:type="dxa"/>
            <w:tcBorders>
              <w:top w:val="nil"/>
              <w:left w:val="nil"/>
              <w:bottom w:val="nil"/>
              <w:right w:val="nil"/>
            </w:tcBorders>
            <w:shd w:val="clear" w:color="auto" w:fill="auto"/>
            <w:noWrap/>
            <w:vAlign w:val="center"/>
            <w:hideMark/>
          </w:tcPr>
          <w:p w14:paraId="67198DB6"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N20-N21</w:t>
            </w:r>
          </w:p>
        </w:tc>
      </w:tr>
      <w:tr w:rsidR="003E4DC7" w:rsidRPr="003E4DC7" w14:paraId="290DC021" w14:textId="77777777" w:rsidTr="009E0C81">
        <w:trPr>
          <w:trHeight w:val="262"/>
        </w:trPr>
        <w:tc>
          <w:tcPr>
            <w:tcW w:w="6379" w:type="dxa"/>
            <w:tcBorders>
              <w:top w:val="nil"/>
              <w:left w:val="nil"/>
              <w:bottom w:val="nil"/>
              <w:right w:val="nil"/>
            </w:tcBorders>
            <w:shd w:val="clear" w:color="auto" w:fill="auto"/>
            <w:noWrap/>
            <w:vAlign w:val="center"/>
            <w:hideMark/>
          </w:tcPr>
          <w:p w14:paraId="740E1811"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Cystitis</w:t>
            </w:r>
          </w:p>
        </w:tc>
        <w:tc>
          <w:tcPr>
            <w:tcW w:w="3003" w:type="dxa"/>
            <w:tcBorders>
              <w:top w:val="nil"/>
              <w:left w:val="nil"/>
              <w:bottom w:val="nil"/>
              <w:right w:val="nil"/>
            </w:tcBorders>
            <w:shd w:val="clear" w:color="auto" w:fill="auto"/>
            <w:noWrap/>
            <w:vAlign w:val="center"/>
            <w:hideMark/>
          </w:tcPr>
          <w:p w14:paraId="5BBE27E7"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N30</w:t>
            </w:r>
          </w:p>
        </w:tc>
      </w:tr>
      <w:tr w:rsidR="003E4DC7" w:rsidRPr="003E4DC7" w14:paraId="1559C8E0" w14:textId="77777777" w:rsidTr="009E0C81">
        <w:trPr>
          <w:trHeight w:val="262"/>
        </w:trPr>
        <w:tc>
          <w:tcPr>
            <w:tcW w:w="6379" w:type="dxa"/>
            <w:tcBorders>
              <w:top w:val="nil"/>
              <w:left w:val="nil"/>
              <w:bottom w:val="nil"/>
              <w:right w:val="nil"/>
            </w:tcBorders>
            <w:shd w:val="clear" w:color="auto" w:fill="auto"/>
            <w:noWrap/>
            <w:vAlign w:val="center"/>
            <w:hideMark/>
          </w:tcPr>
          <w:p w14:paraId="0F908B75"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Cough, breathing abnormalities</w:t>
            </w:r>
          </w:p>
        </w:tc>
        <w:tc>
          <w:tcPr>
            <w:tcW w:w="3003" w:type="dxa"/>
            <w:tcBorders>
              <w:top w:val="nil"/>
              <w:left w:val="nil"/>
              <w:bottom w:val="nil"/>
              <w:right w:val="nil"/>
            </w:tcBorders>
            <w:shd w:val="clear" w:color="auto" w:fill="auto"/>
            <w:noWrap/>
            <w:vAlign w:val="center"/>
            <w:hideMark/>
          </w:tcPr>
          <w:p w14:paraId="3742B656"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R05-R06</w:t>
            </w:r>
          </w:p>
        </w:tc>
      </w:tr>
      <w:tr w:rsidR="003E4DC7" w:rsidRPr="003E4DC7" w14:paraId="60F5C9BD" w14:textId="77777777" w:rsidTr="009E0C81">
        <w:trPr>
          <w:trHeight w:val="262"/>
        </w:trPr>
        <w:tc>
          <w:tcPr>
            <w:tcW w:w="6379" w:type="dxa"/>
            <w:tcBorders>
              <w:top w:val="nil"/>
              <w:left w:val="nil"/>
              <w:bottom w:val="nil"/>
              <w:right w:val="nil"/>
            </w:tcBorders>
            <w:shd w:val="clear" w:color="auto" w:fill="auto"/>
            <w:noWrap/>
            <w:vAlign w:val="center"/>
            <w:hideMark/>
          </w:tcPr>
          <w:p w14:paraId="307C05BA"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External causes of morbidity</w:t>
            </w:r>
          </w:p>
        </w:tc>
        <w:tc>
          <w:tcPr>
            <w:tcW w:w="3003" w:type="dxa"/>
            <w:tcBorders>
              <w:top w:val="nil"/>
              <w:left w:val="nil"/>
              <w:bottom w:val="nil"/>
              <w:right w:val="nil"/>
            </w:tcBorders>
            <w:shd w:val="clear" w:color="auto" w:fill="auto"/>
            <w:noWrap/>
            <w:vAlign w:val="center"/>
            <w:hideMark/>
          </w:tcPr>
          <w:p w14:paraId="20F48DEF"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p>
        </w:tc>
      </w:tr>
      <w:tr w:rsidR="003E4DC7" w:rsidRPr="003E4DC7" w14:paraId="7CD117C3" w14:textId="77777777" w:rsidTr="009E0C81">
        <w:trPr>
          <w:trHeight w:val="262"/>
        </w:trPr>
        <w:tc>
          <w:tcPr>
            <w:tcW w:w="6379" w:type="dxa"/>
            <w:tcBorders>
              <w:top w:val="nil"/>
              <w:left w:val="nil"/>
              <w:bottom w:val="nil"/>
              <w:right w:val="nil"/>
            </w:tcBorders>
            <w:shd w:val="clear" w:color="auto" w:fill="auto"/>
            <w:noWrap/>
            <w:vAlign w:val="center"/>
            <w:hideMark/>
          </w:tcPr>
          <w:p w14:paraId="50492F2D"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Injuries</w:t>
            </w:r>
          </w:p>
        </w:tc>
        <w:tc>
          <w:tcPr>
            <w:tcW w:w="3003" w:type="dxa"/>
            <w:tcBorders>
              <w:top w:val="nil"/>
              <w:left w:val="nil"/>
              <w:bottom w:val="nil"/>
              <w:right w:val="nil"/>
            </w:tcBorders>
            <w:shd w:val="clear" w:color="auto" w:fill="auto"/>
            <w:noWrap/>
            <w:vAlign w:val="center"/>
            <w:hideMark/>
          </w:tcPr>
          <w:p w14:paraId="22A3B12F"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S00-S99, T00-T35, T66-T78</w:t>
            </w:r>
          </w:p>
        </w:tc>
      </w:tr>
      <w:tr w:rsidR="003E4DC7" w:rsidRPr="003E4DC7" w14:paraId="52198E5A" w14:textId="77777777" w:rsidTr="009E0C81">
        <w:trPr>
          <w:trHeight w:val="262"/>
        </w:trPr>
        <w:tc>
          <w:tcPr>
            <w:tcW w:w="6379" w:type="dxa"/>
            <w:tcBorders>
              <w:top w:val="nil"/>
              <w:left w:val="nil"/>
              <w:bottom w:val="nil"/>
              <w:right w:val="nil"/>
            </w:tcBorders>
            <w:shd w:val="clear" w:color="auto" w:fill="auto"/>
            <w:noWrap/>
            <w:vAlign w:val="center"/>
            <w:hideMark/>
          </w:tcPr>
          <w:p w14:paraId="7C897CD0"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Transport accidents</w:t>
            </w:r>
          </w:p>
        </w:tc>
        <w:tc>
          <w:tcPr>
            <w:tcW w:w="3003" w:type="dxa"/>
            <w:tcBorders>
              <w:top w:val="nil"/>
              <w:left w:val="nil"/>
              <w:bottom w:val="nil"/>
              <w:right w:val="nil"/>
            </w:tcBorders>
            <w:shd w:val="clear" w:color="auto" w:fill="auto"/>
            <w:noWrap/>
            <w:vAlign w:val="center"/>
            <w:hideMark/>
          </w:tcPr>
          <w:p w14:paraId="418623D6"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V01-V99</w:t>
            </w:r>
          </w:p>
        </w:tc>
      </w:tr>
      <w:tr w:rsidR="003E4DC7" w:rsidRPr="003E4DC7" w14:paraId="7A0439C3" w14:textId="77777777" w:rsidTr="009E0C81">
        <w:trPr>
          <w:trHeight w:val="262"/>
        </w:trPr>
        <w:tc>
          <w:tcPr>
            <w:tcW w:w="6379" w:type="dxa"/>
            <w:tcBorders>
              <w:top w:val="nil"/>
              <w:left w:val="nil"/>
              <w:bottom w:val="nil"/>
              <w:right w:val="nil"/>
            </w:tcBorders>
            <w:shd w:val="clear" w:color="auto" w:fill="auto"/>
            <w:noWrap/>
            <w:vAlign w:val="center"/>
            <w:hideMark/>
          </w:tcPr>
          <w:p w14:paraId="3976E2B8"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Other external causes of accidental injury</w:t>
            </w:r>
          </w:p>
        </w:tc>
        <w:tc>
          <w:tcPr>
            <w:tcW w:w="3003" w:type="dxa"/>
            <w:tcBorders>
              <w:top w:val="nil"/>
              <w:left w:val="nil"/>
              <w:bottom w:val="nil"/>
              <w:right w:val="nil"/>
            </w:tcBorders>
            <w:shd w:val="clear" w:color="auto" w:fill="auto"/>
            <w:noWrap/>
            <w:vAlign w:val="center"/>
            <w:hideMark/>
          </w:tcPr>
          <w:p w14:paraId="20E48663"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 xml:space="preserve">W00-X39, </w:t>
            </w:r>
          </w:p>
        </w:tc>
      </w:tr>
      <w:tr w:rsidR="003E4DC7" w:rsidRPr="003E4DC7" w14:paraId="67F62EF6" w14:textId="77777777" w:rsidTr="009E0C81">
        <w:trPr>
          <w:trHeight w:val="262"/>
        </w:trPr>
        <w:tc>
          <w:tcPr>
            <w:tcW w:w="6379" w:type="dxa"/>
            <w:tcBorders>
              <w:top w:val="nil"/>
              <w:left w:val="nil"/>
              <w:bottom w:val="single" w:sz="4" w:space="0" w:color="auto"/>
              <w:right w:val="nil"/>
            </w:tcBorders>
            <w:shd w:val="clear" w:color="auto" w:fill="auto"/>
            <w:noWrap/>
            <w:vAlign w:val="center"/>
            <w:hideMark/>
          </w:tcPr>
          <w:p w14:paraId="0F28D7B8" w14:textId="77777777" w:rsidR="003E4DC7" w:rsidRPr="003E4DC7" w:rsidRDefault="003E4DC7" w:rsidP="003E4DC7">
            <w:pPr>
              <w:spacing w:after="0" w:line="240" w:lineRule="auto"/>
              <w:ind w:firstLineChars="100" w:firstLine="180"/>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Assault</w:t>
            </w:r>
          </w:p>
        </w:tc>
        <w:tc>
          <w:tcPr>
            <w:tcW w:w="3003" w:type="dxa"/>
            <w:tcBorders>
              <w:top w:val="nil"/>
              <w:left w:val="nil"/>
              <w:bottom w:val="single" w:sz="4" w:space="0" w:color="auto"/>
              <w:right w:val="nil"/>
            </w:tcBorders>
            <w:shd w:val="clear" w:color="auto" w:fill="auto"/>
            <w:noWrap/>
            <w:vAlign w:val="center"/>
            <w:hideMark/>
          </w:tcPr>
          <w:p w14:paraId="2CE85449" w14:textId="77777777" w:rsidR="003E4DC7" w:rsidRPr="003E4DC7" w:rsidRDefault="003E4DC7" w:rsidP="003E4DC7">
            <w:pPr>
              <w:spacing w:after="0" w:line="240" w:lineRule="auto"/>
              <w:rPr>
                <w:rFonts w:ascii="Arial" w:eastAsia="Times New Roman" w:hAnsi="Arial" w:cs="Arial"/>
                <w:color w:val="000000"/>
                <w:kern w:val="0"/>
                <w:sz w:val="18"/>
                <w:szCs w:val="18"/>
                <w14:ligatures w14:val="none"/>
              </w:rPr>
            </w:pPr>
            <w:r w:rsidRPr="003E4DC7">
              <w:rPr>
                <w:rFonts w:ascii="Arial" w:eastAsia="Times New Roman" w:hAnsi="Arial" w:cs="Arial"/>
                <w:color w:val="000000"/>
                <w:kern w:val="0"/>
                <w:sz w:val="18"/>
                <w:szCs w:val="18"/>
                <w14:ligatures w14:val="none"/>
              </w:rPr>
              <w:t>X85-Y09</w:t>
            </w:r>
          </w:p>
        </w:tc>
      </w:tr>
    </w:tbl>
    <w:p w14:paraId="04FD385E" w14:textId="645D7146" w:rsidR="00820C3E" w:rsidRDefault="006C2740">
      <w:pPr>
        <w:rPr>
          <w:rFonts w:ascii="Times New Roman" w:hAnsi="Times New Roman" w:cs="Times New Roman"/>
          <w:sz w:val="20"/>
          <w:szCs w:val="20"/>
        </w:rPr>
      </w:pPr>
      <w:r w:rsidRPr="006C2740">
        <w:rPr>
          <w:rFonts w:ascii="Times New Roman" w:hAnsi="Times New Roman" w:cs="Times New Roman"/>
          <w:b/>
          <w:bCs/>
          <w:sz w:val="20"/>
          <w:szCs w:val="20"/>
        </w:rPr>
        <w:lastRenderedPageBreak/>
        <w:t xml:space="preserve">Table S5. </w:t>
      </w:r>
      <w:r w:rsidRPr="006C2740">
        <w:rPr>
          <w:rFonts w:ascii="Times New Roman" w:hAnsi="Times New Roman" w:cs="Times New Roman"/>
          <w:sz w:val="20"/>
          <w:szCs w:val="20"/>
        </w:rPr>
        <w:t>Covariates for the within-individual analysis</w:t>
      </w:r>
    </w:p>
    <w:tbl>
      <w:tblPr>
        <w:tblW w:w="9396" w:type="dxa"/>
        <w:tblLook w:val="04A0" w:firstRow="1" w:lastRow="0" w:firstColumn="1" w:lastColumn="0" w:noHBand="0" w:noVBand="1"/>
      </w:tblPr>
      <w:tblGrid>
        <w:gridCol w:w="1555"/>
        <w:gridCol w:w="7841"/>
      </w:tblGrid>
      <w:tr w:rsidR="00FA4D41" w:rsidRPr="00FA4D41" w14:paraId="5F772BDA" w14:textId="77777777" w:rsidTr="000C38AB">
        <w:trPr>
          <w:trHeight w:val="290"/>
        </w:trPr>
        <w:tc>
          <w:tcPr>
            <w:tcW w:w="1555" w:type="dxa"/>
            <w:tcBorders>
              <w:top w:val="single" w:sz="4" w:space="0" w:color="auto"/>
              <w:left w:val="single" w:sz="4" w:space="0" w:color="auto"/>
              <w:bottom w:val="single" w:sz="4" w:space="0" w:color="auto"/>
              <w:right w:val="nil"/>
            </w:tcBorders>
            <w:shd w:val="clear" w:color="auto" w:fill="auto"/>
            <w:noWrap/>
            <w:vAlign w:val="bottom"/>
            <w:hideMark/>
          </w:tcPr>
          <w:p w14:paraId="5E6AEF48" w14:textId="77777777" w:rsidR="00FA4D41" w:rsidRPr="00FA4D41" w:rsidRDefault="00FA4D41" w:rsidP="00FA4D41">
            <w:pPr>
              <w:spacing w:after="0" w:line="240" w:lineRule="auto"/>
              <w:rPr>
                <w:rFonts w:ascii="Arial" w:eastAsia="Times New Roman" w:hAnsi="Arial" w:cs="Arial"/>
                <w:b/>
                <w:bCs/>
                <w:color w:val="000000"/>
                <w:kern w:val="0"/>
                <w:sz w:val="20"/>
                <w:szCs w:val="20"/>
                <w14:ligatures w14:val="none"/>
              </w:rPr>
            </w:pPr>
            <w:r w:rsidRPr="00FA4D41">
              <w:rPr>
                <w:rFonts w:ascii="Arial" w:eastAsia="Times New Roman" w:hAnsi="Arial" w:cs="Arial"/>
                <w:b/>
                <w:bCs/>
                <w:color w:val="000000"/>
                <w:kern w:val="0"/>
                <w:sz w:val="20"/>
                <w:szCs w:val="20"/>
                <w14:ligatures w14:val="none"/>
              </w:rPr>
              <w:t>Covariate</w:t>
            </w:r>
          </w:p>
        </w:tc>
        <w:tc>
          <w:tcPr>
            <w:tcW w:w="7841" w:type="dxa"/>
            <w:tcBorders>
              <w:top w:val="single" w:sz="4" w:space="0" w:color="auto"/>
              <w:left w:val="nil"/>
              <w:bottom w:val="single" w:sz="4" w:space="0" w:color="auto"/>
              <w:right w:val="single" w:sz="4" w:space="0" w:color="auto"/>
            </w:tcBorders>
            <w:shd w:val="clear" w:color="auto" w:fill="auto"/>
            <w:noWrap/>
            <w:vAlign w:val="bottom"/>
            <w:hideMark/>
          </w:tcPr>
          <w:p w14:paraId="476A98DD" w14:textId="77777777" w:rsidR="00FA4D41" w:rsidRPr="00FA4D41" w:rsidRDefault="00FA4D41" w:rsidP="00FA4D41">
            <w:pPr>
              <w:spacing w:after="0" w:line="240" w:lineRule="auto"/>
              <w:rPr>
                <w:rFonts w:ascii="Arial" w:eastAsia="Times New Roman" w:hAnsi="Arial" w:cs="Arial"/>
                <w:b/>
                <w:bCs/>
                <w:color w:val="000000"/>
                <w:kern w:val="0"/>
                <w:sz w:val="20"/>
                <w:szCs w:val="20"/>
                <w14:ligatures w14:val="none"/>
              </w:rPr>
            </w:pPr>
            <w:r w:rsidRPr="00FA4D41">
              <w:rPr>
                <w:rFonts w:ascii="Arial" w:eastAsia="Times New Roman" w:hAnsi="Arial" w:cs="Arial"/>
                <w:b/>
                <w:bCs/>
                <w:color w:val="000000"/>
                <w:kern w:val="0"/>
                <w:sz w:val="20"/>
                <w:szCs w:val="20"/>
                <w14:ligatures w14:val="none"/>
              </w:rPr>
              <w:t>Response options</w:t>
            </w:r>
          </w:p>
        </w:tc>
      </w:tr>
      <w:tr w:rsidR="00FA4D41" w:rsidRPr="00FA4D41" w14:paraId="3F7C50AB" w14:textId="77777777" w:rsidTr="000C38AB">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A34AA"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Alcohol use</w:t>
            </w:r>
          </w:p>
        </w:tc>
        <w:tc>
          <w:tcPr>
            <w:tcW w:w="7841" w:type="dxa"/>
            <w:tcBorders>
              <w:top w:val="nil"/>
              <w:left w:val="nil"/>
              <w:bottom w:val="single" w:sz="4" w:space="0" w:color="auto"/>
              <w:right w:val="single" w:sz="4" w:space="0" w:color="auto"/>
            </w:tcBorders>
            <w:shd w:val="clear" w:color="auto" w:fill="auto"/>
            <w:noWrap/>
            <w:vAlign w:val="bottom"/>
            <w:hideMark/>
          </w:tcPr>
          <w:p w14:paraId="4323623B"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No problems</w:t>
            </w:r>
          </w:p>
        </w:tc>
      </w:tr>
      <w:tr w:rsidR="00FA4D41" w:rsidRPr="00FA4D41" w14:paraId="6E91F290" w14:textId="77777777" w:rsidTr="000C38AB">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F84CB"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7D061CF6"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Alcohol misuse. Exists if the client has drunk alcohol to such an extent that it has caused physical, psychological or social harm to him/her or those close to him/her during the past 12 months.</w:t>
            </w:r>
          </w:p>
        </w:tc>
      </w:tr>
      <w:tr w:rsidR="00FA4D41" w:rsidRPr="00FA4D41" w14:paraId="5D562D26" w14:textId="77777777" w:rsidTr="000C38AB">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37F69"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Drug use</w:t>
            </w:r>
          </w:p>
        </w:tc>
        <w:tc>
          <w:tcPr>
            <w:tcW w:w="7841" w:type="dxa"/>
            <w:tcBorders>
              <w:top w:val="nil"/>
              <w:left w:val="nil"/>
              <w:bottom w:val="single" w:sz="4" w:space="0" w:color="auto"/>
              <w:right w:val="single" w:sz="4" w:space="0" w:color="auto"/>
            </w:tcBorders>
            <w:shd w:val="clear" w:color="auto" w:fill="auto"/>
            <w:noWrap/>
            <w:vAlign w:val="bottom"/>
            <w:hideMark/>
          </w:tcPr>
          <w:p w14:paraId="370BDE26"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No problems</w:t>
            </w:r>
          </w:p>
        </w:tc>
      </w:tr>
      <w:tr w:rsidR="00FA4D41" w:rsidRPr="00FA4D41" w14:paraId="60C14FA8" w14:textId="77777777" w:rsidTr="000C38AB">
        <w:trPr>
          <w:trHeight w:val="290"/>
        </w:trPr>
        <w:tc>
          <w:tcPr>
            <w:tcW w:w="1555" w:type="dxa"/>
            <w:tcBorders>
              <w:top w:val="single" w:sz="4" w:space="0" w:color="auto"/>
              <w:left w:val="single" w:sz="4" w:space="0" w:color="auto"/>
              <w:bottom w:val="nil"/>
              <w:right w:val="single" w:sz="4" w:space="0" w:color="auto"/>
            </w:tcBorders>
            <w:shd w:val="clear" w:color="auto" w:fill="auto"/>
            <w:noWrap/>
            <w:vAlign w:val="bottom"/>
            <w:hideMark/>
          </w:tcPr>
          <w:p w14:paraId="4E0EE05F"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2BC286FD"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Drug misuse. Exists if the client has used drugs during the last twelve months, but does not fall under the definition of serious drug abuse.</w:t>
            </w:r>
          </w:p>
        </w:tc>
      </w:tr>
      <w:tr w:rsidR="00FA4D41" w:rsidRPr="00FA4D41" w14:paraId="3F6FE83E" w14:textId="77777777" w:rsidTr="000C38AB">
        <w:trPr>
          <w:trHeight w:val="29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319BF43"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3DCB685F"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Serious drug addiction. Exists if a person has injected drugs one or more times during the last twelve months or used drugs in another way (for example, smoked hashish) daily or almost daily in the last twelve months.</w:t>
            </w:r>
          </w:p>
        </w:tc>
      </w:tr>
      <w:tr w:rsidR="00FA4D41" w:rsidRPr="00FA4D41" w14:paraId="289A3E20" w14:textId="77777777" w:rsidTr="000C38AB">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D634C"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Housing</w:t>
            </w:r>
          </w:p>
        </w:tc>
        <w:tc>
          <w:tcPr>
            <w:tcW w:w="7841" w:type="dxa"/>
            <w:tcBorders>
              <w:top w:val="nil"/>
              <w:left w:val="nil"/>
              <w:bottom w:val="single" w:sz="4" w:space="0" w:color="auto"/>
              <w:right w:val="single" w:sz="4" w:space="0" w:color="auto"/>
            </w:tcBorders>
            <w:shd w:val="clear" w:color="auto" w:fill="auto"/>
            <w:noWrap/>
            <w:vAlign w:val="bottom"/>
            <w:hideMark/>
          </w:tcPr>
          <w:p w14:paraId="3F472D1B"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Homeless</w:t>
            </w:r>
          </w:p>
        </w:tc>
      </w:tr>
      <w:tr w:rsidR="00FA4D41" w:rsidRPr="00FA4D41" w14:paraId="75DDF36C" w14:textId="77777777" w:rsidTr="000C38AB">
        <w:trPr>
          <w:trHeight w:val="290"/>
        </w:trPr>
        <w:tc>
          <w:tcPr>
            <w:tcW w:w="1555" w:type="dxa"/>
            <w:tcBorders>
              <w:top w:val="single" w:sz="4" w:space="0" w:color="auto"/>
              <w:left w:val="single" w:sz="4" w:space="0" w:color="auto"/>
              <w:bottom w:val="nil"/>
              <w:right w:val="single" w:sz="4" w:space="0" w:color="auto"/>
            </w:tcBorders>
            <w:shd w:val="clear" w:color="auto" w:fill="auto"/>
            <w:noWrap/>
            <w:vAlign w:val="bottom"/>
            <w:hideMark/>
          </w:tcPr>
          <w:p w14:paraId="404E18E2"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0F1D65FA"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Stable housing. Lives in supported housing (e.g., with parents, in institution, halfway-house)</w:t>
            </w:r>
          </w:p>
        </w:tc>
      </w:tr>
      <w:tr w:rsidR="00FA4D41" w:rsidRPr="00FA4D41" w14:paraId="6C76C55F" w14:textId="77777777" w:rsidTr="000C38AB">
        <w:trPr>
          <w:trHeight w:val="29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ED05AA3"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7A320856"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Stable housing. Lives independently.</w:t>
            </w:r>
          </w:p>
        </w:tc>
      </w:tr>
      <w:tr w:rsidR="00FA4D41" w:rsidRPr="00FA4D41" w14:paraId="1BD0980F" w14:textId="77777777" w:rsidTr="000C38AB">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ED0B7"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Employment</w:t>
            </w:r>
          </w:p>
        </w:tc>
        <w:tc>
          <w:tcPr>
            <w:tcW w:w="7841" w:type="dxa"/>
            <w:tcBorders>
              <w:top w:val="nil"/>
              <w:left w:val="nil"/>
              <w:bottom w:val="single" w:sz="4" w:space="0" w:color="auto"/>
              <w:right w:val="single" w:sz="4" w:space="0" w:color="auto"/>
            </w:tcBorders>
            <w:shd w:val="clear" w:color="auto" w:fill="auto"/>
            <w:noWrap/>
            <w:vAlign w:val="bottom"/>
            <w:hideMark/>
          </w:tcPr>
          <w:p w14:paraId="5319B20E"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Unemployed</w:t>
            </w:r>
          </w:p>
        </w:tc>
      </w:tr>
      <w:tr w:rsidR="00FA4D41" w:rsidRPr="00FA4D41" w14:paraId="78D0170C" w14:textId="77777777" w:rsidTr="000C38AB">
        <w:trPr>
          <w:trHeight w:val="290"/>
        </w:trPr>
        <w:tc>
          <w:tcPr>
            <w:tcW w:w="1555" w:type="dxa"/>
            <w:tcBorders>
              <w:top w:val="single" w:sz="4" w:space="0" w:color="auto"/>
              <w:left w:val="single" w:sz="4" w:space="0" w:color="auto"/>
              <w:bottom w:val="nil"/>
              <w:right w:val="single" w:sz="4" w:space="0" w:color="auto"/>
            </w:tcBorders>
            <w:shd w:val="clear" w:color="auto" w:fill="auto"/>
            <w:noWrap/>
            <w:vAlign w:val="bottom"/>
            <w:hideMark/>
          </w:tcPr>
          <w:p w14:paraId="2C662A2D"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666CD910"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On sick leave</w:t>
            </w:r>
          </w:p>
        </w:tc>
      </w:tr>
      <w:tr w:rsidR="00FA4D41" w:rsidRPr="00FA4D41" w14:paraId="0594E118" w14:textId="77777777" w:rsidTr="000C38AB">
        <w:trPr>
          <w:trHeight w:val="290"/>
        </w:trPr>
        <w:tc>
          <w:tcPr>
            <w:tcW w:w="1555" w:type="dxa"/>
            <w:tcBorders>
              <w:top w:val="nil"/>
              <w:left w:val="single" w:sz="4" w:space="0" w:color="auto"/>
              <w:bottom w:val="nil"/>
              <w:right w:val="single" w:sz="4" w:space="0" w:color="auto"/>
            </w:tcBorders>
            <w:shd w:val="clear" w:color="auto" w:fill="auto"/>
            <w:noWrap/>
            <w:vAlign w:val="bottom"/>
            <w:hideMark/>
          </w:tcPr>
          <w:p w14:paraId="62111833"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44DA4BA5"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Placed in substance use disorder treatment</w:t>
            </w:r>
          </w:p>
        </w:tc>
      </w:tr>
      <w:tr w:rsidR="00FA4D41" w:rsidRPr="00FA4D41" w14:paraId="4789703C" w14:textId="77777777" w:rsidTr="000C38AB">
        <w:trPr>
          <w:trHeight w:val="290"/>
        </w:trPr>
        <w:tc>
          <w:tcPr>
            <w:tcW w:w="1555" w:type="dxa"/>
            <w:tcBorders>
              <w:top w:val="nil"/>
              <w:left w:val="single" w:sz="4" w:space="0" w:color="auto"/>
              <w:bottom w:val="nil"/>
              <w:right w:val="single" w:sz="4" w:space="0" w:color="auto"/>
            </w:tcBorders>
            <w:shd w:val="clear" w:color="auto" w:fill="auto"/>
            <w:noWrap/>
            <w:vAlign w:val="bottom"/>
            <w:hideMark/>
          </w:tcPr>
          <w:p w14:paraId="3B8C1BA1"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090CB507"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Outside of work force (e.g., retirement, maternity leave)</w:t>
            </w:r>
          </w:p>
        </w:tc>
      </w:tr>
      <w:tr w:rsidR="00FA4D41" w:rsidRPr="00FA4D41" w14:paraId="59017B5A" w14:textId="77777777" w:rsidTr="000C38AB">
        <w:trPr>
          <w:trHeight w:val="290"/>
        </w:trPr>
        <w:tc>
          <w:tcPr>
            <w:tcW w:w="1555" w:type="dxa"/>
            <w:tcBorders>
              <w:top w:val="nil"/>
              <w:left w:val="single" w:sz="4" w:space="0" w:color="auto"/>
              <w:bottom w:val="nil"/>
              <w:right w:val="single" w:sz="4" w:space="0" w:color="auto"/>
            </w:tcBorders>
            <w:shd w:val="clear" w:color="auto" w:fill="auto"/>
            <w:noWrap/>
            <w:vAlign w:val="bottom"/>
            <w:hideMark/>
          </w:tcPr>
          <w:p w14:paraId="7EA38B74"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6329E34A"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Participates in supported employment program, work trial etc.</w:t>
            </w:r>
          </w:p>
        </w:tc>
      </w:tr>
      <w:tr w:rsidR="00FA4D41" w:rsidRPr="00FA4D41" w14:paraId="35D1DF57" w14:textId="77777777" w:rsidTr="000C38AB">
        <w:trPr>
          <w:trHeight w:val="29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8E613FF"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1D99F17C"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Employed or in education</w:t>
            </w:r>
          </w:p>
        </w:tc>
      </w:tr>
      <w:tr w:rsidR="00FA4D41" w:rsidRPr="00FA4D41" w14:paraId="479621C8" w14:textId="77777777" w:rsidTr="000C38AB">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1D669"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Recidivism risk</w:t>
            </w:r>
          </w:p>
        </w:tc>
        <w:tc>
          <w:tcPr>
            <w:tcW w:w="7841" w:type="dxa"/>
            <w:tcBorders>
              <w:top w:val="nil"/>
              <w:left w:val="nil"/>
              <w:bottom w:val="single" w:sz="4" w:space="0" w:color="auto"/>
              <w:right w:val="single" w:sz="4" w:space="0" w:color="auto"/>
            </w:tcBorders>
            <w:shd w:val="clear" w:color="auto" w:fill="auto"/>
            <w:noWrap/>
            <w:vAlign w:val="bottom"/>
            <w:hideMark/>
          </w:tcPr>
          <w:p w14:paraId="5D3B50C3"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Low</w:t>
            </w:r>
          </w:p>
        </w:tc>
      </w:tr>
      <w:tr w:rsidR="00FA4D41" w:rsidRPr="00FA4D41" w14:paraId="1D0A1691" w14:textId="77777777" w:rsidTr="000C38AB">
        <w:trPr>
          <w:trHeight w:val="290"/>
        </w:trPr>
        <w:tc>
          <w:tcPr>
            <w:tcW w:w="1555" w:type="dxa"/>
            <w:tcBorders>
              <w:top w:val="single" w:sz="4" w:space="0" w:color="auto"/>
              <w:left w:val="single" w:sz="4" w:space="0" w:color="auto"/>
              <w:bottom w:val="nil"/>
              <w:right w:val="single" w:sz="4" w:space="0" w:color="auto"/>
            </w:tcBorders>
            <w:shd w:val="clear" w:color="auto" w:fill="auto"/>
            <w:noWrap/>
            <w:vAlign w:val="bottom"/>
            <w:hideMark/>
          </w:tcPr>
          <w:p w14:paraId="659AC06F"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7CD546CD"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Medium</w:t>
            </w:r>
          </w:p>
        </w:tc>
      </w:tr>
      <w:tr w:rsidR="00FA4D41" w:rsidRPr="00FA4D41" w14:paraId="0D16C963" w14:textId="77777777" w:rsidTr="000C38AB">
        <w:trPr>
          <w:trHeight w:val="29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7108854"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 </w:t>
            </w:r>
          </w:p>
        </w:tc>
        <w:tc>
          <w:tcPr>
            <w:tcW w:w="7841" w:type="dxa"/>
            <w:tcBorders>
              <w:top w:val="nil"/>
              <w:left w:val="nil"/>
              <w:bottom w:val="single" w:sz="4" w:space="0" w:color="auto"/>
              <w:right w:val="single" w:sz="4" w:space="0" w:color="auto"/>
            </w:tcBorders>
            <w:shd w:val="clear" w:color="auto" w:fill="auto"/>
            <w:noWrap/>
            <w:vAlign w:val="bottom"/>
            <w:hideMark/>
          </w:tcPr>
          <w:p w14:paraId="404AB537" w14:textId="77777777" w:rsidR="00FA4D41" w:rsidRPr="00FA4D41" w:rsidRDefault="00FA4D41" w:rsidP="00FA4D41">
            <w:pPr>
              <w:spacing w:after="0" w:line="240" w:lineRule="auto"/>
              <w:rPr>
                <w:rFonts w:ascii="Arial" w:eastAsia="Times New Roman" w:hAnsi="Arial" w:cs="Arial"/>
                <w:color w:val="000000"/>
                <w:kern w:val="0"/>
                <w:sz w:val="20"/>
                <w:szCs w:val="20"/>
                <w14:ligatures w14:val="none"/>
              </w:rPr>
            </w:pPr>
            <w:r w:rsidRPr="00FA4D41">
              <w:rPr>
                <w:rFonts w:ascii="Arial" w:eastAsia="Times New Roman" w:hAnsi="Arial" w:cs="Arial"/>
                <w:color w:val="000000"/>
                <w:kern w:val="0"/>
                <w:sz w:val="20"/>
                <w:szCs w:val="20"/>
                <w14:ligatures w14:val="none"/>
              </w:rPr>
              <w:t>High</w:t>
            </w:r>
          </w:p>
        </w:tc>
      </w:tr>
    </w:tbl>
    <w:p w14:paraId="562D141D" w14:textId="77777777" w:rsidR="006C2740" w:rsidRDefault="006C2740">
      <w:pPr>
        <w:rPr>
          <w:rFonts w:ascii="Times New Roman" w:hAnsi="Times New Roman" w:cs="Times New Roman"/>
          <w:b/>
          <w:bCs/>
          <w:sz w:val="20"/>
          <w:szCs w:val="20"/>
        </w:rPr>
      </w:pPr>
    </w:p>
    <w:p w14:paraId="0D298DDF" w14:textId="77777777" w:rsidR="006A5938" w:rsidRDefault="006A5938">
      <w:pPr>
        <w:rPr>
          <w:rFonts w:ascii="Times New Roman" w:hAnsi="Times New Roman" w:cs="Times New Roman"/>
          <w:b/>
          <w:bCs/>
          <w:sz w:val="20"/>
          <w:szCs w:val="20"/>
        </w:rPr>
        <w:sectPr w:rsidR="006A5938">
          <w:pgSz w:w="12240" w:h="15840"/>
          <w:pgMar w:top="1417" w:right="1417" w:bottom="1417" w:left="1417" w:header="708" w:footer="708" w:gutter="0"/>
          <w:cols w:space="708"/>
          <w:docGrid w:linePitch="360"/>
        </w:sectPr>
      </w:pPr>
    </w:p>
    <w:p w14:paraId="1072D633" w14:textId="77777777" w:rsidR="00987460" w:rsidRDefault="00987460" w:rsidP="006A5938">
      <w:pPr>
        <w:rPr>
          <w:rFonts w:ascii="Times New Roman" w:hAnsi="Times New Roman" w:cs="Times New Roman"/>
          <w:b/>
          <w:bCs/>
          <w:sz w:val="20"/>
          <w:szCs w:val="20"/>
        </w:rPr>
      </w:pPr>
    </w:p>
    <w:p w14:paraId="0E346DF8" w14:textId="20900F09" w:rsidR="006A5938" w:rsidRDefault="0032469C" w:rsidP="006A5938">
      <w:pPr>
        <w:rPr>
          <w:rFonts w:ascii="Times New Roman" w:hAnsi="Times New Roman" w:cs="Times New Roman"/>
          <w:b/>
          <w:bCs/>
          <w:sz w:val="20"/>
          <w:szCs w:val="20"/>
        </w:rPr>
      </w:pPr>
      <w:r>
        <w:rPr>
          <w:noProof/>
        </w:rPr>
        <w:drawing>
          <wp:inline distT="0" distB="0" distL="0" distR="0" wp14:anchorId="44D7DEB9" wp14:editId="28884603">
            <wp:extent cx="5486400" cy="4088765"/>
            <wp:effectExtent l="0" t="0" r="0" b="6985"/>
            <wp:docPr id="1" name="Picture 1" descr="A graph of a patient's dis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patient's disease&#10;&#10;Description automatically generated with medium confidence"/>
                    <pic:cNvPicPr/>
                  </pic:nvPicPr>
                  <pic:blipFill>
                    <a:blip r:embed="rId9"/>
                    <a:stretch>
                      <a:fillRect/>
                    </a:stretch>
                  </pic:blipFill>
                  <pic:spPr>
                    <a:xfrm>
                      <a:off x="0" y="0"/>
                      <a:ext cx="5486400" cy="4088765"/>
                    </a:xfrm>
                    <a:prstGeom prst="rect">
                      <a:avLst/>
                    </a:prstGeom>
                  </pic:spPr>
                </pic:pic>
              </a:graphicData>
            </a:graphic>
          </wp:inline>
        </w:drawing>
      </w:r>
    </w:p>
    <w:p w14:paraId="3B70C1A2" w14:textId="77777777" w:rsidR="00987460" w:rsidRDefault="00987460" w:rsidP="006A5938">
      <w:pPr>
        <w:rPr>
          <w:rFonts w:ascii="Times New Roman" w:hAnsi="Times New Roman" w:cs="Times New Roman"/>
          <w:b/>
          <w:bCs/>
          <w:sz w:val="20"/>
          <w:szCs w:val="20"/>
        </w:rPr>
      </w:pPr>
    </w:p>
    <w:p w14:paraId="66D2F7EE" w14:textId="77777777" w:rsidR="00987460" w:rsidRPr="00C815E1" w:rsidRDefault="00987460" w:rsidP="00987460">
      <w:pPr>
        <w:rPr>
          <w:rFonts w:ascii="Times New Roman" w:hAnsi="Times New Roman" w:cs="Times New Roman"/>
          <w:sz w:val="20"/>
          <w:szCs w:val="20"/>
        </w:rPr>
      </w:pPr>
      <w:r w:rsidRPr="001874BB">
        <w:rPr>
          <w:rFonts w:ascii="Times New Roman" w:hAnsi="Times New Roman" w:cs="Times New Roman"/>
          <w:b/>
          <w:bCs/>
          <w:sz w:val="20"/>
          <w:szCs w:val="20"/>
        </w:rPr>
        <w:t>Fig</w:t>
      </w:r>
      <w:r>
        <w:rPr>
          <w:rFonts w:ascii="Times New Roman" w:hAnsi="Times New Roman" w:cs="Times New Roman"/>
          <w:b/>
          <w:bCs/>
          <w:sz w:val="20"/>
          <w:szCs w:val="20"/>
        </w:rPr>
        <w:t>ure</w:t>
      </w:r>
      <w:r w:rsidRPr="001874BB">
        <w:rPr>
          <w:rFonts w:ascii="Times New Roman" w:hAnsi="Times New Roman" w:cs="Times New Roman"/>
          <w:b/>
          <w:bCs/>
          <w:sz w:val="20"/>
          <w:szCs w:val="20"/>
        </w:rPr>
        <w:t xml:space="preserve"> S</w:t>
      </w:r>
      <w:r>
        <w:rPr>
          <w:rFonts w:ascii="Times New Roman" w:hAnsi="Times New Roman" w:cs="Times New Roman"/>
          <w:b/>
          <w:bCs/>
          <w:sz w:val="20"/>
          <w:szCs w:val="20"/>
        </w:rPr>
        <w:t>2</w:t>
      </w:r>
      <w:r w:rsidRPr="001874BB">
        <w:rPr>
          <w:rFonts w:ascii="Times New Roman" w:hAnsi="Times New Roman" w:cs="Times New Roman"/>
          <w:b/>
          <w:bCs/>
          <w:sz w:val="20"/>
          <w:szCs w:val="20"/>
        </w:rPr>
        <w:t xml:space="preserve">. </w:t>
      </w:r>
      <w:r w:rsidRPr="00E2168A">
        <w:rPr>
          <w:rFonts w:ascii="Times New Roman" w:hAnsi="Times New Roman" w:cs="Times New Roman"/>
          <w:b/>
          <w:bCs/>
          <w:sz w:val="20"/>
          <w:szCs w:val="20"/>
        </w:rPr>
        <w:t xml:space="preserve">Prevalence of somatic diagnoses over the pre-treatment time. </w:t>
      </w:r>
      <w:r w:rsidRPr="00C815E1">
        <w:rPr>
          <w:rFonts w:ascii="Times New Roman" w:hAnsi="Times New Roman" w:cs="Times New Roman"/>
          <w:sz w:val="20"/>
          <w:szCs w:val="20"/>
        </w:rPr>
        <w:t>Month 24 is the last month before the start of contract treatment.</w:t>
      </w:r>
    </w:p>
    <w:p w14:paraId="615A78A3" w14:textId="77777777" w:rsidR="00987460" w:rsidRDefault="00987460" w:rsidP="006A5938">
      <w:pPr>
        <w:rPr>
          <w:rFonts w:ascii="Times New Roman" w:hAnsi="Times New Roman" w:cs="Times New Roman"/>
          <w:b/>
          <w:bCs/>
          <w:sz w:val="20"/>
          <w:szCs w:val="20"/>
        </w:rPr>
      </w:pPr>
    </w:p>
    <w:p w14:paraId="297D7884" w14:textId="77777777" w:rsidR="005357C2" w:rsidRDefault="005357C2">
      <w:pPr>
        <w:rPr>
          <w:rFonts w:ascii="Times New Roman" w:hAnsi="Times New Roman" w:cs="Times New Roman"/>
          <w:b/>
          <w:bCs/>
          <w:sz w:val="20"/>
          <w:szCs w:val="20"/>
        </w:rPr>
        <w:sectPr w:rsidR="005357C2">
          <w:pgSz w:w="12240" w:h="15840"/>
          <w:pgMar w:top="1417" w:right="1417" w:bottom="1417" w:left="1417" w:header="708" w:footer="708" w:gutter="0"/>
          <w:cols w:space="708"/>
          <w:docGrid w:linePitch="360"/>
        </w:sectPr>
      </w:pPr>
    </w:p>
    <w:p w14:paraId="36425524" w14:textId="2EDECB8B" w:rsidR="00932B19" w:rsidRDefault="005357C2" w:rsidP="005357C2">
      <w:pPr>
        <w:rPr>
          <w:rFonts w:ascii="Times New Roman" w:hAnsi="Times New Roman" w:cs="Times New Roman"/>
          <w:b/>
          <w:bCs/>
          <w:sz w:val="20"/>
          <w:szCs w:val="20"/>
        </w:rPr>
      </w:pPr>
      <w:r w:rsidRPr="006827F6">
        <w:rPr>
          <w:rFonts w:ascii="Times New Roman" w:hAnsi="Times New Roman" w:cs="Times New Roman"/>
          <w:b/>
          <w:bCs/>
          <w:sz w:val="20"/>
          <w:szCs w:val="20"/>
        </w:rPr>
        <w:lastRenderedPageBreak/>
        <w:t>Table S</w:t>
      </w:r>
      <w:r>
        <w:rPr>
          <w:rFonts w:ascii="Times New Roman" w:hAnsi="Times New Roman" w:cs="Times New Roman"/>
          <w:b/>
          <w:bCs/>
          <w:sz w:val="20"/>
          <w:szCs w:val="20"/>
        </w:rPr>
        <w:t>6</w:t>
      </w:r>
      <w:r w:rsidRPr="006827F6">
        <w:rPr>
          <w:rFonts w:ascii="Times New Roman" w:hAnsi="Times New Roman" w:cs="Times New Roman"/>
          <w:b/>
          <w:bCs/>
          <w:sz w:val="20"/>
          <w:szCs w:val="20"/>
        </w:rPr>
        <w:t xml:space="preserve">. </w:t>
      </w:r>
      <w:r w:rsidR="002966DC" w:rsidRPr="002966DC">
        <w:rPr>
          <w:rFonts w:ascii="Times New Roman" w:hAnsi="Times New Roman" w:cs="Times New Roman"/>
          <w:sz w:val="20"/>
          <w:szCs w:val="20"/>
        </w:rPr>
        <w:t>Number of observations used in the estimation of event study coefficients in Manuscript Figure 2</w:t>
      </w:r>
    </w:p>
    <w:p w14:paraId="35486212" w14:textId="77777777" w:rsidR="00932B19" w:rsidRDefault="00932B19" w:rsidP="005357C2">
      <w:pPr>
        <w:rPr>
          <w:rFonts w:ascii="Times New Roman" w:hAnsi="Times New Roman" w:cs="Times New Roman"/>
          <w:b/>
          <w:bCs/>
          <w:sz w:val="20"/>
          <w:szCs w:val="20"/>
        </w:rPr>
      </w:pPr>
    </w:p>
    <w:tbl>
      <w:tblPr>
        <w:tblW w:w="8940" w:type="dxa"/>
        <w:tblLook w:val="04A0" w:firstRow="1" w:lastRow="0" w:firstColumn="1" w:lastColumn="0" w:noHBand="0" w:noVBand="1"/>
      </w:tblPr>
      <w:tblGrid>
        <w:gridCol w:w="1260"/>
        <w:gridCol w:w="884"/>
        <w:gridCol w:w="1083"/>
        <w:gridCol w:w="884"/>
        <w:gridCol w:w="1083"/>
        <w:gridCol w:w="884"/>
        <w:gridCol w:w="1083"/>
        <w:gridCol w:w="884"/>
        <w:gridCol w:w="1083"/>
      </w:tblGrid>
      <w:tr w:rsidR="00932B19" w:rsidRPr="00E83ACE" w14:paraId="5F9C6922" w14:textId="77777777" w:rsidTr="004F2D3B">
        <w:trPr>
          <w:trHeight w:val="290"/>
        </w:trPr>
        <w:tc>
          <w:tcPr>
            <w:tcW w:w="1260" w:type="dxa"/>
            <w:tcBorders>
              <w:top w:val="single" w:sz="4" w:space="0" w:color="auto"/>
              <w:left w:val="nil"/>
              <w:bottom w:val="nil"/>
              <w:right w:val="nil"/>
            </w:tcBorders>
            <w:shd w:val="clear" w:color="auto" w:fill="auto"/>
            <w:noWrap/>
            <w:vAlign w:val="bottom"/>
            <w:hideMark/>
          </w:tcPr>
          <w:p w14:paraId="3F270C05" w14:textId="77777777" w:rsidR="00932B19" w:rsidRPr="00E83ACE" w:rsidRDefault="00932B19" w:rsidP="004F2D3B">
            <w:pPr>
              <w:jc w:val="center"/>
              <w:rPr>
                <w:rFonts w:ascii="Arial" w:hAnsi="Arial" w:cs="Arial"/>
                <w:color w:val="000000"/>
                <w:sz w:val="20"/>
              </w:rPr>
            </w:pPr>
          </w:p>
        </w:tc>
        <w:tc>
          <w:tcPr>
            <w:tcW w:w="1920" w:type="dxa"/>
            <w:gridSpan w:val="2"/>
            <w:tcBorders>
              <w:top w:val="single" w:sz="4" w:space="0" w:color="auto"/>
              <w:left w:val="nil"/>
              <w:bottom w:val="nil"/>
              <w:right w:val="nil"/>
            </w:tcBorders>
            <w:shd w:val="clear" w:color="auto" w:fill="auto"/>
            <w:noWrap/>
            <w:vAlign w:val="bottom"/>
            <w:hideMark/>
          </w:tcPr>
          <w:p w14:paraId="5804FEA5" w14:textId="77777777" w:rsidR="00932B19" w:rsidRPr="00E83ACE" w:rsidRDefault="00932B19" w:rsidP="004F2D3B">
            <w:pPr>
              <w:jc w:val="center"/>
              <w:rPr>
                <w:rFonts w:ascii="Arial" w:hAnsi="Arial" w:cs="Arial"/>
                <w:b/>
                <w:bCs/>
                <w:color w:val="000000"/>
                <w:sz w:val="20"/>
              </w:rPr>
            </w:pPr>
            <w:r w:rsidRPr="00E83ACE">
              <w:rPr>
                <w:rFonts w:ascii="Arial" w:hAnsi="Arial" w:cs="Arial"/>
                <w:b/>
                <w:bCs/>
                <w:color w:val="000000"/>
                <w:sz w:val="20"/>
              </w:rPr>
              <w:t>Substance misuse</w:t>
            </w:r>
          </w:p>
        </w:tc>
        <w:tc>
          <w:tcPr>
            <w:tcW w:w="1920" w:type="dxa"/>
            <w:gridSpan w:val="2"/>
            <w:tcBorders>
              <w:top w:val="single" w:sz="4" w:space="0" w:color="auto"/>
              <w:left w:val="nil"/>
              <w:bottom w:val="nil"/>
              <w:right w:val="nil"/>
            </w:tcBorders>
            <w:shd w:val="clear" w:color="auto" w:fill="auto"/>
            <w:noWrap/>
            <w:vAlign w:val="bottom"/>
            <w:hideMark/>
          </w:tcPr>
          <w:p w14:paraId="52A9F02F" w14:textId="77777777" w:rsidR="00932B19" w:rsidRPr="00E83ACE" w:rsidRDefault="00932B19" w:rsidP="004F2D3B">
            <w:pPr>
              <w:jc w:val="center"/>
              <w:rPr>
                <w:rFonts w:ascii="Arial" w:hAnsi="Arial" w:cs="Arial"/>
                <w:b/>
                <w:bCs/>
                <w:color w:val="000000"/>
                <w:sz w:val="20"/>
              </w:rPr>
            </w:pPr>
            <w:r w:rsidRPr="00E83ACE">
              <w:rPr>
                <w:rFonts w:ascii="Arial" w:hAnsi="Arial" w:cs="Arial"/>
                <w:b/>
                <w:bCs/>
                <w:color w:val="000000"/>
                <w:sz w:val="20"/>
              </w:rPr>
              <w:t>Mental health</w:t>
            </w:r>
          </w:p>
        </w:tc>
        <w:tc>
          <w:tcPr>
            <w:tcW w:w="1920" w:type="dxa"/>
            <w:gridSpan w:val="2"/>
            <w:tcBorders>
              <w:top w:val="single" w:sz="4" w:space="0" w:color="auto"/>
              <w:left w:val="nil"/>
              <w:bottom w:val="nil"/>
              <w:right w:val="nil"/>
            </w:tcBorders>
            <w:shd w:val="clear" w:color="auto" w:fill="auto"/>
            <w:noWrap/>
            <w:vAlign w:val="bottom"/>
            <w:hideMark/>
          </w:tcPr>
          <w:p w14:paraId="5C7018A9" w14:textId="77777777" w:rsidR="00932B19" w:rsidRPr="00E83ACE" w:rsidRDefault="00932B19" w:rsidP="004F2D3B">
            <w:pPr>
              <w:jc w:val="center"/>
              <w:rPr>
                <w:rFonts w:ascii="Arial" w:hAnsi="Arial" w:cs="Arial"/>
                <w:b/>
                <w:bCs/>
                <w:color w:val="000000"/>
                <w:sz w:val="20"/>
              </w:rPr>
            </w:pPr>
            <w:r w:rsidRPr="00E83ACE">
              <w:rPr>
                <w:rFonts w:ascii="Arial" w:hAnsi="Arial" w:cs="Arial"/>
                <w:b/>
                <w:bCs/>
                <w:color w:val="000000"/>
                <w:sz w:val="20"/>
              </w:rPr>
              <w:t>Somatic health</w:t>
            </w:r>
          </w:p>
        </w:tc>
        <w:tc>
          <w:tcPr>
            <w:tcW w:w="1920" w:type="dxa"/>
            <w:gridSpan w:val="2"/>
            <w:tcBorders>
              <w:top w:val="single" w:sz="4" w:space="0" w:color="auto"/>
              <w:left w:val="nil"/>
              <w:bottom w:val="nil"/>
              <w:right w:val="nil"/>
            </w:tcBorders>
            <w:shd w:val="clear" w:color="auto" w:fill="auto"/>
            <w:noWrap/>
            <w:vAlign w:val="bottom"/>
            <w:hideMark/>
          </w:tcPr>
          <w:p w14:paraId="536EE036" w14:textId="77777777" w:rsidR="00932B19" w:rsidRPr="00E83ACE" w:rsidRDefault="00932B19" w:rsidP="004F2D3B">
            <w:pPr>
              <w:jc w:val="center"/>
              <w:rPr>
                <w:rFonts w:ascii="Arial" w:hAnsi="Arial" w:cs="Arial"/>
                <w:b/>
                <w:bCs/>
                <w:color w:val="000000"/>
                <w:sz w:val="20"/>
              </w:rPr>
            </w:pPr>
            <w:r w:rsidRPr="00E83ACE">
              <w:rPr>
                <w:rFonts w:ascii="Arial" w:hAnsi="Arial" w:cs="Arial"/>
                <w:b/>
                <w:bCs/>
                <w:color w:val="000000"/>
                <w:sz w:val="20"/>
              </w:rPr>
              <w:t>Crime</w:t>
            </w:r>
          </w:p>
        </w:tc>
      </w:tr>
      <w:tr w:rsidR="00932B19" w:rsidRPr="00E83ACE" w14:paraId="58ECA0C4" w14:textId="77777777" w:rsidTr="004F2D3B">
        <w:trPr>
          <w:trHeight w:val="290"/>
        </w:trPr>
        <w:tc>
          <w:tcPr>
            <w:tcW w:w="1260" w:type="dxa"/>
            <w:tcBorders>
              <w:top w:val="nil"/>
              <w:left w:val="nil"/>
              <w:bottom w:val="single" w:sz="4" w:space="0" w:color="auto"/>
              <w:right w:val="nil"/>
            </w:tcBorders>
            <w:shd w:val="clear" w:color="auto" w:fill="auto"/>
            <w:noWrap/>
            <w:vAlign w:val="bottom"/>
            <w:hideMark/>
          </w:tcPr>
          <w:p w14:paraId="0E7A1E50" w14:textId="77777777" w:rsidR="00932B19" w:rsidRPr="00E83ACE" w:rsidRDefault="00932B19" w:rsidP="004F2D3B">
            <w:pPr>
              <w:jc w:val="center"/>
              <w:rPr>
                <w:rFonts w:ascii="Arial" w:hAnsi="Arial" w:cs="Arial"/>
                <w:color w:val="000000"/>
                <w:sz w:val="20"/>
              </w:rPr>
            </w:pPr>
          </w:p>
        </w:tc>
        <w:tc>
          <w:tcPr>
            <w:tcW w:w="840" w:type="dxa"/>
            <w:tcBorders>
              <w:top w:val="nil"/>
              <w:left w:val="nil"/>
              <w:bottom w:val="single" w:sz="4" w:space="0" w:color="auto"/>
              <w:right w:val="nil"/>
            </w:tcBorders>
            <w:shd w:val="clear" w:color="auto" w:fill="auto"/>
            <w:noWrap/>
            <w:vAlign w:val="bottom"/>
            <w:hideMark/>
          </w:tcPr>
          <w:p w14:paraId="7DE9982F"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n</w:t>
            </w:r>
          </w:p>
        </w:tc>
        <w:tc>
          <w:tcPr>
            <w:tcW w:w="1080" w:type="dxa"/>
            <w:tcBorders>
              <w:top w:val="nil"/>
              <w:left w:val="nil"/>
              <w:bottom w:val="single" w:sz="4" w:space="0" w:color="auto"/>
              <w:right w:val="nil"/>
            </w:tcBorders>
            <w:shd w:val="clear" w:color="auto" w:fill="auto"/>
            <w:noWrap/>
            <w:vAlign w:val="bottom"/>
            <w:hideMark/>
          </w:tcPr>
          <w:p w14:paraId="05803AF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Switchers</w:t>
            </w:r>
          </w:p>
        </w:tc>
        <w:tc>
          <w:tcPr>
            <w:tcW w:w="840" w:type="dxa"/>
            <w:tcBorders>
              <w:top w:val="nil"/>
              <w:left w:val="nil"/>
              <w:bottom w:val="single" w:sz="4" w:space="0" w:color="auto"/>
              <w:right w:val="nil"/>
            </w:tcBorders>
            <w:shd w:val="clear" w:color="auto" w:fill="auto"/>
            <w:noWrap/>
            <w:vAlign w:val="bottom"/>
            <w:hideMark/>
          </w:tcPr>
          <w:p w14:paraId="2362BAD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n</w:t>
            </w:r>
          </w:p>
        </w:tc>
        <w:tc>
          <w:tcPr>
            <w:tcW w:w="1080" w:type="dxa"/>
            <w:tcBorders>
              <w:top w:val="nil"/>
              <w:left w:val="nil"/>
              <w:bottom w:val="single" w:sz="4" w:space="0" w:color="auto"/>
              <w:right w:val="nil"/>
            </w:tcBorders>
            <w:shd w:val="clear" w:color="auto" w:fill="auto"/>
            <w:noWrap/>
            <w:vAlign w:val="bottom"/>
            <w:hideMark/>
          </w:tcPr>
          <w:p w14:paraId="1DA5E0C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Switchers</w:t>
            </w:r>
          </w:p>
        </w:tc>
        <w:tc>
          <w:tcPr>
            <w:tcW w:w="840" w:type="dxa"/>
            <w:tcBorders>
              <w:top w:val="nil"/>
              <w:left w:val="nil"/>
              <w:bottom w:val="single" w:sz="4" w:space="0" w:color="auto"/>
              <w:right w:val="nil"/>
            </w:tcBorders>
            <w:shd w:val="clear" w:color="auto" w:fill="auto"/>
            <w:noWrap/>
            <w:vAlign w:val="bottom"/>
            <w:hideMark/>
          </w:tcPr>
          <w:p w14:paraId="7FAC3D7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n</w:t>
            </w:r>
          </w:p>
        </w:tc>
        <w:tc>
          <w:tcPr>
            <w:tcW w:w="1080" w:type="dxa"/>
            <w:tcBorders>
              <w:top w:val="nil"/>
              <w:left w:val="nil"/>
              <w:bottom w:val="single" w:sz="4" w:space="0" w:color="auto"/>
              <w:right w:val="nil"/>
            </w:tcBorders>
            <w:shd w:val="clear" w:color="auto" w:fill="auto"/>
            <w:noWrap/>
            <w:vAlign w:val="bottom"/>
            <w:hideMark/>
          </w:tcPr>
          <w:p w14:paraId="0DBF6AB5"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Switchers</w:t>
            </w:r>
          </w:p>
        </w:tc>
        <w:tc>
          <w:tcPr>
            <w:tcW w:w="840" w:type="dxa"/>
            <w:tcBorders>
              <w:top w:val="nil"/>
              <w:left w:val="nil"/>
              <w:bottom w:val="single" w:sz="4" w:space="0" w:color="auto"/>
              <w:right w:val="nil"/>
            </w:tcBorders>
            <w:shd w:val="clear" w:color="auto" w:fill="auto"/>
            <w:noWrap/>
            <w:vAlign w:val="bottom"/>
            <w:hideMark/>
          </w:tcPr>
          <w:p w14:paraId="036D5F20"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n</w:t>
            </w:r>
          </w:p>
        </w:tc>
        <w:tc>
          <w:tcPr>
            <w:tcW w:w="1080" w:type="dxa"/>
            <w:tcBorders>
              <w:top w:val="nil"/>
              <w:left w:val="nil"/>
              <w:bottom w:val="single" w:sz="4" w:space="0" w:color="auto"/>
              <w:right w:val="nil"/>
            </w:tcBorders>
            <w:shd w:val="clear" w:color="auto" w:fill="auto"/>
            <w:noWrap/>
            <w:vAlign w:val="bottom"/>
            <w:hideMark/>
          </w:tcPr>
          <w:p w14:paraId="15E6F90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Switchers</w:t>
            </w:r>
          </w:p>
        </w:tc>
      </w:tr>
      <w:tr w:rsidR="00932B19" w:rsidRPr="00E83ACE" w14:paraId="4C419F97" w14:textId="77777777" w:rsidTr="004F2D3B">
        <w:trPr>
          <w:trHeight w:val="290"/>
        </w:trPr>
        <w:tc>
          <w:tcPr>
            <w:tcW w:w="1260" w:type="dxa"/>
            <w:tcBorders>
              <w:top w:val="nil"/>
              <w:left w:val="nil"/>
              <w:bottom w:val="nil"/>
              <w:right w:val="nil"/>
            </w:tcBorders>
            <w:shd w:val="clear" w:color="auto" w:fill="auto"/>
            <w:noWrap/>
            <w:vAlign w:val="bottom"/>
            <w:hideMark/>
          </w:tcPr>
          <w:p w14:paraId="08E05885"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t-4</w:t>
            </w:r>
          </w:p>
        </w:tc>
        <w:tc>
          <w:tcPr>
            <w:tcW w:w="840" w:type="dxa"/>
            <w:tcBorders>
              <w:top w:val="nil"/>
              <w:left w:val="nil"/>
              <w:bottom w:val="nil"/>
              <w:right w:val="nil"/>
            </w:tcBorders>
            <w:shd w:val="clear" w:color="auto" w:fill="auto"/>
            <w:noWrap/>
            <w:vAlign w:val="bottom"/>
            <w:hideMark/>
          </w:tcPr>
          <w:p w14:paraId="21B0AD93"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33709</w:t>
            </w:r>
          </w:p>
        </w:tc>
        <w:tc>
          <w:tcPr>
            <w:tcW w:w="1080" w:type="dxa"/>
            <w:tcBorders>
              <w:top w:val="nil"/>
              <w:left w:val="nil"/>
              <w:bottom w:val="nil"/>
              <w:right w:val="nil"/>
            </w:tcBorders>
            <w:shd w:val="clear" w:color="auto" w:fill="auto"/>
            <w:noWrap/>
            <w:vAlign w:val="bottom"/>
            <w:hideMark/>
          </w:tcPr>
          <w:p w14:paraId="11FFB04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c>
          <w:tcPr>
            <w:tcW w:w="840" w:type="dxa"/>
            <w:tcBorders>
              <w:top w:val="nil"/>
              <w:left w:val="nil"/>
              <w:bottom w:val="nil"/>
              <w:right w:val="nil"/>
            </w:tcBorders>
            <w:shd w:val="clear" w:color="auto" w:fill="auto"/>
            <w:noWrap/>
            <w:vAlign w:val="bottom"/>
            <w:hideMark/>
          </w:tcPr>
          <w:p w14:paraId="191A5F66"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33709</w:t>
            </w:r>
          </w:p>
        </w:tc>
        <w:tc>
          <w:tcPr>
            <w:tcW w:w="1080" w:type="dxa"/>
            <w:tcBorders>
              <w:top w:val="nil"/>
              <w:left w:val="nil"/>
              <w:bottom w:val="nil"/>
              <w:right w:val="nil"/>
            </w:tcBorders>
            <w:shd w:val="clear" w:color="auto" w:fill="auto"/>
            <w:noWrap/>
            <w:vAlign w:val="bottom"/>
            <w:hideMark/>
          </w:tcPr>
          <w:p w14:paraId="23CA8A1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c>
          <w:tcPr>
            <w:tcW w:w="840" w:type="dxa"/>
            <w:tcBorders>
              <w:top w:val="nil"/>
              <w:left w:val="nil"/>
              <w:bottom w:val="nil"/>
              <w:right w:val="nil"/>
            </w:tcBorders>
            <w:shd w:val="clear" w:color="auto" w:fill="auto"/>
            <w:noWrap/>
            <w:vAlign w:val="bottom"/>
            <w:hideMark/>
          </w:tcPr>
          <w:p w14:paraId="2C20A3D8"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33709</w:t>
            </w:r>
          </w:p>
        </w:tc>
        <w:tc>
          <w:tcPr>
            <w:tcW w:w="1080" w:type="dxa"/>
            <w:tcBorders>
              <w:top w:val="nil"/>
              <w:left w:val="nil"/>
              <w:bottom w:val="nil"/>
              <w:right w:val="nil"/>
            </w:tcBorders>
            <w:shd w:val="clear" w:color="auto" w:fill="auto"/>
            <w:noWrap/>
            <w:vAlign w:val="bottom"/>
            <w:hideMark/>
          </w:tcPr>
          <w:p w14:paraId="7B3A693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c>
          <w:tcPr>
            <w:tcW w:w="840" w:type="dxa"/>
            <w:tcBorders>
              <w:top w:val="nil"/>
              <w:left w:val="nil"/>
              <w:bottom w:val="nil"/>
              <w:right w:val="nil"/>
            </w:tcBorders>
            <w:shd w:val="clear" w:color="auto" w:fill="auto"/>
            <w:noWrap/>
            <w:vAlign w:val="bottom"/>
            <w:hideMark/>
          </w:tcPr>
          <w:p w14:paraId="0AE425D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33709</w:t>
            </w:r>
          </w:p>
        </w:tc>
        <w:tc>
          <w:tcPr>
            <w:tcW w:w="1080" w:type="dxa"/>
            <w:tcBorders>
              <w:top w:val="nil"/>
              <w:left w:val="nil"/>
              <w:bottom w:val="nil"/>
              <w:right w:val="nil"/>
            </w:tcBorders>
            <w:shd w:val="clear" w:color="auto" w:fill="auto"/>
            <w:noWrap/>
            <w:vAlign w:val="bottom"/>
            <w:hideMark/>
          </w:tcPr>
          <w:p w14:paraId="6D8CC3D4"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r>
      <w:tr w:rsidR="00932B19" w:rsidRPr="00E83ACE" w14:paraId="181C2B16" w14:textId="77777777" w:rsidTr="004F2D3B">
        <w:trPr>
          <w:trHeight w:val="290"/>
        </w:trPr>
        <w:tc>
          <w:tcPr>
            <w:tcW w:w="1260" w:type="dxa"/>
            <w:tcBorders>
              <w:top w:val="nil"/>
              <w:left w:val="nil"/>
              <w:bottom w:val="nil"/>
              <w:right w:val="nil"/>
            </w:tcBorders>
            <w:shd w:val="clear" w:color="auto" w:fill="auto"/>
            <w:noWrap/>
            <w:vAlign w:val="bottom"/>
            <w:hideMark/>
          </w:tcPr>
          <w:p w14:paraId="0C943C33"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t-3</w:t>
            </w:r>
          </w:p>
        </w:tc>
        <w:tc>
          <w:tcPr>
            <w:tcW w:w="840" w:type="dxa"/>
            <w:tcBorders>
              <w:top w:val="nil"/>
              <w:left w:val="nil"/>
              <w:bottom w:val="nil"/>
              <w:right w:val="nil"/>
            </w:tcBorders>
            <w:shd w:val="clear" w:color="auto" w:fill="auto"/>
            <w:noWrap/>
            <w:vAlign w:val="bottom"/>
            <w:hideMark/>
          </w:tcPr>
          <w:p w14:paraId="2DD629ED"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57404</w:t>
            </w:r>
          </w:p>
        </w:tc>
        <w:tc>
          <w:tcPr>
            <w:tcW w:w="1080" w:type="dxa"/>
            <w:tcBorders>
              <w:top w:val="nil"/>
              <w:left w:val="nil"/>
              <w:bottom w:val="nil"/>
              <w:right w:val="nil"/>
            </w:tcBorders>
            <w:shd w:val="clear" w:color="auto" w:fill="auto"/>
            <w:noWrap/>
            <w:vAlign w:val="bottom"/>
            <w:hideMark/>
          </w:tcPr>
          <w:p w14:paraId="0C1321D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c>
          <w:tcPr>
            <w:tcW w:w="840" w:type="dxa"/>
            <w:tcBorders>
              <w:top w:val="nil"/>
              <w:left w:val="nil"/>
              <w:bottom w:val="nil"/>
              <w:right w:val="nil"/>
            </w:tcBorders>
            <w:shd w:val="clear" w:color="auto" w:fill="auto"/>
            <w:noWrap/>
            <w:vAlign w:val="bottom"/>
            <w:hideMark/>
          </w:tcPr>
          <w:p w14:paraId="55053C05"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57404</w:t>
            </w:r>
          </w:p>
        </w:tc>
        <w:tc>
          <w:tcPr>
            <w:tcW w:w="1080" w:type="dxa"/>
            <w:tcBorders>
              <w:top w:val="nil"/>
              <w:left w:val="nil"/>
              <w:bottom w:val="nil"/>
              <w:right w:val="nil"/>
            </w:tcBorders>
            <w:shd w:val="clear" w:color="auto" w:fill="auto"/>
            <w:noWrap/>
            <w:vAlign w:val="bottom"/>
            <w:hideMark/>
          </w:tcPr>
          <w:p w14:paraId="44DC77A3"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c>
          <w:tcPr>
            <w:tcW w:w="840" w:type="dxa"/>
            <w:tcBorders>
              <w:top w:val="nil"/>
              <w:left w:val="nil"/>
              <w:bottom w:val="nil"/>
              <w:right w:val="nil"/>
            </w:tcBorders>
            <w:shd w:val="clear" w:color="auto" w:fill="auto"/>
            <w:noWrap/>
            <w:vAlign w:val="bottom"/>
            <w:hideMark/>
          </w:tcPr>
          <w:p w14:paraId="58E690A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57404</w:t>
            </w:r>
          </w:p>
        </w:tc>
        <w:tc>
          <w:tcPr>
            <w:tcW w:w="1080" w:type="dxa"/>
            <w:tcBorders>
              <w:top w:val="nil"/>
              <w:left w:val="nil"/>
              <w:bottom w:val="nil"/>
              <w:right w:val="nil"/>
            </w:tcBorders>
            <w:shd w:val="clear" w:color="auto" w:fill="auto"/>
            <w:noWrap/>
            <w:vAlign w:val="bottom"/>
            <w:hideMark/>
          </w:tcPr>
          <w:p w14:paraId="2048AB8B"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c>
          <w:tcPr>
            <w:tcW w:w="840" w:type="dxa"/>
            <w:tcBorders>
              <w:top w:val="nil"/>
              <w:left w:val="nil"/>
              <w:bottom w:val="nil"/>
              <w:right w:val="nil"/>
            </w:tcBorders>
            <w:shd w:val="clear" w:color="auto" w:fill="auto"/>
            <w:noWrap/>
            <w:vAlign w:val="bottom"/>
            <w:hideMark/>
          </w:tcPr>
          <w:p w14:paraId="1EE9A88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57404</w:t>
            </w:r>
          </w:p>
        </w:tc>
        <w:tc>
          <w:tcPr>
            <w:tcW w:w="1080" w:type="dxa"/>
            <w:tcBorders>
              <w:top w:val="nil"/>
              <w:left w:val="nil"/>
              <w:bottom w:val="nil"/>
              <w:right w:val="nil"/>
            </w:tcBorders>
            <w:shd w:val="clear" w:color="auto" w:fill="auto"/>
            <w:noWrap/>
            <w:vAlign w:val="bottom"/>
            <w:hideMark/>
          </w:tcPr>
          <w:p w14:paraId="04F3CD6B"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r>
      <w:tr w:rsidR="00932B19" w:rsidRPr="00E83ACE" w14:paraId="5836057F" w14:textId="77777777" w:rsidTr="004F2D3B">
        <w:trPr>
          <w:trHeight w:val="290"/>
        </w:trPr>
        <w:tc>
          <w:tcPr>
            <w:tcW w:w="1260" w:type="dxa"/>
            <w:tcBorders>
              <w:top w:val="nil"/>
              <w:left w:val="nil"/>
              <w:bottom w:val="nil"/>
              <w:right w:val="nil"/>
            </w:tcBorders>
            <w:shd w:val="clear" w:color="auto" w:fill="auto"/>
            <w:noWrap/>
            <w:vAlign w:val="bottom"/>
            <w:hideMark/>
          </w:tcPr>
          <w:p w14:paraId="0BAD9AB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t-2</w:t>
            </w:r>
          </w:p>
        </w:tc>
        <w:tc>
          <w:tcPr>
            <w:tcW w:w="840" w:type="dxa"/>
            <w:tcBorders>
              <w:top w:val="nil"/>
              <w:left w:val="nil"/>
              <w:bottom w:val="nil"/>
              <w:right w:val="nil"/>
            </w:tcBorders>
            <w:shd w:val="clear" w:color="auto" w:fill="auto"/>
            <w:noWrap/>
            <w:vAlign w:val="bottom"/>
            <w:hideMark/>
          </w:tcPr>
          <w:p w14:paraId="1E1579B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80657</w:t>
            </w:r>
          </w:p>
        </w:tc>
        <w:tc>
          <w:tcPr>
            <w:tcW w:w="1080" w:type="dxa"/>
            <w:tcBorders>
              <w:top w:val="nil"/>
              <w:left w:val="nil"/>
              <w:bottom w:val="nil"/>
              <w:right w:val="nil"/>
            </w:tcBorders>
            <w:shd w:val="clear" w:color="auto" w:fill="auto"/>
            <w:noWrap/>
            <w:vAlign w:val="bottom"/>
            <w:hideMark/>
          </w:tcPr>
          <w:p w14:paraId="38EBE28F"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c>
          <w:tcPr>
            <w:tcW w:w="840" w:type="dxa"/>
            <w:tcBorders>
              <w:top w:val="nil"/>
              <w:left w:val="nil"/>
              <w:bottom w:val="nil"/>
              <w:right w:val="nil"/>
            </w:tcBorders>
            <w:shd w:val="clear" w:color="auto" w:fill="auto"/>
            <w:noWrap/>
            <w:vAlign w:val="bottom"/>
            <w:hideMark/>
          </w:tcPr>
          <w:p w14:paraId="4C5F69C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80657</w:t>
            </w:r>
          </w:p>
        </w:tc>
        <w:tc>
          <w:tcPr>
            <w:tcW w:w="1080" w:type="dxa"/>
            <w:tcBorders>
              <w:top w:val="nil"/>
              <w:left w:val="nil"/>
              <w:bottom w:val="nil"/>
              <w:right w:val="nil"/>
            </w:tcBorders>
            <w:shd w:val="clear" w:color="auto" w:fill="auto"/>
            <w:noWrap/>
            <w:vAlign w:val="bottom"/>
            <w:hideMark/>
          </w:tcPr>
          <w:p w14:paraId="036AE63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c>
          <w:tcPr>
            <w:tcW w:w="840" w:type="dxa"/>
            <w:tcBorders>
              <w:top w:val="nil"/>
              <w:left w:val="nil"/>
              <w:bottom w:val="nil"/>
              <w:right w:val="nil"/>
            </w:tcBorders>
            <w:shd w:val="clear" w:color="auto" w:fill="auto"/>
            <w:noWrap/>
            <w:vAlign w:val="bottom"/>
            <w:hideMark/>
          </w:tcPr>
          <w:p w14:paraId="370EB8C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80657</w:t>
            </w:r>
          </w:p>
        </w:tc>
        <w:tc>
          <w:tcPr>
            <w:tcW w:w="1080" w:type="dxa"/>
            <w:tcBorders>
              <w:top w:val="nil"/>
              <w:left w:val="nil"/>
              <w:bottom w:val="nil"/>
              <w:right w:val="nil"/>
            </w:tcBorders>
            <w:shd w:val="clear" w:color="auto" w:fill="auto"/>
            <w:noWrap/>
            <w:vAlign w:val="bottom"/>
            <w:hideMark/>
          </w:tcPr>
          <w:p w14:paraId="4AD37A3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c>
          <w:tcPr>
            <w:tcW w:w="840" w:type="dxa"/>
            <w:tcBorders>
              <w:top w:val="nil"/>
              <w:left w:val="nil"/>
              <w:bottom w:val="nil"/>
              <w:right w:val="nil"/>
            </w:tcBorders>
            <w:shd w:val="clear" w:color="auto" w:fill="auto"/>
            <w:noWrap/>
            <w:vAlign w:val="bottom"/>
            <w:hideMark/>
          </w:tcPr>
          <w:p w14:paraId="2E056F1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80657</w:t>
            </w:r>
          </w:p>
        </w:tc>
        <w:tc>
          <w:tcPr>
            <w:tcW w:w="1080" w:type="dxa"/>
            <w:tcBorders>
              <w:top w:val="nil"/>
              <w:left w:val="nil"/>
              <w:bottom w:val="nil"/>
              <w:right w:val="nil"/>
            </w:tcBorders>
            <w:shd w:val="clear" w:color="auto" w:fill="auto"/>
            <w:noWrap/>
            <w:vAlign w:val="bottom"/>
            <w:hideMark/>
          </w:tcPr>
          <w:p w14:paraId="2183CC0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r>
      <w:tr w:rsidR="00932B19" w:rsidRPr="00E83ACE" w14:paraId="734C7FB5" w14:textId="77777777" w:rsidTr="004F2D3B">
        <w:trPr>
          <w:trHeight w:val="290"/>
        </w:trPr>
        <w:tc>
          <w:tcPr>
            <w:tcW w:w="1260" w:type="dxa"/>
            <w:tcBorders>
              <w:top w:val="nil"/>
              <w:left w:val="nil"/>
              <w:bottom w:val="nil"/>
              <w:right w:val="nil"/>
            </w:tcBorders>
            <w:shd w:val="clear" w:color="auto" w:fill="auto"/>
            <w:noWrap/>
            <w:vAlign w:val="bottom"/>
            <w:hideMark/>
          </w:tcPr>
          <w:p w14:paraId="2B7DCFC0"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t0</w:t>
            </w:r>
          </w:p>
        </w:tc>
        <w:tc>
          <w:tcPr>
            <w:tcW w:w="840" w:type="dxa"/>
            <w:tcBorders>
              <w:top w:val="nil"/>
              <w:left w:val="nil"/>
              <w:bottom w:val="nil"/>
              <w:right w:val="nil"/>
            </w:tcBorders>
            <w:shd w:val="clear" w:color="auto" w:fill="auto"/>
            <w:noWrap/>
            <w:vAlign w:val="bottom"/>
            <w:hideMark/>
          </w:tcPr>
          <w:p w14:paraId="1497C0D6"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91818</w:t>
            </w:r>
          </w:p>
        </w:tc>
        <w:tc>
          <w:tcPr>
            <w:tcW w:w="1080" w:type="dxa"/>
            <w:tcBorders>
              <w:top w:val="nil"/>
              <w:left w:val="nil"/>
              <w:bottom w:val="nil"/>
              <w:right w:val="nil"/>
            </w:tcBorders>
            <w:shd w:val="clear" w:color="auto" w:fill="auto"/>
            <w:noWrap/>
            <w:vAlign w:val="bottom"/>
            <w:hideMark/>
          </w:tcPr>
          <w:p w14:paraId="1CCD7B2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c>
          <w:tcPr>
            <w:tcW w:w="840" w:type="dxa"/>
            <w:tcBorders>
              <w:top w:val="nil"/>
              <w:left w:val="nil"/>
              <w:bottom w:val="nil"/>
              <w:right w:val="nil"/>
            </w:tcBorders>
            <w:shd w:val="clear" w:color="auto" w:fill="auto"/>
            <w:noWrap/>
            <w:vAlign w:val="bottom"/>
            <w:hideMark/>
          </w:tcPr>
          <w:p w14:paraId="11FB585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91818</w:t>
            </w:r>
          </w:p>
        </w:tc>
        <w:tc>
          <w:tcPr>
            <w:tcW w:w="1080" w:type="dxa"/>
            <w:tcBorders>
              <w:top w:val="nil"/>
              <w:left w:val="nil"/>
              <w:bottom w:val="nil"/>
              <w:right w:val="nil"/>
            </w:tcBorders>
            <w:shd w:val="clear" w:color="auto" w:fill="auto"/>
            <w:noWrap/>
            <w:vAlign w:val="bottom"/>
            <w:hideMark/>
          </w:tcPr>
          <w:p w14:paraId="7279107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c>
          <w:tcPr>
            <w:tcW w:w="840" w:type="dxa"/>
            <w:tcBorders>
              <w:top w:val="nil"/>
              <w:left w:val="nil"/>
              <w:bottom w:val="nil"/>
              <w:right w:val="nil"/>
            </w:tcBorders>
            <w:shd w:val="clear" w:color="auto" w:fill="auto"/>
            <w:noWrap/>
            <w:vAlign w:val="bottom"/>
            <w:hideMark/>
          </w:tcPr>
          <w:p w14:paraId="297A9A86"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91818</w:t>
            </w:r>
          </w:p>
        </w:tc>
        <w:tc>
          <w:tcPr>
            <w:tcW w:w="1080" w:type="dxa"/>
            <w:tcBorders>
              <w:top w:val="nil"/>
              <w:left w:val="nil"/>
              <w:bottom w:val="nil"/>
              <w:right w:val="nil"/>
            </w:tcBorders>
            <w:shd w:val="clear" w:color="auto" w:fill="auto"/>
            <w:noWrap/>
            <w:vAlign w:val="bottom"/>
            <w:hideMark/>
          </w:tcPr>
          <w:p w14:paraId="5F86DE1F"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c>
          <w:tcPr>
            <w:tcW w:w="840" w:type="dxa"/>
            <w:tcBorders>
              <w:top w:val="nil"/>
              <w:left w:val="nil"/>
              <w:bottom w:val="nil"/>
              <w:right w:val="nil"/>
            </w:tcBorders>
            <w:shd w:val="clear" w:color="auto" w:fill="auto"/>
            <w:noWrap/>
            <w:vAlign w:val="bottom"/>
            <w:hideMark/>
          </w:tcPr>
          <w:p w14:paraId="54042420"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91818</w:t>
            </w:r>
          </w:p>
        </w:tc>
        <w:tc>
          <w:tcPr>
            <w:tcW w:w="1080" w:type="dxa"/>
            <w:tcBorders>
              <w:top w:val="nil"/>
              <w:left w:val="nil"/>
              <w:bottom w:val="nil"/>
              <w:right w:val="nil"/>
            </w:tcBorders>
            <w:shd w:val="clear" w:color="auto" w:fill="auto"/>
            <w:noWrap/>
            <w:vAlign w:val="bottom"/>
            <w:hideMark/>
          </w:tcPr>
          <w:p w14:paraId="3DEAC9CD"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11675</w:t>
            </w:r>
          </w:p>
        </w:tc>
      </w:tr>
      <w:tr w:rsidR="00932B19" w:rsidRPr="00E83ACE" w14:paraId="41A8FBB7" w14:textId="77777777" w:rsidTr="004F2D3B">
        <w:trPr>
          <w:trHeight w:val="290"/>
        </w:trPr>
        <w:tc>
          <w:tcPr>
            <w:tcW w:w="1260" w:type="dxa"/>
            <w:tcBorders>
              <w:top w:val="nil"/>
              <w:left w:val="nil"/>
              <w:bottom w:val="nil"/>
              <w:right w:val="nil"/>
            </w:tcBorders>
            <w:shd w:val="clear" w:color="auto" w:fill="auto"/>
            <w:noWrap/>
            <w:vAlign w:val="bottom"/>
            <w:hideMark/>
          </w:tcPr>
          <w:p w14:paraId="58CC327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t1</w:t>
            </w:r>
          </w:p>
        </w:tc>
        <w:tc>
          <w:tcPr>
            <w:tcW w:w="840" w:type="dxa"/>
            <w:tcBorders>
              <w:top w:val="nil"/>
              <w:left w:val="nil"/>
              <w:bottom w:val="nil"/>
              <w:right w:val="nil"/>
            </w:tcBorders>
            <w:shd w:val="clear" w:color="auto" w:fill="auto"/>
            <w:noWrap/>
            <w:vAlign w:val="bottom"/>
            <w:hideMark/>
          </w:tcPr>
          <w:p w14:paraId="2CB91F34"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79810</w:t>
            </w:r>
          </w:p>
        </w:tc>
        <w:tc>
          <w:tcPr>
            <w:tcW w:w="1080" w:type="dxa"/>
            <w:tcBorders>
              <w:top w:val="nil"/>
              <w:left w:val="nil"/>
              <w:bottom w:val="nil"/>
              <w:right w:val="nil"/>
            </w:tcBorders>
            <w:shd w:val="clear" w:color="auto" w:fill="auto"/>
            <w:noWrap/>
            <w:vAlign w:val="bottom"/>
            <w:hideMark/>
          </w:tcPr>
          <w:p w14:paraId="54EEE02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c>
          <w:tcPr>
            <w:tcW w:w="840" w:type="dxa"/>
            <w:tcBorders>
              <w:top w:val="nil"/>
              <w:left w:val="nil"/>
              <w:bottom w:val="nil"/>
              <w:right w:val="nil"/>
            </w:tcBorders>
            <w:shd w:val="clear" w:color="auto" w:fill="auto"/>
            <w:noWrap/>
            <w:vAlign w:val="bottom"/>
            <w:hideMark/>
          </w:tcPr>
          <w:p w14:paraId="6B1A6FA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79810</w:t>
            </w:r>
          </w:p>
        </w:tc>
        <w:tc>
          <w:tcPr>
            <w:tcW w:w="1080" w:type="dxa"/>
            <w:tcBorders>
              <w:top w:val="nil"/>
              <w:left w:val="nil"/>
              <w:bottom w:val="nil"/>
              <w:right w:val="nil"/>
            </w:tcBorders>
            <w:shd w:val="clear" w:color="auto" w:fill="auto"/>
            <w:noWrap/>
            <w:vAlign w:val="bottom"/>
            <w:hideMark/>
          </w:tcPr>
          <w:p w14:paraId="703AC6BD"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c>
          <w:tcPr>
            <w:tcW w:w="840" w:type="dxa"/>
            <w:tcBorders>
              <w:top w:val="nil"/>
              <w:left w:val="nil"/>
              <w:bottom w:val="nil"/>
              <w:right w:val="nil"/>
            </w:tcBorders>
            <w:shd w:val="clear" w:color="auto" w:fill="auto"/>
            <w:noWrap/>
            <w:vAlign w:val="bottom"/>
            <w:hideMark/>
          </w:tcPr>
          <w:p w14:paraId="19E735C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79810</w:t>
            </w:r>
          </w:p>
        </w:tc>
        <w:tc>
          <w:tcPr>
            <w:tcW w:w="1080" w:type="dxa"/>
            <w:tcBorders>
              <w:top w:val="nil"/>
              <w:left w:val="nil"/>
              <w:bottom w:val="nil"/>
              <w:right w:val="nil"/>
            </w:tcBorders>
            <w:shd w:val="clear" w:color="auto" w:fill="auto"/>
            <w:noWrap/>
            <w:vAlign w:val="bottom"/>
            <w:hideMark/>
          </w:tcPr>
          <w:p w14:paraId="5606C32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c>
          <w:tcPr>
            <w:tcW w:w="840" w:type="dxa"/>
            <w:tcBorders>
              <w:top w:val="nil"/>
              <w:left w:val="nil"/>
              <w:bottom w:val="nil"/>
              <w:right w:val="nil"/>
            </w:tcBorders>
            <w:shd w:val="clear" w:color="auto" w:fill="auto"/>
            <w:noWrap/>
            <w:vAlign w:val="bottom"/>
            <w:hideMark/>
          </w:tcPr>
          <w:p w14:paraId="5C7A4B7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79810</w:t>
            </w:r>
          </w:p>
        </w:tc>
        <w:tc>
          <w:tcPr>
            <w:tcW w:w="1080" w:type="dxa"/>
            <w:tcBorders>
              <w:top w:val="nil"/>
              <w:left w:val="nil"/>
              <w:bottom w:val="nil"/>
              <w:right w:val="nil"/>
            </w:tcBorders>
            <w:shd w:val="clear" w:color="auto" w:fill="auto"/>
            <w:noWrap/>
            <w:vAlign w:val="bottom"/>
            <w:hideMark/>
          </w:tcPr>
          <w:p w14:paraId="5AAD33C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11445</w:t>
            </w:r>
          </w:p>
        </w:tc>
      </w:tr>
      <w:tr w:rsidR="00932B19" w:rsidRPr="00E83ACE" w14:paraId="7791B11C" w14:textId="77777777" w:rsidTr="004F2D3B">
        <w:trPr>
          <w:trHeight w:val="290"/>
        </w:trPr>
        <w:tc>
          <w:tcPr>
            <w:tcW w:w="1260" w:type="dxa"/>
            <w:tcBorders>
              <w:top w:val="nil"/>
              <w:left w:val="nil"/>
              <w:bottom w:val="nil"/>
              <w:right w:val="nil"/>
            </w:tcBorders>
            <w:shd w:val="clear" w:color="auto" w:fill="auto"/>
            <w:noWrap/>
            <w:vAlign w:val="bottom"/>
            <w:hideMark/>
          </w:tcPr>
          <w:p w14:paraId="0ACD76D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t2</w:t>
            </w:r>
          </w:p>
        </w:tc>
        <w:tc>
          <w:tcPr>
            <w:tcW w:w="840" w:type="dxa"/>
            <w:tcBorders>
              <w:top w:val="nil"/>
              <w:left w:val="nil"/>
              <w:bottom w:val="nil"/>
              <w:right w:val="nil"/>
            </w:tcBorders>
            <w:shd w:val="clear" w:color="auto" w:fill="auto"/>
            <w:noWrap/>
            <w:vAlign w:val="bottom"/>
            <w:hideMark/>
          </w:tcPr>
          <w:p w14:paraId="075419E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67479</w:t>
            </w:r>
          </w:p>
        </w:tc>
        <w:tc>
          <w:tcPr>
            <w:tcW w:w="1080" w:type="dxa"/>
            <w:tcBorders>
              <w:top w:val="nil"/>
              <w:left w:val="nil"/>
              <w:bottom w:val="nil"/>
              <w:right w:val="nil"/>
            </w:tcBorders>
            <w:shd w:val="clear" w:color="auto" w:fill="auto"/>
            <w:noWrap/>
            <w:vAlign w:val="bottom"/>
            <w:hideMark/>
          </w:tcPr>
          <w:p w14:paraId="40717A1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c>
          <w:tcPr>
            <w:tcW w:w="840" w:type="dxa"/>
            <w:tcBorders>
              <w:top w:val="nil"/>
              <w:left w:val="nil"/>
              <w:bottom w:val="nil"/>
              <w:right w:val="nil"/>
            </w:tcBorders>
            <w:shd w:val="clear" w:color="auto" w:fill="auto"/>
            <w:noWrap/>
            <w:vAlign w:val="bottom"/>
            <w:hideMark/>
          </w:tcPr>
          <w:p w14:paraId="5C64DA4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67479</w:t>
            </w:r>
          </w:p>
        </w:tc>
        <w:tc>
          <w:tcPr>
            <w:tcW w:w="1080" w:type="dxa"/>
            <w:tcBorders>
              <w:top w:val="nil"/>
              <w:left w:val="nil"/>
              <w:bottom w:val="nil"/>
              <w:right w:val="nil"/>
            </w:tcBorders>
            <w:shd w:val="clear" w:color="auto" w:fill="auto"/>
            <w:noWrap/>
            <w:vAlign w:val="bottom"/>
            <w:hideMark/>
          </w:tcPr>
          <w:p w14:paraId="2415E806"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c>
          <w:tcPr>
            <w:tcW w:w="840" w:type="dxa"/>
            <w:tcBorders>
              <w:top w:val="nil"/>
              <w:left w:val="nil"/>
              <w:bottom w:val="nil"/>
              <w:right w:val="nil"/>
            </w:tcBorders>
            <w:shd w:val="clear" w:color="auto" w:fill="auto"/>
            <w:noWrap/>
            <w:vAlign w:val="bottom"/>
            <w:hideMark/>
          </w:tcPr>
          <w:p w14:paraId="7773040B"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67479</w:t>
            </w:r>
          </w:p>
        </w:tc>
        <w:tc>
          <w:tcPr>
            <w:tcW w:w="1080" w:type="dxa"/>
            <w:tcBorders>
              <w:top w:val="nil"/>
              <w:left w:val="nil"/>
              <w:bottom w:val="nil"/>
              <w:right w:val="nil"/>
            </w:tcBorders>
            <w:shd w:val="clear" w:color="auto" w:fill="auto"/>
            <w:noWrap/>
            <w:vAlign w:val="bottom"/>
            <w:hideMark/>
          </w:tcPr>
          <w:p w14:paraId="126F2058"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c>
          <w:tcPr>
            <w:tcW w:w="840" w:type="dxa"/>
            <w:tcBorders>
              <w:top w:val="nil"/>
              <w:left w:val="nil"/>
              <w:bottom w:val="nil"/>
              <w:right w:val="nil"/>
            </w:tcBorders>
            <w:shd w:val="clear" w:color="auto" w:fill="auto"/>
            <w:noWrap/>
            <w:vAlign w:val="bottom"/>
            <w:hideMark/>
          </w:tcPr>
          <w:p w14:paraId="4C389DAB"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67479</w:t>
            </w:r>
          </w:p>
        </w:tc>
        <w:tc>
          <w:tcPr>
            <w:tcW w:w="1080" w:type="dxa"/>
            <w:tcBorders>
              <w:top w:val="nil"/>
              <w:left w:val="nil"/>
              <w:bottom w:val="nil"/>
              <w:right w:val="nil"/>
            </w:tcBorders>
            <w:shd w:val="clear" w:color="auto" w:fill="auto"/>
            <w:noWrap/>
            <w:vAlign w:val="bottom"/>
            <w:hideMark/>
          </w:tcPr>
          <w:p w14:paraId="330590D3"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10787</w:t>
            </w:r>
          </w:p>
        </w:tc>
      </w:tr>
      <w:tr w:rsidR="00932B19" w:rsidRPr="00E83ACE" w14:paraId="45DCF281" w14:textId="77777777" w:rsidTr="004F2D3B">
        <w:trPr>
          <w:trHeight w:val="290"/>
        </w:trPr>
        <w:tc>
          <w:tcPr>
            <w:tcW w:w="1260" w:type="dxa"/>
            <w:tcBorders>
              <w:top w:val="nil"/>
              <w:left w:val="nil"/>
              <w:bottom w:val="nil"/>
              <w:right w:val="nil"/>
            </w:tcBorders>
            <w:shd w:val="clear" w:color="auto" w:fill="auto"/>
            <w:noWrap/>
            <w:vAlign w:val="bottom"/>
            <w:hideMark/>
          </w:tcPr>
          <w:p w14:paraId="2B4483C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t3</w:t>
            </w:r>
          </w:p>
        </w:tc>
        <w:tc>
          <w:tcPr>
            <w:tcW w:w="840" w:type="dxa"/>
            <w:tcBorders>
              <w:top w:val="nil"/>
              <w:left w:val="nil"/>
              <w:bottom w:val="nil"/>
              <w:right w:val="nil"/>
            </w:tcBorders>
            <w:shd w:val="clear" w:color="auto" w:fill="auto"/>
            <w:noWrap/>
            <w:vAlign w:val="bottom"/>
            <w:hideMark/>
          </w:tcPr>
          <w:p w14:paraId="7E80F010"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55207</w:t>
            </w:r>
          </w:p>
        </w:tc>
        <w:tc>
          <w:tcPr>
            <w:tcW w:w="1080" w:type="dxa"/>
            <w:tcBorders>
              <w:top w:val="nil"/>
              <w:left w:val="nil"/>
              <w:bottom w:val="nil"/>
              <w:right w:val="nil"/>
            </w:tcBorders>
            <w:shd w:val="clear" w:color="auto" w:fill="auto"/>
            <w:noWrap/>
            <w:vAlign w:val="bottom"/>
            <w:hideMark/>
          </w:tcPr>
          <w:p w14:paraId="3386968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10113</w:t>
            </w:r>
          </w:p>
        </w:tc>
        <w:tc>
          <w:tcPr>
            <w:tcW w:w="840" w:type="dxa"/>
            <w:tcBorders>
              <w:top w:val="nil"/>
              <w:left w:val="nil"/>
              <w:bottom w:val="nil"/>
              <w:right w:val="nil"/>
            </w:tcBorders>
            <w:shd w:val="clear" w:color="auto" w:fill="auto"/>
            <w:noWrap/>
            <w:vAlign w:val="bottom"/>
            <w:hideMark/>
          </w:tcPr>
          <w:p w14:paraId="4D4A085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55207</w:t>
            </w:r>
          </w:p>
        </w:tc>
        <w:tc>
          <w:tcPr>
            <w:tcW w:w="1080" w:type="dxa"/>
            <w:tcBorders>
              <w:top w:val="nil"/>
              <w:left w:val="nil"/>
              <w:bottom w:val="nil"/>
              <w:right w:val="nil"/>
            </w:tcBorders>
            <w:shd w:val="clear" w:color="auto" w:fill="auto"/>
            <w:noWrap/>
            <w:vAlign w:val="bottom"/>
            <w:hideMark/>
          </w:tcPr>
          <w:p w14:paraId="2C2FEEF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10113</w:t>
            </w:r>
          </w:p>
        </w:tc>
        <w:tc>
          <w:tcPr>
            <w:tcW w:w="840" w:type="dxa"/>
            <w:tcBorders>
              <w:top w:val="nil"/>
              <w:left w:val="nil"/>
              <w:bottom w:val="nil"/>
              <w:right w:val="nil"/>
            </w:tcBorders>
            <w:shd w:val="clear" w:color="auto" w:fill="auto"/>
            <w:noWrap/>
            <w:vAlign w:val="bottom"/>
            <w:hideMark/>
          </w:tcPr>
          <w:p w14:paraId="45F04EE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55207</w:t>
            </w:r>
          </w:p>
        </w:tc>
        <w:tc>
          <w:tcPr>
            <w:tcW w:w="1080" w:type="dxa"/>
            <w:tcBorders>
              <w:top w:val="nil"/>
              <w:left w:val="nil"/>
              <w:bottom w:val="nil"/>
              <w:right w:val="nil"/>
            </w:tcBorders>
            <w:shd w:val="clear" w:color="auto" w:fill="auto"/>
            <w:noWrap/>
            <w:vAlign w:val="bottom"/>
            <w:hideMark/>
          </w:tcPr>
          <w:p w14:paraId="2F0EE7F4"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10113</w:t>
            </w:r>
          </w:p>
        </w:tc>
        <w:tc>
          <w:tcPr>
            <w:tcW w:w="840" w:type="dxa"/>
            <w:tcBorders>
              <w:top w:val="nil"/>
              <w:left w:val="nil"/>
              <w:bottom w:val="nil"/>
              <w:right w:val="nil"/>
            </w:tcBorders>
            <w:shd w:val="clear" w:color="auto" w:fill="auto"/>
            <w:noWrap/>
            <w:vAlign w:val="bottom"/>
            <w:hideMark/>
          </w:tcPr>
          <w:p w14:paraId="69E549C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55207</w:t>
            </w:r>
          </w:p>
        </w:tc>
        <w:tc>
          <w:tcPr>
            <w:tcW w:w="1080" w:type="dxa"/>
            <w:tcBorders>
              <w:top w:val="nil"/>
              <w:left w:val="nil"/>
              <w:bottom w:val="nil"/>
              <w:right w:val="nil"/>
            </w:tcBorders>
            <w:shd w:val="clear" w:color="auto" w:fill="auto"/>
            <w:noWrap/>
            <w:vAlign w:val="bottom"/>
            <w:hideMark/>
          </w:tcPr>
          <w:p w14:paraId="1C4CB588"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10113</w:t>
            </w:r>
          </w:p>
        </w:tc>
      </w:tr>
      <w:tr w:rsidR="00932B19" w:rsidRPr="00E83ACE" w14:paraId="6C7C574F" w14:textId="77777777" w:rsidTr="004F2D3B">
        <w:trPr>
          <w:trHeight w:val="290"/>
        </w:trPr>
        <w:tc>
          <w:tcPr>
            <w:tcW w:w="1260" w:type="dxa"/>
            <w:tcBorders>
              <w:top w:val="nil"/>
              <w:left w:val="nil"/>
              <w:bottom w:val="nil"/>
              <w:right w:val="nil"/>
            </w:tcBorders>
            <w:shd w:val="clear" w:color="auto" w:fill="auto"/>
            <w:noWrap/>
            <w:vAlign w:val="bottom"/>
            <w:hideMark/>
          </w:tcPr>
          <w:p w14:paraId="48501F5F"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t4</w:t>
            </w:r>
          </w:p>
        </w:tc>
        <w:tc>
          <w:tcPr>
            <w:tcW w:w="840" w:type="dxa"/>
            <w:tcBorders>
              <w:top w:val="nil"/>
              <w:left w:val="nil"/>
              <w:bottom w:val="nil"/>
              <w:right w:val="nil"/>
            </w:tcBorders>
            <w:shd w:val="clear" w:color="auto" w:fill="auto"/>
            <w:noWrap/>
            <w:vAlign w:val="bottom"/>
            <w:hideMark/>
          </w:tcPr>
          <w:p w14:paraId="44D0578D"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43027</w:t>
            </w:r>
          </w:p>
        </w:tc>
        <w:tc>
          <w:tcPr>
            <w:tcW w:w="1080" w:type="dxa"/>
            <w:tcBorders>
              <w:top w:val="nil"/>
              <w:left w:val="nil"/>
              <w:bottom w:val="nil"/>
              <w:right w:val="nil"/>
            </w:tcBorders>
            <w:shd w:val="clear" w:color="auto" w:fill="auto"/>
            <w:noWrap/>
            <w:vAlign w:val="bottom"/>
            <w:hideMark/>
          </w:tcPr>
          <w:p w14:paraId="07BBA67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9422</w:t>
            </w:r>
          </w:p>
        </w:tc>
        <w:tc>
          <w:tcPr>
            <w:tcW w:w="840" w:type="dxa"/>
            <w:tcBorders>
              <w:top w:val="nil"/>
              <w:left w:val="nil"/>
              <w:bottom w:val="nil"/>
              <w:right w:val="nil"/>
            </w:tcBorders>
            <w:shd w:val="clear" w:color="auto" w:fill="auto"/>
            <w:noWrap/>
            <w:vAlign w:val="bottom"/>
            <w:hideMark/>
          </w:tcPr>
          <w:p w14:paraId="44EE392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43027</w:t>
            </w:r>
          </w:p>
        </w:tc>
        <w:tc>
          <w:tcPr>
            <w:tcW w:w="1080" w:type="dxa"/>
            <w:tcBorders>
              <w:top w:val="nil"/>
              <w:left w:val="nil"/>
              <w:bottom w:val="nil"/>
              <w:right w:val="nil"/>
            </w:tcBorders>
            <w:shd w:val="clear" w:color="auto" w:fill="auto"/>
            <w:noWrap/>
            <w:vAlign w:val="bottom"/>
            <w:hideMark/>
          </w:tcPr>
          <w:p w14:paraId="0213C57F"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9422</w:t>
            </w:r>
          </w:p>
        </w:tc>
        <w:tc>
          <w:tcPr>
            <w:tcW w:w="840" w:type="dxa"/>
            <w:tcBorders>
              <w:top w:val="nil"/>
              <w:left w:val="nil"/>
              <w:bottom w:val="nil"/>
              <w:right w:val="nil"/>
            </w:tcBorders>
            <w:shd w:val="clear" w:color="auto" w:fill="auto"/>
            <w:noWrap/>
            <w:vAlign w:val="bottom"/>
            <w:hideMark/>
          </w:tcPr>
          <w:p w14:paraId="4B8C465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43027</w:t>
            </w:r>
          </w:p>
        </w:tc>
        <w:tc>
          <w:tcPr>
            <w:tcW w:w="1080" w:type="dxa"/>
            <w:tcBorders>
              <w:top w:val="nil"/>
              <w:left w:val="nil"/>
              <w:bottom w:val="nil"/>
              <w:right w:val="nil"/>
            </w:tcBorders>
            <w:shd w:val="clear" w:color="auto" w:fill="auto"/>
            <w:noWrap/>
            <w:vAlign w:val="bottom"/>
            <w:hideMark/>
          </w:tcPr>
          <w:p w14:paraId="5F727F9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9422</w:t>
            </w:r>
          </w:p>
        </w:tc>
        <w:tc>
          <w:tcPr>
            <w:tcW w:w="840" w:type="dxa"/>
            <w:tcBorders>
              <w:top w:val="nil"/>
              <w:left w:val="nil"/>
              <w:bottom w:val="nil"/>
              <w:right w:val="nil"/>
            </w:tcBorders>
            <w:shd w:val="clear" w:color="auto" w:fill="auto"/>
            <w:noWrap/>
            <w:vAlign w:val="bottom"/>
            <w:hideMark/>
          </w:tcPr>
          <w:p w14:paraId="4694F555"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43027</w:t>
            </w:r>
          </w:p>
        </w:tc>
        <w:tc>
          <w:tcPr>
            <w:tcW w:w="1080" w:type="dxa"/>
            <w:tcBorders>
              <w:top w:val="nil"/>
              <w:left w:val="nil"/>
              <w:bottom w:val="nil"/>
              <w:right w:val="nil"/>
            </w:tcBorders>
            <w:shd w:val="clear" w:color="auto" w:fill="auto"/>
            <w:noWrap/>
            <w:vAlign w:val="bottom"/>
            <w:hideMark/>
          </w:tcPr>
          <w:p w14:paraId="5B9489E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9422</w:t>
            </w:r>
          </w:p>
        </w:tc>
      </w:tr>
      <w:tr w:rsidR="00932B19" w:rsidRPr="00E83ACE" w14:paraId="6473F84F" w14:textId="77777777" w:rsidTr="004F2D3B">
        <w:trPr>
          <w:trHeight w:val="290"/>
        </w:trPr>
        <w:tc>
          <w:tcPr>
            <w:tcW w:w="1260" w:type="dxa"/>
            <w:tcBorders>
              <w:top w:val="nil"/>
              <w:left w:val="nil"/>
              <w:bottom w:val="nil"/>
              <w:right w:val="nil"/>
            </w:tcBorders>
            <w:shd w:val="clear" w:color="auto" w:fill="auto"/>
            <w:noWrap/>
            <w:vAlign w:val="bottom"/>
            <w:hideMark/>
          </w:tcPr>
          <w:p w14:paraId="792E6875"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t5</w:t>
            </w:r>
          </w:p>
        </w:tc>
        <w:tc>
          <w:tcPr>
            <w:tcW w:w="840" w:type="dxa"/>
            <w:tcBorders>
              <w:top w:val="nil"/>
              <w:left w:val="nil"/>
              <w:bottom w:val="nil"/>
              <w:right w:val="nil"/>
            </w:tcBorders>
            <w:shd w:val="clear" w:color="auto" w:fill="auto"/>
            <w:noWrap/>
            <w:vAlign w:val="bottom"/>
            <w:hideMark/>
          </w:tcPr>
          <w:p w14:paraId="046A4CF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31146</w:t>
            </w:r>
          </w:p>
        </w:tc>
        <w:tc>
          <w:tcPr>
            <w:tcW w:w="1080" w:type="dxa"/>
            <w:tcBorders>
              <w:top w:val="nil"/>
              <w:left w:val="nil"/>
              <w:bottom w:val="nil"/>
              <w:right w:val="nil"/>
            </w:tcBorders>
            <w:shd w:val="clear" w:color="auto" w:fill="auto"/>
            <w:noWrap/>
            <w:vAlign w:val="bottom"/>
            <w:hideMark/>
          </w:tcPr>
          <w:p w14:paraId="7D1747F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8900</w:t>
            </w:r>
          </w:p>
        </w:tc>
        <w:tc>
          <w:tcPr>
            <w:tcW w:w="840" w:type="dxa"/>
            <w:tcBorders>
              <w:top w:val="nil"/>
              <w:left w:val="nil"/>
              <w:bottom w:val="nil"/>
              <w:right w:val="nil"/>
            </w:tcBorders>
            <w:shd w:val="clear" w:color="auto" w:fill="auto"/>
            <w:noWrap/>
            <w:vAlign w:val="bottom"/>
            <w:hideMark/>
          </w:tcPr>
          <w:p w14:paraId="0130BD54"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31146</w:t>
            </w:r>
          </w:p>
        </w:tc>
        <w:tc>
          <w:tcPr>
            <w:tcW w:w="1080" w:type="dxa"/>
            <w:tcBorders>
              <w:top w:val="nil"/>
              <w:left w:val="nil"/>
              <w:bottom w:val="nil"/>
              <w:right w:val="nil"/>
            </w:tcBorders>
            <w:shd w:val="clear" w:color="auto" w:fill="auto"/>
            <w:noWrap/>
            <w:vAlign w:val="bottom"/>
            <w:hideMark/>
          </w:tcPr>
          <w:p w14:paraId="45DBF6E3"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8900</w:t>
            </w:r>
          </w:p>
        </w:tc>
        <w:tc>
          <w:tcPr>
            <w:tcW w:w="840" w:type="dxa"/>
            <w:tcBorders>
              <w:top w:val="nil"/>
              <w:left w:val="nil"/>
              <w:bottom w:val="nil"/>
              <w:right w:val="nil"/>
            </w:tcBorders>
            <w:shd w:val="clear" w:color="auto" w:fill="auto"/>
            <w:noWrap/>
            <w:vAlign w:val="bottom"/>
            <w:hideMark/>
          </w:tcPr>
          <w:p w14:paraId="229B453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31146</w:t>
            </w:r>
          </w:p>
        </w:tc>
        <w:tc>
          <w:tcPr>
            <w:tcW w:w="1080" w:type="dxa"/>
            <w:tcBorders>
              <w:top w:val="nil"/>
              <w:left w:val="nil"/>
              <w:bottom w:val="nil"/>
              <w:right w:val="nil"/>
            </w:tcBorders>
            <w:shd w:val="clear" w:color="auto" w:fill="auto"/>
            <w:noWrap/>
            <w:vAlign w:val="bottom"/>
            <w:hideMark/>
          </w:tcPr>
          <w:p w14:paraId="39BB6A15"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8900</w:t>
            </w:r>
          </w:p>
        </w:tc>
        <w:tc>
          <w:tcPr>
            <w:tcW w:w="840" w:type="dxa"/>
            <w:tcBorders>
              <w:top w:val="nil"/>
              <w:left w:val="nil"/>
              <w:bottom w:val="nil"/>
              <w:right w:val="nil"/>
            </w:tcBorders>
            <w:shd w:val="clear" w:color="auto" w:fill="auto"/>
            <w:noWrap/>
            <w:vAlign w:val="bottom"/>
            <w:hideMark/>
          </w:tcPr>
          <w:p w14:paraId="65E1815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31146</w:t>
            </w:r>
          </w:p>
        </w:tc>
        <w:tc>
          <w:tcPr>
            <w:tcW w:w="1080" w:type="dxa"/>
            <w:tcBorders>
              <w:top w:val="nil"/>
              <w:left w:val="nil"/>
              <w:bottom w:val="nil"/>
              <w:right w:val="nil"/>
            </w:tcBorders>
            <w:shd w:val="clear" w:color="auto" w:fill="auto"/>
            <w:noWrap/>
            <w:vAlign w:val="bottom"/>
            <w:hideMark/>
          </w:tcPr>
          <w:p w14:paraId="172AEA8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8900</w:t>
            </w:r>
          </w:p>
        </w:tc>
      </w:tr>
      <w:tr w:rsidR="00932B19" w:rsidRPr="00E83ACE" w14:paraId="6C5638E5" w14:textId="77777777" w:rsidTr="004F2D3B">
        <w:trPr>
          <w:trHeight w:val="290"/>
        </w:trPr>
        <w:tc>
          <w:tcPr>
            <w:tcW w:w="1260" w:type="dxa"/>
            <w:tcBorders>
              <w:top w:val="nil"/>
              <w:left w:val="nil"/>
              <w:bottom w:val="nil"/>
              <w:right w:val="nil"/>
            </w:tcBorders>
            <w:shd w:val="clear" w:color="auto" w:fill="auto"/>
            <w:noWrap/>
            <w:vAlign w:val="bottom"/>
            <w:hideMark/>
          </w:tcPr>
          <w:p w14:paraId="5009E28A"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t6</w:t>
            </w:r>
          </w:p>
        </w:tc>
        <w:tc>
          <w:tcPr>
            <w:tcW w:w="840" w:type="dxa"/>
            <w:tcBorders>
              <w:top w:val="nil"/>
              <w:left w:val="nil"/>
              <w:bottom w:val="nil"/>
              <w:right w:val="nil"/>
            </w:tcBorders>
            <w:shd w:val="clear" w:color="auto" w:fill="auto"/>
            <w:noWrap/>
            <w:vAlign w:val="bottom"/>
            <w:hideMark/>
          </w:tcPr>
          <w:p w14:paraId="26449AE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19411</w:t>
            </w:r>
          </w:p>
        </w:tc>
        <w:tc>
          <w:tcPr>
            <w:tcW w:w="1080" w:type="dxa"/>
            <w:tcBorders>
              <w:top w:val="nil"/>
              <w:left w:val="nil"/>
              <w:bottom w:val="nil"/>
              <w:right w:val="nil"/>
            </w:tcBorders>
            <w:shd w:val="clear" w:color="auto" w:fill="auto"/>
            <w:noWrap/>
            <w:vAlign w:val="bottom"/>
            <w:hideMark/>
          </w:tcPr>
          <w:p w14:paraId="30F86B4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8408</w:t>
            </w:r>
          </w:p>
        </w:tc>
        <w:tc>
          <w:tcPr>
            <w:tcW w:w="840" w:type="dxa"/>
            <w:tcBorders>
              <w:top w:val="nil"/>
              <w:left w:val="nil"/>
              <w:bottom w:val="nil"/>
              <w:right w:val="nil"/>
            </w:tcBorders>
            <w:shd w:val="clear" w:color="auto" w:fill="auto"/>
            <w:noWrap/>
            <w:vAlign w:val="bottom"/>
            <w:hideMark/>
          </w:tcPr>
          <w:p w14:paraId="4538ACA8"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19411</w:t>
            </w:r>
          </w:p>
        </w:tc>
        <w:tc>
          <w:tcPr>
            <w:tcW w:w="1080" w:type="dxa"/>
            <w:tcBorders>
              <w:top w:val="nil"/>
              <w:left w:val="nil"/>
              <w:bottom w:val="nil"/>
              <w:right w:val="nil"/>
            </w:tcBorders>
            <w:shd w:val="clear" w:color="auto" w:fill="auto"/>
            <w:noWrap/>
            <w:vAlign w:val="bottom"/>
            <w:hideMark/>
          </w:tcPr>
          <w:p w14:paraId="2A447A68"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8408</w:t>
            </w:r>
          </w:p>
        </w:tc>
        <w:tc>
          <w:tcPr>
            <w:tcW w:w="840" w:type="dxa"/>
            <w:tcBorders>
              <w:top w:val="nil"/>
              <w:left w:val="nil"/>
              <w:bottom w:val="nil"/>
              <w:right w:val="nil"/>
            </w:tcBorders>
            <w:shd w:val="clear" w:color="auto" w:fill="auto"/>
            <w:noWrap/>
            <w:vAlign w:val="bottom"/>
            <w:hideMark/>
          </w:tcPr>
          <w:p w14:paraId="2018A54D"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19411</w:t>
            </w:r>
          </w:p>
        </w:tc>
        <w:tc>
          <w:tcPr>
            <w:tcW w:w="1080" w:type="dxa"/>
            <w:tcBorders>
              <w:top w:val="nil"/>
              <w:left w:val="nil"/>
              <w:bottom w:val="nil"/>
              <w:right w:val="nil"/>
            </w:tcBorders>
            <w:shd w:val="clear" w:color="auto" w:fill="auto"/>
            <w:noWrap/>
            <w:vAlign w:val="bottom"/>
            <w:hideMark/>
          </w:tcPr>
          <w:p w14:paraId="6C8A335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8408</w:t>
            </w:r>
          </w:p>
        </w:tc>
        <w:tc>
          <w:tcPr>
            <w:tcW w:w="840" w:type="dxa"/>
            <w:tcBorders>
              <w:top w:val="nil"/>
              <w:left w:val="nil"/>
              <w:bottom w:val="nil"/>
              <w:right w:val="nil"/>
            </w:tcBorders>
            <w:shd w:val="clear" w:color="auto" w:fill="auto"/>
            <w:noWrap/>
            <w:vAlign w:val="bottom"/>
            <w:hideMark/>
          </w:tcPr>
          <w:p w14:paraId="0CDF9B0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19411</w:t>
            </w:r>
          </w:p>
        </w:tc>
        <w:tc>
          <w:tcPr>
            <w:tcW w:w="1080" w:type="dxa"/>
            <w:tcBorders>
              <w:top w:val="nil"/>
              <w:left w:val="nil"/>
              <w:bottom w:val="nil"/>
              <w:right w:val="nil"/>
            </w:tcBorders>
            <w:shd w:val="clear" w:color="auto" w:fill="auto"/>
            <w:noWrap/>
            <w:vAlign w:val="bottom"/>
            <w:hideMark/>
          </w:tcPr>
          <w:p w14:paraId="794BCF22"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8408</w:t>
            </w:r>
          </w:p>
        </w:tc>
      </w:tr>
      <w:tr w:rsidR="00932B19" w:rsidRPr="00E83ACE" w14:paraId="153539D0" w14:textId="77777777" w:rsidTr="004F2D3B">
        <w:trPr>
          <w:trHeight w:val="290"/>
        </w:trPr>
        <w:tc>
          <w:tcPr>
            <w:tcW w:w="1260" w:type="dxa"/>
            <w:tcBorders>
              <w:top w:val="nil"/>
              <w:left w:val="nil"/>
              <w:bottom w:val="single" w:sz="4" w:space="0" w:color="auto"/>
              <w:right w:val="nil"/>
            </w:tcBorders>
            <w:shd w:val="clear" w:color="auto" w:fill="auto"/>
            <w:noWrap/>
            <w:vAlign w:val="bottom"/>
            <w:hideMark/>
          </w:tcPr>
          <w:p w14:paraId="42D1989C"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Av</w:t>
            </w:r>
            <w:r>
              <w:rPr>
                <w:rFonts w:ascii="Arial" w:hAnsi="Arial" w:cs="Arial"/>
                <w:color w:val="000000"/>
                <w:sz w:val="20"/>
              </w:rPr>
              <w:t>g.</w:t>
            </w:r>
            <w:r w:rsidRPr="00E83ACE">
              <w:rPr>
                <w:rFonts w:ascii="Arial" w:hAnsi="Arial" w:cs="Arial"/>
                <w:color w:val="000000"/>
                <w:sz w:val="20"/>
              </w:rPr>
              <w:t xml:space="preserve"> ATT</w:t>
            </w:r>
          </w:p>
        </w:tc>
        <w:tc>
          <w:tcPr>
            <w:tcW w:w="840" w:type="dxa"/>
            <w:tcBorders>
              <w:top w:val="nil"/>
              <w:left w:val="nil"/>
              <w:bottom w:val="single" w:sz="4" w:space="0" w:color="auto"/>
              <w:right w:val="nil"/>
            </w:tcBorders>
            <w:shd w:val="clear" w:color="auto" w:fill="auto"/>
            <w:noWrap/>
            <w:vAlign w:val="bottom"/>
            <w:hideMark/>
          </w:tcPr>
          <w:p w14:paraId="7DD8766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387898</w:t>
            </w:r>
          </w:p>
        </w:tc>
        <w:tc>
          <w:tcPr>
            <w:tcW w:w="1080" w:type="dxa"/>
            <w:tcBorders>
              <w:top w:val="nil"/>
              <w:left w:val="nil"/>
              <w:bottom w:val="single" w:sz="4" w:space="0" w:color="auto"/>
              <w:right w:val="nil"/>
            </w:tcBorders>
            <w:shd w:val="clear" w:color="auto" w:fill="auto"/>
            <w:noWrap/>
            <w:vAlign w:val="bottom"/>
            <w:hideMark/>
          </w:tcPr>
          <w:p w14:paraId="74435689"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70750</w:t>
            </w:r>
          </w:p>
        </w:tc>
        <w:tc>
          <w:tcPr>
            <w:tcW w:w="840" w:type="dxa"/>
            <w:tcBorders>
              <w:top w:val="nil"/>
              <w:left w:val="nil"/>
              <w:bottom w:val="single" w:sz="4" w:space="0" w:color="auto"/>
              <w:right w:val="nil"/>
            </w:tcBorders>
            <w:shd w:val="clear" w:color="auto" w:fill="auto"/>
            <w:noWrap/>
            <w:vAlign w:val="bottom"/>
            <w:hideMark/>
          </w:tcPr>
          <w:p w14:paraId="565BAF31"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387898</w:t>
            </w:r>
          </w:p>
        </w:tc>
        <w:tc>
          <w:tcPr>
            <w:tcW w:w="1080" w:type="dxa"/>
            <w:tcBorders>
              <w:top w:val="nil"/>
              <w:left w:val="nil"/>
              <w:bottom w:val="single" w:sz="4" w:space="0" w:color="auto"/>
              <w:right w:val="nil"/>
            </w:tcBorders>
            <w:shd w:val="clear" w:color="auto" w:fill="auto"/>
            <w:noWrap/>
            <w:vAlign w:val="bottom"/>
            <w:hideMark/>
          </w:tcPr>
          <w:p w14:paraId="165CDA86"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70750</w:t>
            </w:r>
          </w:p>
        </w:tc>
        <w:tc>
          <w:tcPr>
            <w:tcW w:w="840" w:type="dxa"/>
            <w:tcBorders>
              <w:top w:val="nil"/>
              <w:left w:val="nil"/>
              <w:bottom w:val="single" w:sz="4" w:space="0" w:color="auto"/>
              <w:right w:val="nil"/>
            </w:tcBorders>
            <w:shd w:val="clear" w:color="auto" w:fill="auto"/>
            <w:noWrap/>
            <w:vAlign w:val="bottom"/>
            <w:hideMark/>
          </w:tcPr>
          <w:p w14:paraId="0337F37E"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387898</w:t>
            </w:r>
          </w:p>
        </w:tc>
        <w:tc>
          <w:tcPr>
            <w:tcW w:w="1080" w:type="dxa"/>
            <w:tcBorders>
              <w:top w:val="nil"/>
              <w:left w:val="nil"/>
              <w:bottom w:val="single" w:sz="4" w:space="0" w:color="auto"/>
              <w:right w:val="nil"/>
            </w:tcBorders>
            <w:shd w:val="clear" w:color="auto" w:fill="auto"/>
            <w:noWrap/>
            <w:vAlign w:val="bottom"/>
            <w:hideMark/>
          </w:tcPr>
          <w:p w14:paraId="1484CDB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70750</w:t>
            </w:r>
          </w:p>
        </w:tc>
        <w:tc>
          <w:tcPr>
            <w:tcW w:w="840" w:type="dxa"/>
            <w:tcBorders>
              <w:top w:val="nil"/>
              <w:left w:val="nil"/>
              <w:bottom w:val="single" w:sz="4" w:space="0" w:color="auto"/>
              <w:right w:val="nil"/>
            </w:tcBorders>
            <w:shd w:val="clear" w:color="auto" w:fill="auto"/>
            <w:noWrap/>
            <w:vAlign w:val="bottom"/>
            <w:hideMark/>
          </w:tcPr>
          <w:p w14:paraId="45D4AE03"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387898</w:t>
            </w:r>
          </w:p>
        </w:tc>
        <w:tc>
          <w:tcPr>
            <w:tcW w:w="1080" w:type="dxa"/>
            <w:tcBorders>
              <w:top w:val="nil"/>
              <w:left w:val="nil"/>
              <w:bottom w:val="single" w:sz="4" w:space="0" w:color="auto"/>
              <w:right w:val="nil"/>
            </w:tcBorders>
            <w:shd w:val="clear" w:color="auto" w:fill="auto"/>
            <w:noWrap/>
            <w:vAlign w:val="bottom"/>
            <w:hideMark/>
          </w:tcPr>
          <w:p w14:paraId="0B249357" w14:textId="77777777" w:rsidR="00932B19" w:rsidRPr="00E83ACE" w:rsidRDefault="00932B19" w:rsidP="004F2D3B">
            <w:pPr>
              <w:jc w:val="center"/>
              <w:rPr>
                <w:rFonts w:ascii="Arial" w:hAnsi="Arial" w:cs="Arial"/>
                <w:color w:val="000000"/>
                <w:sz w:val="20"/>
              </w:rPr>
            </w:pPr>
            <w:r w:rsidRPr="00E83ACE">
              <w:rPr>
                <w:rFonts w:ascii="Arial" w:hAnsi="Arial" w:cs="Arial"/>
                <w:color w:val="000000"/>
                <w:sz w:val="20"/>
              </w:rPr>
              <w:t>70750</w:t>
            </w:r>
          </w:p>
        </w:tc>
      </w:tr>
    </w:tbl>
    <w:p w14:paraId="235641CD" w14:textId="77777777" w:rsidR="00932B19" w:rsidRDefault="00932B19" w:rsidP="005357C2">
      <w:pPr>
        <w:rPr>
          <w:rFonts w:ascii="Times New Roman" w:hAnsi="Times New Roman" w:cs="Times New Roman"/>
          <w:b/>
          <w:bCs/>
          <w:sz w:val="20"/>
          <w:szCs w:val="20"/>
        </w:rPr>
      </w:pPr>
    </w:p>
    <w:p w14:paraId="23F42AE2" w14:textId="77777777" w:rsidR="00932B19" w:rsidRDefault="00932B19" w:rsidP="005357C2">
      <w:pPr>
        <w:rPr>
          <w:rFonts w:ascii="Times New Roman" w:hAnsi="Times New Roman" w:cs="Times New Roman"/>
          <w:b/>
          <w:bCs/>
          <w:sz w:val="20"/>
          <w:szCs w:val="20"/>
        </w:rPr>
      </w:pPr>
    </w:p>
    <w:p w14:paraId="19613018" w14:textId="77777777" w:rsidR="00932B19" w:rsidRDefault="00932B19" w:rsidP="005357C2">
      <w:pPr>
        <w:rPr>
          <w:rFonts w:ascii="Times New Roman" w:hAnsi="Times New Roman" w:cs="Times New Roman"/>
          <w:sz w:val="20"/>
          <w:szCs w:val="20"/>
        </w:rPr>
        <w:sectPr w:rsidR="00932B19">
          <w:pgSz w:w="12240" w:h="15840"/>
          <w:pgMar w:top="1417" w:right="1417" w:bottom="1417" w:left="1417" w:header="708" w:footer="708" w:gutter="0"/>
          <w:cols w:space="708"/>
          <w:docGrid w:linePitch="360"/>
        </w:sectPr>
      </w:pPr>
    </w:p>
    <w:p w14:paraId="103D354E" w14:textId="0B30299A" w:rsidR="005357C2" w:rsidRDefault="00932B19" w:rsidP="005357C2">
      <w:pPr>
        <w:rPr>
          <w:rFonts w:ascii="Times New Roman" w:hAnsi="Times New Roman" w:cs="Times New Roman"/>
          <w:sz w:val="20"/>
          <w:szCs w:val="20"/>
        </w:rPr>
      </w:pPr>
      <w:r w:rsidRPr="00932B19">
        <w:rPr>
          <w:rFonts w:ascii="Times New Roman" w:hAnsi="Times New Roman" w:cs="Times New Roman"/>
          <w:b/>
          <w:bCs/>
          <w:sz w:val="20"/>
          <w:szCs w:val="20"/>
        </w:rPr>
        <w:lastRenderedPageBreak/>
        <w:t>Table S7</w:t>
      </w:r>
      <w:r>
        <w:rPr>
          <w:rFonts w:ascii="Times New Roman" w:hAnsi="Times New Roman" w:cs="Times New Roman"/>
          <w:sz w:val="20"/>
          <w:szCs w:val="20"/>
        </w:rPr>
        <w:t xml:space="preserve">. </w:t>
      </w:r>
      <w:r w:rsidR="005357C2" w:rsidRPr="005357C2">
        <w:rPr>
          <w:rFonts w:ascii="Times New Roman" w:hAnsi="Times New Roman" w:cs="Times New Roman"/>
          <w:sz w:val="20"/>
          <w:szCs w:val="20"/>
        </w:rPr>
        <w:t>Frequencies for the order of different types of sanctions in the cohort</w:t>
      </w:r>
    </w:p>
    <w:tbl>
      <w:tblPr>
        <w:tblW w:w="5000" w:type="pct"/>
        <w:tblLook w:val="04A0" w:firstRow="1" w:lastRow="0" w:firstColumn="1" w:lastColumn="0" w:noHBand="0" w:noVBand="1"/>
      </w:tblPr>
      <w:tblGrid>
        <w:gridCol w:w="3352"/>
        <w:gridCol w:w="2022"/>
        <w:gridCol w:w="1524"/>
        <w:gridCol w:w="2508"/>
      </w:tblGrid>
      <w:tr w:rsidR="00FE6EA1" w:rsidRPr="00FE6EA1" w14:paraId="342D74D0" w14:textId="77777777" w:rsidTr="000C38AB">
        <w:trPr>
          <w:trHeight w:val="290"/>
        </w:trPr>
        <w:tc>
          <w:tcPr>
            <w:tcW w:w="2663" w:type="pct"/>
            <w:gridSpan w:val="2"/>
            <w:tcBorders>
              <w:top w:val="nil"/>
              <w:left w:val="nil"/>
              <w:bottom w:val="single" w:sz="4" w:space="0" w:color="auto"/>
              <w:right w:val="nil"/>
            </w:tcBorders>
            <w:shd w:val="clear" w:color="auto" w:fill="auto"/>
            <w:noWrap/>
            <w:vAlign w:val="bottom"/>
            <w:hideMark/>
          </w:tcPr>
          <w:p w14:paraId="38617D8A"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p>
        </w:tc>
        <w:tc>
          <w:tcPr>
            <w:tcW w:w="907" w:type="pct"/>
            <w:tcBorders>
              <w:top w:val="nil"/>
              <w:left w:val="nil"/>
              <w:bottom w:val="single" w:sz="4" w:space="0" w:color="auto"/>
              <w:right w:val="nil"/>
            </w:tcBorders>
            <w:shd w:val="clear" w:color="auto" w:fill="auto"/>
            <w:noWrap/>
            <w:vAlign w:val="bottom"/>
            <w:hideMark/>
          </w:tcPr>
          <w:p w14:paraId="0F19EBE1"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 </w:t>
            </w:r>
          </w:p>
        </w:tc>
        <w:tc>
          <w:tcPr>
            <w:tcW w:w="1430" w:type="pct"/>
            <w:tcBorders>
              <w:top w:val="nil"/>
              <w:left w:val="nil"/>
              <w:bottom w:val="single" w:sz="4" w:space="0" w:color="auto"/>
              <w:right w:val="nil"/>
            </w:tcBorders>
            <w:shd w:val="clear" w:color="auto" w:fill="auto"/>
            <w:noWrap/>
            <w:vAlign w:val="bottom"/>
            <w:hideMark/>
          </w:tcPr>
          <w:p w14:paraId="707ADAEC"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 </w:t>
            </w:r>
          </w:p>
        </w:tc>
      </w:tr>
      <w:tr w:rsidR="00FE6EA1" w:rsidRPr="00FE6EA1" w14:paraId="284C2643" w14:textId="77777777" w:rsidTr="000C38AB">
        <w:trPr>
          <w:trHeight w:val="290"/>
        </w:trPr>
        <w:tc>
          <w:tcPr>
            <w:tcW w:w="1491" w:type="pct"/>
            <w:tcBorders>
              <w:top w:val="nil"/>
              <w:left w:val="nil"/>
              <w:bottom w:val="single" w:sz="4" w:space="0" w:color="auto"/>
              <w:right w:val="nil"/>
            </w:tcBorders>
            <w:shd w:val="clear" w:color="auto" w:fill="auto"/>
            <w:noWrap/>
            <w:vAlign w:val="bottom"/>
            <w:hideMark/>
          </w:tcPr>
          <w:p w14:paraId="4EE72AC0"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Individuals with 3 types of sanction </w:t>
            </w:r>
          </w:p>
        </w:tc>
        <w:tc>
          <w:tcPr>
            <w:tcW w:w="2079" w:type="pct"/>
            <w:gridSpan w:val="2"/>
            <w:tcBorders>
              <w:top w:val="nil"/>
              <w:left w:val="nil"/>
              <w:bottom w:val="single" w:sz="4" w:space="0" w:color="auto"/>
              <w:right w:val="nil"/>
            </w:tcBorders>
            <w:shd w:val="clear" w:color="auto" w:fill="auto"/>
            <w:noWrap/>
            <w:vAlign w:val="bottom"/>
            <w:hideMark/>
          </w:tcPr>
          <w:p w14:paraId="155FE3C4" w14:textId="77777777" w:rsidR="00FE6EA1" w:rsidRPr="00FE6EA1" w:rsidRDefault="00FE6EA1" w:rsidP="00FE6EA1">
            <w:pPr>
              <w:spacing w:after="0" w:line="240" w:lineRule="auto"/>
              <w:ind w:left="1440"/>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Type of sanction</w:t>
            </w:r>
          </w:p>
        </w:tc>
        <w:tc>
          <w:tcPr>
            <w:tcW w:w="1430" w:type="pct"/>
            <w:tcBorders>
              <w:top w:val="nil"/>
              <w:left w:val="nil"/>
              <w:bottom w:val="single" w:sz="4" w:space="0" w:color="auto"/>
              <w:right w:val="nil"/>
            </w:tcBorders>
            <w:shd w:val="clear" w:color="auto" w:fill="auto"/>
            <w:noWrap/>
            <w:vAlign w:val="bottom"/>
            <w:hideMark/>
          </w:tcPr>
          <w:p w14:paraId="1AB18BC8"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 </w:t>
            </w:r>
          </w:p>
        </w:tc>
      </w:tr>
      <w:tr w:rsidR="00FE6EA1" w:rsidRPr="00FE6EA1" w14:paraId="2CB1DEB7" w14:textId="77777777" w:rsidTr="000C38AB">
        <w:trPr>
          <w:trHeight w:val="290"/>
        </w:trPr>
        <w:tc>
          <w:tcPr>
            <w:tcW w:w="1491" w:type="pct"/>
            <w:tcBorders>
              <w:top w:val="nil"/>
              <w:left w:val="nil"/>
              <w:bottom w:val="single" w:sz="4" w:space="0" w:color="auto"/>
              <w:right w:val="nil"/>
            </w:tcBorders>
            <w:shd w:val="clear" w:color="auto" w:fill="auto"/>
            <w:noWrap/>
            <w:vAlign w:val="bottom"/>
            <w:hideMark/>
          </w:tcPr>
          <w:p w14:paraId="0C64B16F"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Order of sanction</w:t>
            </w:r>
          </w:p>
        </w:tc>
        <w:tc>
          <w:tcPr>
            <w:tcW w:w="1172" w:type="pct"/>
            <w:tcBorders>
              <w:top w:val="nil"/>
              <w:left w:val="nil"/>
              <w:bottom w:val="single" w:sz="4" w:space="0" w:color="auto"/>
              <w:right w:val="nil"/>
            </w:tcBorders>
            <w:shd w:val="clear" w:color="auto" w:fill="auto"/>
            <w:noWrap/>
            <w:vAlign w:val="bottom"/>
            <w:hideMark/>
          </w:tcPr>
          <w:p w14:paraId="0DF7A1AE"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Prison</w:t>
            </w:r>
          </w:p>
        </w:tc>
        <w:tc>
          <w:tcPr>
            <w:tcW w:w="907" w:type="pct"/>
            <w:tcBorders>
              <w:top w:val="nil"/>
              <w:left w:val="nil"/>
              <w:bottom w:val="single" w:sz="4" w:space="0" w:color="auto"/>
              <w:right w:val="nil"/>
            </w:tcBorders>
            <w:shd w:val="clear" w:color="auto" w:fill="auto"/>
            <w:noWrap/>
            <w:vAlign w:val="bottom"/>
            <w:hideMark/>
          </w:tcPr>
          <w:p w14:paraId="70024615"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Probation</w:t>
            </w:r>
          </w:p>
        </w:tc>
        <w:tc>
          <w:tcPr>
            <w:tcW w:w="1430" w:type="pct"/>
            <w:tcBorders>
              <w:top w:val="nil"/>
              <w:left w:val="nil"/>
              <w:bottom w:val="single" w:sz="4" w:space="0" w:color="auto"/>
              <w:right w:val="nil"/>
            </w:tcBorders>
            <w:shd w:val="clear" w:color="auto" w:fill="auto"/>
            <w:noWrap/>
            <w:vAlign w:val="bottom"/>
            <w:hideMark/>
          </w:tcPr>
          <w:p w14:paraId="22478479"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Contract treatment</w:t>
            </w:r>
          </w:p>
        </w:tc>
      </w:tr>
      <w:tr w:rsidR="00FE6EA1" w:rsidRPr="00FE6EA1" w14:paraId="37C52E45" w14:textId="77777777" w:rsidTr="000C38AB">
        <w:trPr>
          <w:trHeight w:val="290"/>
        </w:trPr>
        <w:tc>
          <w:tcPr>
            <w:tcW w:w="1491" w:type="pct"/>
            <w:tcBorders>
              <w:top w:val="nil"/>
              <w:left w:val="nil"/>
              <w:bottom w:val="nil"/>
              <w:right w:val="nil"/>
            </w:tcBorders>
            <w:shd w:val="clear" w:color="auto" w:fill="auto"/>
            <w:noWrap/>
            <w:vAlign w:val="bottom"/>
            <w:hideMark/>
          </w:tcPr>
          <w:p w14:paraId="3EB9D445" w14:textId="77777777" w:rsidR="00FE6EA1" w:rsidRPr="00FE6EA1" w:rsidRDefault="00FE6EA1" w:rsidP="00FE6EA1">
            <w:pPr>
              <w:spacing w:after="0" w:line="240" w:lineRule="auto"/>
              <w:ind w:firstLineChars="100" w:firstLine="200"/>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First</w:t>
            </w:r>
          </w:p>
        </w:tc>
        <w:tc>
          <w:tcPr>
            <w:tcW w:w="1172" w:type="pct"/>
            <w:tcBorders>
              <w:top w:val="nil"/>
              <w:left w:val="nil"/>
              <w:bottom w:val="nil"/>
              <w:right w:val="nil"/>
            </w:tcBorders>
            <w:shd w:val="clear" w:color="auto" w:fill="auto"/>
            <w:noWrap/>
            <w:vAlign w:val="bottom"/>
            <w:hideMark/>
          </w:tcPr>
          <w:p w14:paraId="7A1120F9"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991 (28.6%)</w:t>
            </w:r>
          </w:p>
        </w:tc>
        <w:tc>
          <w:tcPr>
            <w:tcW w:w="907" w:type="pct"/>
            <w:tcBorders>
              <w:top w:val="nil"/>
              <w:left w:val="nil"/>
              <w:bottom w:val="nil"/>
              <w:right w:val="nil"/>
            </w:tcBorders>
            <w:shd w:val="clear" w:color="auto" w:fill="auto"/>
            <w:noWrap/>
            <w:vAlign w:val="bottom"/>
            <w:hideMark/>
          </w:tcPr>
          <w:p w14:paraId="7E2ADC5A"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1954 (56.3%)</w:t>
            </w:r>
          </w:p>
        </w:tc>
        <w:tc>
          <w:tcPr>
            <w:tcW w:w="1430" w:type="pct"/>
            <w:tcBorders>
              <w:top w:val="nil"/>
              <w:left w:val="nil"/>
              <w:bottom w:val="nil"/>
              <w:right w:val="nil"/>
            </w:tcBorders>
            <w:shd w:val="clear" w:color="auto" w:fill="auto"/>
            <w:noWrap/>
            <w:vAlign w:val="bottom"/>
            <w:hideMark/>
          </w:tcPr>
          <w:p w14:paraId="4D54581D"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525 (15.1%)</w:t>
            </w:r>
          </w:p>
        </w:tc>
      </w:tr>
      <w:tr w:rsidR="00FE6EA1" w:rsidRPr="00FE6EA1" w14:paraId="2C084704" w14:textId="77777777" w:rsidTr="000C38AB">
        <w:trPr>
          <w:trHeight w:val="290"/>
        </w:trPr>
        <w:tc>
          <w:tcPr>
            <w:tcW w:w="1491" w:type="pct"/>
            <w:tcBorders>
              <w:top w:val="nil"/>
              <w:left w:val="nil"/>
              <w:bottom w:val="nil"/>
              <w:right w:val="nil"/>
            </w:tcBorders>
            <w:shd w:val="clear" w:color="auto" w:fill="auto"/>
            <w:noWrap/>
            <w:vAlign w:val="bottom"/>
            <w:hideMark/>
          </w:tcPr>
          <w:p w14:paraId="228CEFD3" w14:textId="77777777" w:rsidR="00FE6EA1" w:rsidRPr="00FE6EA1" w:rsidRDefault="00FE6EA1" w:rsidP="00FE6EA1">
            <w:pPr>
              <w:spacing w:after="0" w:line="240" w:lineRule="auto"/>
              <w:ind w:firstLineChars="100" w:firstLine="200"/>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Second</w:t>
            </w:r>
          </w:p>
        </w:tc>
        <w:tc>
          <w:tcPr>
            <w:tcW w:w="1172" w:type="pct"/>
            <w:tcBorders>
              <w:top w:val="nil"/>
              <w:left w:val="nil"/>
              <w:bottom w:val="nil"/>
              <w:right w:val="nil"/>
            </w:tcBorders>
            <w:shd w:val="clear" w:color="auto" w:fill="auto"/>
            <w:noWrap/>
            <w:vAlign w:val="bottom"/>
            <w:hideMark/>
          </w:tcPr>
          <w:p w14:paraId="13D93491"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2055 (59.2%)</w:t>
            </w:r>
          </w:p>
        </w:tc>
        <w:tc>
          <w:tcPr>
            <w:tcW w:w="907" w:type="pct"/>
            <w:tcBorders>
              <w:top w:val="nil"/>
              <w:left w:val="nil"/>
              <w:bottom w:val="nil"/>
              <w:right w:val="nil"/>
            </w:tcBorders>
            <w:shd w:val="clear" w:color="auto" w:fill="auto"/>
            <w:noWrap/>
            <w:vAlign w:val="bottom"/>
            <w:hideMark/>
          </w:tcPr>
          <w:p w14:paraId="0EC25A06"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714 (20.6%)</w:t>
            </w:r>
          </w:p>
        </w:tc>
        <w:tc>
          <w:tcPr>
            <w:tcW w:w="1430" w:type="pct"/>
            <w:tcBorders>
              <w:top w:val="nil"/>
              <w:left w:val="nil"/>
              <w:bottom w:val="nil"/>
              <w:right w:val="nil"/>
            </w:tcBorders>
            <w:shd w:val="clear" w:color="auto" w:fill="auto"/>
            <w:noWrap/>
            <w:vAlign w:val="bottom"/>
            <w:hideMark/>
          </w:tcPr>
          <w:p w14:paraId="51044643"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701 (20.2%)</w:t>
            </w:r>
          </w:p>
        </w:tc>
      </w:tr>
      <w:tr w:rsidR="00FE6EA1" w:rsidRPr="00FE6EA1" w14:paraId="2328E088" w14:textId="77777777" w:rsidTr="000C38AB">
        <w:trPr>
          <w:trHeight w:val="290"/>
        </w:trPr>
        <w:tc>
          <w:tcPr>
            <w:tcW w:w="1491" w:type="pct"/>
            <w:tcBorders>
              <w:top w:val="nil"/>
              <w:left w:val="nil"/>
              <w:bottom w:val="single" w:sz="4" w:space="0" w:color="auto"/>
              <w:right w:val="nil"/>
            </w:tcBorders>
            <w:shd w:val="clear" w:color="auto" w:fill="auto"/>
            <w:noWrap/>
            <w:vAlign w:val="bottom"/>
            <w:hideMark/>
          </w:tcPr>
          <w:p w14:paraId="549933A7" w14:textId="77777777" w:rsidR="00FE6EA1" w:rsidRPr="00FE6EA1" w:rsidRDefault="00FE6EA1" w:rsidP="00FE6EA1">
            <w:pPr>
              <w:spacing w:after="0" w:line="240" w:lineRule="auto"/>
              <w:ind w:firstLineChars="100" w:firstLine="200"/>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Third</w:t>
            </w:r>
          </w:p>
        </w:tc>
        <w:tc>
          <w:tcPr>
            <w:tcW w:w="1172" w:type="pct"/>
            <w:tcBorders>
              <w:top w:val="nil"/>
              <w:left w:val="nil"/>
              <w:bottom w:val="single" w:sz="4" w:space="0" w:color="auto"/>
              <w:right w:val="nil"/>
            </w:tcBorders>
            <w:shd w:val="clear" w:color="auto" w:fill="auto"/>
            <w:noWrap/>
            <w:vAlign w:val="bottom"/>
            <w:hideMark/>
          </w:tcPr>
          <w:p w14:paraId="145F6749"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2051 (59.1%)</w:t>
            </w:r>
          </w:p>
        </w:tc>
        <w:tc>
          <w:tcPr>
            <w:tcW w:w="907" w:type="pct"/>
            <w:tcBorders>
              <w:top w:val="nil"/>
              <w:left w:val="nil"/>
              <w:bottom w:val="single" w:sz="4" w:space="0" w:color="auto"/>
              <w:right w:val="nil"/>
            </w:tcBorders>
            <w:shd w:val="clear" w:color="auto" w:fill="auto"/>
            <w:noWrap/>
            <w:vAlign w:val="bottom"/>
            <w:hideMark/>
          </w:tcPr>
          <w:p w14:paraId="2B0A184A"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654 (18.9%)</w:t>
            </w:r>
          </w:p>
        </w:tc>
        <w:tc>
          <w:tcPr>
            <w:tcW w:w="1430" w:type="pct"/>
            <w:tcBorders>
              <w:top w:val="nil"/>
              <w:left w:val="nil"/>
              <w:bottom w:val="single" w:sz="4" w:space="0" w:color="auto"/>
              <w:right w:val="nil"/>
            </w:tcBorders>
            <w:shd w:val="clear" w:color="auto" w:fill="auto"/>
            <w:noWrap/>
            <w:vAlign w:val="bottom"/>
            <w:hideMark/>
          </w:tcPr>
          <w:p w14:paraId="3D528E46"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765 (22.1%)</w:t>
            </w:r>
          </w:p>
        </w:tc>
      </w:tr>
      <w:tr w:rsidR="00FE6EA1" w:rsidRPr="00FE6EA1" w14:paraId="1A89838E" w14:textId="77777777" w:rsidTr="000C38AB">
        <w:trPr>
          <w:trHeight w:val="290"/>
        </w:trPr>
        <w:tc>
          <w:tcPr>
            <w:tcW w:w="3570" w:type="pct"/>
            <w:gridSpan w:val="3"/>
            <w:tcBorders>
              <w:top w:val="single" w:sz="4" w:space="0" w:color="auto"/>
              <w:left w:val="nil"/>
              <w:bottom w:val="single" w:sz="4" w:space="0" w:color="auto"/>
              <w:right w:val="nil"/>
            </w:tcBorders>
            <w:shd w:val="clear" w:color="auto" w:fill="auto"/>
            <w:noWrap/>
            <w:vAlign w:val="bottom"/>
            <w:hideMark/>
          </w:tcPr>
          <w:p w14:paraId="723A97B9"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Individuals with at least 2 types of sanction</w:t>
            </w:r>
          </w:p>
        </w:tc>
        <w:tc>
          <w:tcPr>
            <w:tcW w:w="1430" w:type="pct"/>
            <w:tcBorders>
              <w:top w:val="single" w:sz="4" w:space="0" w:color="auto"/>
              <w:left w:val="nil"/>
              <w:bottom w:val="single" w:sz="4" w:space="0" w:color="auto"/>
              <w:right w:val="nil"/>
            </w:tcBorders>
            <w:shd w:val="clear" w:color="auto" w:fill="auto"/>
            <w:noWrap/>
            <w:vAlign w:val="bottom"/>
            <w:hideMark/>
          </w:tcPr>
          <w:p w14:paraId="4CDB77A3" w14:textId="77777777" w:rsidR="00FE6EA1" w:rsidRPr="00FE6EA1" w:rsidRDefault="00FE6EA1" w:rsidP="00FE6EA1">
            <w:pPr>
              <w:spacing w:after="0" w:line="240" w:lineRule="auto"/>
              <w:rPr>
                <w:rFonts w:ascii="Arial" w:eastAsia="Times New Roman" w:hAnsi="Arial" w:cs="Arial"/>
                <w:color w:val="000000"/>
                <w:kern w:val="0"/>
                <w:sz w:val="20"/>
                <w:szCs w:val="20"/>
                <w14:ligatures w14:val="none"/>
              </w:rPr>
            </w:pPr>
          </w:p>
        </w:tc>
      </w:tr>
      <w:tr w:rsidR="00FE6EA1" w:rsidRPr="00FE6EA1" w14:paraId="05ACDE19" w14:textId="77777777" w:rsidTr="000C38AB">
        <w:trPr>
          <w:trHeight w:val="290"/>
        </w:trPr>
        <w:tc>
          <w:tcPr>
            <w:tcW w:w="1491" w:type="pct"/>
            <w:tcBorders>
              <w:top w:val="single" w:sz="4" w:space="0" w:color="auto"/>
              <w:left w:val="nil"/>
              <w:bottom w:val="nil"/>
              <w:right w:val="nil"/>
            </w:tcBorders>
            <w:shd w:val="clear" w:color="auto" w:fill="auto"/>
            <w:noWrap/>
            <w:vAlign w:val="bottom"/>
            <w:hideMark/>
          </w:tcPr>
          <w:p w14:paraId="2888A22C" w14:textId="77777777" w:rsidR="00FE6EA1" w:rsidRPr="00FE6EA1" w:rsidRDefault="00FE6EA1" w:rsidP="00FE6EA1">
            <w:pPr>
              <w:spacing w:after="0" w:line="240" w:lineRule="auto"/>
              <w:ind w:firstLineChars="100" w:firstLine="200"/>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First</w:t>
            </w:r>
          </w:p>
        </w:tc>
        <w:tc>
          <w:tcPr>
            <w:tcW w:w="1172" w:type="pct"/>
            <w:tcBorders>
              <w:top w:val="single" w:sz="4" w:space="0" w:color="auto"/>
              <w:left w:val="nil"/>
              <w:bottom w:val="nil"/>
              <w:right w:val="nil"/>
            </w:tcBorders>
            <w:shd w:val="clear" w:color="auto" w:fill="auto"/>
            <w:noWrap/>
            <w:vAlign w:val="bottom"/>
            <w:hideMark/>
          </w:tcPr>
          <w:p w14:paraId="1CC245AF"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2137 (30.6%)</w:t>
            </w:r>
          </w:p>
        </w:tc>
        <w:tc>
          <w:tcPr>
            <w:tcW w:w="907" w:type="pct"/>
            <w:tcBorders>
              <w:top w:val="single" w:sz="4" w:space="0" w:color="auto"/>
              <w:left w:val="nil"/>
              <w:bottom w:val="nil"/>
              <w:right w:val="nil"/>
            </w:tcBorders>
            <w:shd w:val="clear" w:color="auto" w:fill="auto"/>
            <w:noWrap/>
            <w:vAlign w:val="bottom"/>
            <w:hideMark/>
          </w:tcPr>
          <w:p w14:paraId="63F7F9ED"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2804 (40.2%)</w:t>
            </w:r>
          </w:p>
        </w:tc>
        <w:tc>
          <w:tcPr>
            <w:tcW w:w="1430" w:type="pct"/>
            <w:tcBorders>
              <w:top w:val="single" w:sz="4" w:space="0" w:color="auto"/>
              <w:left w:val="nil"/>
              <w:bottom w:val="nil"/>
              <w:right w:val="nil"/>
            </w:tcBorders>
            <w:shd w:val="clear" w:color="auto" w:fill="auto"/>
            <w:noWrap/>
            <w:vAlign w:val="bottom"/>
            <w:hideMark/>
          </w:tcPr>
          <w:p w14:paraId="3B3BF182"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2042 (29.2%)</w:t>
            </w:r>
          </w:p>
        </w:tc>
      </w:tr>
      <w:tr w:rsidR="00FE6EA1" w:rsidRPr="00FE6EA1" w14:paraId="0FCFE0DB" w14:textId="77777777" w:rsidTr="000C38AB">
        <w:trPr>
          <w:trHeight w:val="290"/>
        </w:trPr>
        <w:tc>
          <w:tcPr>
            <w:tcW w:w="1491" w:type="pct"/>
            <w:tcBorders>
              <w:top w:val="nil"/>
              <w:left w:val="nil"/>
              <w:bottom w:val="nil"/>
              <w:right w:val="nil"/>
            </w:tcBorders>
            <w:shd w:val="clear" w:color="auto" w:fill="auto"/>
            <w:noWrap/>
            <w:vAlign w:val="bottom"/>
            <w:hideMark/>
          </w:tcPr>
          <w:p w14:paraId="53D11EB3" w14:textId="77777777" w:rsidR="00FE6EA1" w:rsidRPr="00FE6EA1" w:rsidRDefault="00FE6EA1" w:rsidP="00FE6EA1">
            <w:pPr>
              <w:spacing w:after="0" w:line="240" w:lineRule="auto"/>
              <w:ind w:firstLineChars="100" w:firstLine="200"/>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Second</w:t>
            </w:r>
          </w:p>
        </w:tc>
        <w:tc>
          <w:tcPr>
            <w:tcW w:w="1172" w:type="pct"/>
            <w:tcBorders>
              <w:top w:val="nil"/>
              <w:left w:val="nil"/>
              <w:bottom w:val="nil"/>
              <w:right w:val="nil"/>
            </w:tcBorders>
            <w:shd w:val="clear" w:color="auto" w:fill="auto"/>
            <w:noWrap/>
            <w:vAlign w:val="bottom"/>
            <w:hideMark/>
          </w:tcPr>
          <w:p w14:paraId="1893AD05"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3626 (51.9%)</w:t>
            </w:r>
          </w:p>
        </w:tc>
        <w:tc>
          <w:tcPr>
            <w:tcW w:w="907" w:type="pct"/>
            <w:tcBorders>
              <w:top w:val="nil"/>
              <w:left w:val="nil"/>
              <w:bottom w:val="nil"/>
              <w:right w:val="nil"/>
            </w:tcBorders>
            <w:shd w:val="clear" w:color="auto" w:fill="auto"/>
            <w:noWrap/>
            <w:vAlign w:val="bottom"/>
            <w:hideMark/>
          </w:tcPr>
          <w:p w14:paraId="7461532F"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1294 (18.5%)</w:t>
            </w:r>
          </w:p>
        </w:tc>
        <w:tc>
          <w:tcPr>
            <w:tcW w:w="1430" w:type="pct"/>
            <w:tcBorders>
              <w:top w:val="nil"/>
              <w:left w:val="nil"/>
              <w:bottom w:val="nil"/>
              <w:right w:val="nil"/>
            </w:tcBorders>
            <w:shd w:val="clear" w:color="auto" w:fill="auto"/>
            <w:noWrap/>
            <w:vAlign w:val="bottom"/>
            <w:hideMark/>
          </w:tcPr>
          <w:p w14:paraId="54C11F05"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2063 (29.6%)</w:t>
            </w:r>
          </w:p>
        </w:tc>
      </w:tr>
      <w:tr w:rsidR="00FE6EA1" w:rsidRPr="00FE6EA1" w14:paraId="1F653F4D" w14:textId="77777777" w:rsidTr="000C38AB">
        <w:trPr>
          <w:trHeight w:val="290"/>
        </w:trPr>
        <w:tc>
          <w:tcPr>
            <w:tcW w:w="1491" w:type="pct"/>
            <w:tcBorders>
              <w:top w:val="nil"/>
              <w:left w:val="nil"/>
              <w:bottom w:val="single" w:sz="4" w:space="0" w:color="auto"/>
              <w:right w:val="nil"/>
            </w:tcBorders>
            <w:shd w:val="clear" w:color="auto" w:fill="auto"/>
            <w:noWrap/>
            <w:vAlign w:val="bottom"/>
            <w:hideMark/>
          </w:tcPr>
          <w:p w14:paraId="34F1E376" w14:textId="77777777" w:rsidR="00FE6EA1" w:rsidRPr="00FE6EA1" w:rsidRDefault="00FE6EA1" w:rsidP="00FE6EA1">
            <w:pPr>
              <w:spacing w:after="0" w:line="240" w:lineRule="auto"/>
              <w:ind w:firstLineChars="100" w:firstLine="200"/>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Third</w:t>
            </w:r>
          </w:p>
        </w:tc>
        <w:tc>
          <w:tcPr>
            <w:tcW w:w="1172" w:type="pct"/>
            <w:tcBorders>
              <w:top w:val="nil"/>
              <w:left w:val="nil"/>
              <w:bottom w:val="single" w:sz="4" w:space="0" w:color="auto"/>
              <w:right w:val="nil"/>
            </w:tcBorders>
            <w:shd w:val="clear" w:color="auto" w:fill="auto"/>
            <w:noWrap/>
            <w:vAlign w:val="bottom"/>
            <w:hideMark/>
          </w:tcPr>
          <w:p w14:paraId="3EAFFEA8"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3014 (59.0%)</w:t>
            </w:r>
          </w:p>
        </w:tc>
        <w:tc>
          <w:tcPr>
            <w:tcW w:w="907" w:type="pct"/>
            <w:tcBorders>
              <w:top w:val="nil"/>
              <w:left w:val="nil"/>
              <w:bottom w:val="single" w:sz="4" w:space="0" w:color="auto"/>
              <w:right w:val="nil"/>
            </w:tcBorders>
            <w:shd w:val="clear" w:color="auto" w:fill="auto"/>
            <w:noWrap/>
            <w:vAlign w:val="bottom"/>
            <w:hideMark/>
          </w:tcPr>
          <w:p w14:paraId="00C9563E"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838 (16.4%)</w:t>
            </w:r>
          </w:p>
        </w:tc>
        <w:tc>
          <w:tcPr>
            <w:tcW w:w="1430" w:type="pct"/>
            <w:tcBorders>
              <w:top w:val="nil"/>
              <w:left w:val="nil"/>
              <w:bottom w:val="single" w:sz="4" w:space="0" w:color="auto"/>
              <w:right w:val="nil"/>
            </w:tcBorders>
            <w:shd w:val="clear" w:color="auto" w:fill="auto"/>
            <w:noWrap/>
            <w:vAlign w:val="bottom"/>
            <w:hideMark/>
          </w:tcPr>
          <w:p w14:paraId="46FE2885" w14:textId="77777777" w:rsidR="00FE6EA1" w:rsidRPr="00FE6EA1" w:rsidRDefault="00FE6EA1" w:rsidP="00FE6EA1">
            <w:pPr>
              <w:spacing w:after="0" w:line="240" w:lineRule="auto"/>
              <w:jc w:val="center"/>
              <w:rPr>
                <w:rFonts w:ascii="Arial" w:eastAsia="Times New Roman" w:hAnsi="Arial" w:cs="Arial"/>
                <w:color w:val="000000"/>
                <w:kern w:val="0"/>
                <w:sz w:val="20"/>
                <w:szCs w:val="20"/>
                <w14:ligatures w14:val="none"/>
              </w:rPr>
            </w:pPr>
            <w:r w:rsidRPr="00FE6EA1">
              <w:rPr>
                <w:rFonts w:ascii="Arial" w:eastAsia="Times New Roman" w:hAnsi="Arial" w:cs="Arial"/>
                <w:color w:val="000000"/>
                <w:kern w:val="0"/>
                <w:sz w:val="20"/>
                <w:szCs w:val="20"/>
                <w14:ligatures w14:val="none"/>
              </w:rPr>
              <w:t>1260 (24.7%)</w:t>
            </w:r>
          </w:p>
        </w:tc>
      </w:tr>
    </w:tbl>
    <w:p w14:paraId="0E7BFF22" w14:textId="77777777" w:rsidR="005357C2" w:rsidRDefault="005357C2" w:rsidP="005357C2">
      <w:pPr>
        <w:rPr>
          <w:rFonts w:ascii="Times New Roman" w:hAnsi="Times New Roman" w:cs="Times New Roman"/>
          <w:b/>
          <w:bCs/>
          <w:sz w:val="20"/>
          <w:szCs w:val="20"/>
        </w:rPr>
      </w:pPr>
    </w:p>
    <w:p w14:paraId="521C0F34" w14:textId="77777777" w:rsidR="00AB102F" w:rsidRDefault="00AB102F">
      <w:pPr>
        <w:rPr>
          <w:rFonts w:ascii="Times New Roman" w:hAnsi="Times New Roman" w:cs="Times New Roman"/>
          <w:b/>
          <w:bCs/>
          <w:sz w:val="20"/>
          <w:szCs w:val="20"/>
        </w:rPr>
        <w:sectPr w:rsidR="00AB102F">
          <w:pgSz w:w="12240" w:h="15840"/>
          <w:pgMar w:top="1417" w:right="1417" w:bottom="1417" w:left="1417" w:header="708" w:footer="708" w:gutter="0"/>
          <w:cols w:space="708"/>
          <w:docGrid w:linePitch="360"/>
        </w:sectPr>
      </w:pPr>
    </w:p>
    <w:p w14:paraId="4F2B9562" w14:textId="31B1A80A" w:rsidR="00700E38" w:rsidRDefault="00700E38" w:rsidP="00700E38">
      <w:pPr>
        <w:rPr>
          <w:rFonts w:ascii="Times New Roman" w:hAnsi="Times New Roman" w:cs="Times New Roman"/>
          <w:sz w:val="20"/>
          <w:szCs w:val="20"/>
        </w:rPr>
      </w:pPr>
      <w:r w:rsidRPr="00AA797A">
        <w:rPr>
          <w:rFonts w:ascii="Times New Roman" w:hAnsi="Times New Roman" w:cs="Times New Roman"/>
          <w:b/>
          <w:bCs/>
          <w:sz w:val="20"/>
          <w:szCs w:val="20"/>
        </w:rPr>
        <w:lastRenderedPageBreak/>
        <w:t>Table S</w:t>
      </w:r>
      <w:r w:rsidR="002966DC">
        <w:rPr>
          <w:rFonts w:ascii="Times New Roman" w:hAnsi="Times New Roman" w:cs="Times New Roman"/>
          <w:b/>
          <w:bCs/>
          <w:sz w:val="20"/>
          <w:szCs w:val="20"/>
        </w:rPr>
        <w:t>8</w:t>
      </w:r>
      <w:r w:rsidRPr="00AA797A">
        <w:rPr>
          <w:rFonts w:ascii="Times New Roman" w:hAnsi="Times New Roman" w:cs="Times New Roman"/>
          <w:b/>
          <w:bCs/>
          <w:sz w:val="20"/>
          <w:szCs w:val="20"/>
        </w:rPr>
        <w:t xml:space="preserve">. </w:t>
      </w:r>
      <w:r w:rsidRPr="00700E38">
        <w:rPr>
          <w:rFonts w:ascii="Times New Roman" w:hAnsi="Times New Roman" w:cs="Times New Roman"/>
          <w:sz w:val="20"/>
          <w:szCs w:val="20"/>
        </w:rPr>
        <w:t>Within-individual Cox regression models estimating associations of sanction type with substance misuse, mental health, somatic health, and crime</w:t>
      </w:r>
      <w:r w:rsidR="00CE5F94">
        <w:rPr>
          <w:rFonts w:ascii="Times New Roman" w:hAnsi="Times New Roman" w:cs="Times New Roman"/>
          <w:sz w:val="20"/>
          <w:szCs w:val="20"/>
        </w:rPr>
        <w:t xml:space="preserve"> </w:t>
      </w:r>
      <w:r w:rsidR="00CE5F94" w:rsidRPr="00CE5F94">
        <w:rPr>
          <w:rFonts w:ascii="Times New Roman" w:hAnsi="Times New Roman" w:cs="Times New Roman"/>
          <w:sz w:val="20"/>
          <w:szCs w:val="20"/>
        </w:rPr>
        <w:t>(probation as the reference)</w:t>
      </w:r>
    </w:p>
    <w:tbl>
      <w:tblPr>
        <w:tblpPr w:leftFromText="180" w:rightFromText="180" w:vertAnchor="page" w:horzAnchor="margin" w:tblpY="2511"/>
        <w:tblW w:w="10058" w:type="dxa"/>
        <w:tblLook w:val="04A0" w:firstRow="1" w:lastRow="0" w:firstColumn="1" w:lastColumn="0" w:noHBand="0" w:noVBand="1"/>
      </w:tblPr>
      <w:tblGrid>
        <w:gridCol w:w="2982"/>
        <w:gridCol w:w="2231"/>
        <w:gridCol w:w="1615"/>
        <w:gridCol w:w="1615"/>
        <w:gridCol w:w="1615"/>
      </w:tblGrid>
      <w:tr w:rsidR="00337DD4" w:rsidRPr="00337DD4" w14:paraId="76F25B56" w14:textId="77777777" w:rsidTr="000C38AB">
        <w:trPr>
          <w:trHeight w:val="309"/>
        </w:trPr>
        <w:tc>
          <w:tcPr>
            <w:tcW w:w="0" w:type="auto"/>
            <w:tcBorders>
              <w:top w:val="single" w:sz="4" w:space="0" w:color="auto"/>
              <w:left w:val="nil"/>
              <w:bottom w:val="nil"/>
              <w:right w:val="nil"/>
            </w:tcBorders>
            <w:shd w:val="clear" w:color="auto" w:fill="auto"/>
            <w:noWrap/>
            <w:vAlign w:val="center"/>
            <w:hideMark/>
          </w:tcPr>
          <w:p w14:paraId="187F106C" w14:textId="77777777" w:rsidR="00337DD4" w:rsidRPr="00337DD4" w:rsidRDefault="00337DD4" w:rsidP="00337DD4">
            <w:pPr>
              <w:spacing w:after="0" w:line="240" w:lineRule="auto"/>
              <w:rPr>
                <w:rFonts w:ascii="Calibri" w:eastAsia="Times New Roman" w:hAnsi="Calibri" w:cs="Calibri"/>
                <w:color w:val="000000"/>
                <w:kern w:val="0"/>
                <w:sz w:val="18"/>
                <w:szCs w:val="18"/>
                <w14:ligatures w14:val="none"/>
              </w:rPr>
            </w:pPr>
          </w:p>
        </w:tc>
        <w:tc>
          <w:tcPr>
            <w:tcW w:w="0" w:type="auto"/>
            <w:tcBorders>
              <w:top w:val="single" w:sz="4" w:space="0" w:color="auto"/>
              <w:left w:val="nil"/>
              <w:bottom w:val="single" w:sz="4" w:space="0" w:color="auto"/>
              <w:right w:val="nil"/>
            </w:tcBorders>
            <w:shd w:val="clear" w:color="auto" w:fill="auto"/>
            <w:noWrap/>
            <w:vAlign w:val="center"/>
            <w:hideMark/>
          </w:tcPr>
          <w:p w14:paraId="5DA5B9D4"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Outcome, HR (95% CI)</w:t>
            </w:r>
          </w:p>
        </w:tc>
        <w:tc>
          <w:tcPr>
            <w:tcW w:w="0" w:type="auto"/>
            <w:tcBorders>
              <w:top w:val="single" w:sz="4" w:space="0" w:color="auto"/>
              <w:left w:val="nil"/>
              <w:bottom w:val="nil"/>
              <w:right w:val="nil"/>
            </w:tcBorders>
            <w:shd w:val="clear" w:color="auto" w:fill="auto"/>
            <w:noWrap/>
            <w:vAlign w:val="center"/>
            <w:hideMark/>
          </w:tcPr>
          <w:p w14:paraId="39D6D581"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p>
        </w:tc>
        <w:tc>
          <w:tcPr>
            <w:tcW w:w="0" w:type="auto"/>
            <w:tcBorders>
              <w:top w:val="single" w:sz="4" w:space="0" w:color="auto"/>
              <w:left w:val="nil"/>
              <w:bottom w:val="nil"/>
              <w:right w:val="nil"/>
            </w:tcBorders>
            <w:shd w:val="clear" w:color="auto" w:fill="auto"/>
            <w:noWrap/>
            <w:vAlign w:val="center"/>
            <w:hideMark/>
          </w:tcPr>
          <w:p w14:paraId="01C98764"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p>
        </w:tc>
        <w:tc>
          <w:tcPr>
            <w:tcW w:w="0" w:type="auto"/>
            <w:tcBorders>
              <w:top w:val="single" w:sz="4" w:space="0" w:color="auto"/>
              <w:left w:val="nil"/>
              <w:bottom w:val="nil"/>
              <w:right w:val="nil"/>
            </w:tcBorders>
            <w:shd w:val="clear" w:color="auto" w:fill="auto"/>
            <w:noWrap/>
            <w:vAlign w:val="center"/>
            <w:hideMark/>
          </w:tcPr>
          <w:p w14:paraId="2B5BAC6B"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p>
        </w:tc>
      </w:tr>
      <w:tr w:rsidR="00337DD4" w:rsidRPr="00337DD4" w14:paraId="266F15A5" w14:textId="77777777" w:rsidTr="000C38AB">
        <w:trPr>
          <w:trHeight w:val="309"/>
        </w:trPr>
        <w:tc>
          <w:tcPr>
            <w:tcW w:w="0" w:type="auto"/>
            <w:tcBorders>
              <w:top w:val="nil"/>
              <w:left w:val="nil"/>
              <w:bottom w:val="single" w:sz="4" w:space="0" w:color="auto"/>
              <w:right w:val="nil"/>
            </w:tcBorders>
            <w:shd w:val="clear" w:color="auto" w:fill="auto"/>
            <w:noWrap/>
            <w:vAlign w:val="center"/>
            <w:hideMark/>
          </w:tcPr>
          <w:p w14:paraId="4AA6FA9D"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Model</w:t>
            </w:r>
          </w:p>
        </w:tc>
        <w:tc>
          <w:tcPr>
            <w:tcW w:w="0" w:type="auto"/>
            <w:tcBorders>
              <w:top w:val="nil"/>
              <w:left w:val="nil"/>
              <w:bottom w:val="single" w:sz="4" w:space="0" w:color="auto"/>
              <w:right w:val="nil"/>
            </w:tcBorders>
            <w:shd w:val="clear" w:color="auto" w:fill="auto"/>
            <w:noWrap/>
            <w:vAlign w:val="center"/>
            <w:hideMark/>
          </w:tcPr>
          <w:p w14:paraId="02E922FE"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Substance misuse</w:t>
            </w:r>
          </w:p>
        </w:tc>
        <w:tc>
          <w:tcPr>
            <w:tcW w:w="0" w:type="auto"/>
            <w:tcBorders>
              <w:top w:val="nil"/>
              <w:left w:val="nil"/>
              <w:bottom w:val="single" w:sz="4" w:space="0" w:color="auto"/>
              <w:right w:val="nil"/>
            </w:tcBorders>
            <w:shd w:val="clear" w:color="auto" w:fill="auto"/>
            <w:noWrap/>
            <w:vAlign w:val="center"/>
            <w:hideMark/>
          </w:tcPr>
          <w:p w14:paraId="44F02877"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Mental health</w:t>
            </w:r>
          </w:p>
        </w:tc>
        <w:tc>
          <w:tcPr>
            <w:tcW w:w="0" w:type="auto"/>
            <w:tcBorders>
              <w:top w:val="nil"/>
              <w:left w:val="nil"/>
              <w:bottom w:val="single" w:sz="4" w:space="0" w:color="auto"/>
              <w:right w:val="nil"/>
            </w:tcBorders>
            <w:shd w:val="clear" w:color="auto" w:fill="auto"/>
            <w:noWrap/>
            <w:vAlign w:val="center"/>
            <w:hideMark/>
          </w:tcPr>
          <w:p w14:paraId="4C4D2DEE"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Somatic health</w:t>
            </w:r>
          </w:p>
        </w:tc>
        <w:tc>
          <w:tcPr>
            <w:tcW w:w="0" w:type="auto"/>
            <w:tcBorders>
              <w:top w:val="nil"/>
              <w:left w:val="nil"/>
              <w:bottom w:val="single" w:sz="4" w:space="0" w:color="auto"/>
              <w:right w:val="nil"/>
            </w:tcBorders>
            <w:shd w:val="clear" w:color="auto" w:fill="auto"/>
            <w:noWrap/>
            <w:vAlign w:val="center"/>
            <w:hideMark/>
          </w:tcPr>
          <w:p w14:paraId="47E7E5FE"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Crime</w:t>
            </w:r>
          </w:p>
        </w:tc>
      </w:tr>
      <w:tr w:rsidR="00337DD4" w:rsidRPr="00337DD4" w14:paraId="4BDA72E0" w14:textId="77777777" w:rsidTr="000C38AB">
        <w:trPr>
          <w:trHeight w:val="309"/>
        </w:trPr>
        <w:tc>
          <w:tcPr>
            <w:tcW w:w="0" w:type="auto"/>
            <w:tcBorders>
              <w:top w:val="nil"/>
              <w:left w:val="nil"/>
              <w:bottom w:val="nil"/>
              <w:right w:val="nil"/>
            </w:tcBorders>
            <w:shd w:val="clear" w:color="auto" w:fill="auto"/>
            <w:noWrap/>
            <w:vAlign w:val="center"/>
            <w:hideMark/>
          </w:tcPr>
          <w:p w14:paraId="0E9E22A7"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r w:rsidRPr="00337DD4">
              <w:rPr>
                <w:rFonts w:ascii="Arial" w:eastAsia="Times New Roman" w:hAnsi="Arial" w:cs="Arial"/>
                <w:b/>
                <w:bCs/>
                <w:color w:val="000000"/>
                <w:kern w:val="0"/>
                <w:sz w:val="18"/>
                <w:szCs w:val="18"/>
                <w14:ligatures w14:val="none"/>
              </w:rPr>
              <w:t>Adjusted for age and year</w:t>
            </w:r>
          </w:p>
        </w:tc>
        <w:tc>
          <w:tcPr>
            <w:tcW w:w="0" w:type="auto"/>
            <w:tcBorders>
              <w:top w:val="nil"/>
              <w:left w:val="nil"/>
              <w:bottom w:val="nil"/>
              <w:right w:val="nil"/>
            </w:tcBorders>
            <w:shd w:val="clear" w:color="auto" w:fill="auto"/>
            <w:noWrap/>
            <w:vAlign w:val="center"/>
            <w:hideMark/>
          </w:tcPr>
          <w:p w14:paraId="63A40DA0"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p>
        </w:tc>
        <w:tc>
          <w:tcPr>
            <w:tcW w:w="0" w:type="auto"/>
            <w:tcBorders>
              <w:top w:val="nil"/>
              <w:left w:val="nil"/>
              <w:bottom w:val="nil"/>
              <w:right w:val="nil"/>
            </w:tcBorders>
            <w:shd w:val="clear" w:color="auto" w:fill="auto"/>
            <w:noWrap/>
            <w:vAlign w:val="center"/>
            <w:hideMark/>
          </w:tcPr>
          <w:p w14:paraId="27AB8C5E"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7B34B26F"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2FAE46AF"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r>
      <w:tr w:rsidR="00337DD4" w:rsidRPr="00337DD4" w14:paraId="0BA82DA3" w14:textId="77777777" w:rsidTr="000C38AB">
        <w:trPr>
          <w:trHeight w:val="309"/>
        </w:trPr>
        <w:tc>
          <w:tcPr>
            <w:tcW w:w="0" w:type="auto"/>
            <w:tcBorders>
              <w:top w:val="nil"/>
              <w:left w:val="nil"/>
              <w:bottom w:val="nil"/>
              <w:right w:val="nil"/>
            </w:tcBorders>
            <w:shd w:val="clear" w:color="auto" w:fill="auto"/>
            <w:noWrap/>
            <w:vAlign w:val="center"/>
            <w:hideMark/>
          </w:tcPr>
          <w:p w14:paraId="1675EA46"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Reference: probation (n=7182)</w:t>
            </w:r>
          </w:p>
        </w:tc>
        <w:tc>
          <w:tcPr>
            <w:tcW w:w="0" w:type="auto"/>
            <w:tcBorders>
              <w:top w:val="nil"/>
              <w:left w:val="nil"/>
              <w:bottom w:val="nil"/>
              <w:right w:val="nil"/>
            </w:tcBorders>
            <w:shd w:val="clear" w:color="auto" w:fill="auto"/>
            <w:noWrap/>
            <w:vAlign w:val="center"/>
            <w:hideMark/>
          </w:tcPr>
          <w:p w14:paraId="44A92C50"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p>
        </w:tc>
        <w:tc>
          <w:tcPr>
            <w:tcW w:w="0" w:type="auto"/>
            <w:tcBorders>
              <w:top w:val="nil"/>
              <w:left w:val="nil"/>
              <w:bottom w:val="nil"/>
              <w:right w:val="nil"/>
            </w:tcBorders>
            <w:shd w:val="clear" w:color="auto" w:fill="auto"/>
            <w:noWrap/>
            <w:vAlign w:val="center"/>
            <w:hideMark/>
          </w:tcPr>
          <w:p w14:paraId="2915CB56"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442666A7"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103CE84B"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r>
      <w:tr w:rsidR="00337DD4" w:rsidRPr="00337DD4" w14:paraId="3974D6EB" w14:textId="77777777" w:rsidTr="000C38AB">
        <w:trPr>
          <w:trHeight w:val="309"/>
        </w:trPr>
        <w:tc>
          <w:tcPr>
            <w:tcW w:w="0" w:type="auto"/>
            <w:tcBorders>
              <w:top w:val="nil"/>
              <w:left w:val="nil"/>
              <w:bottom w:val="nil"/>
              <w:right w:val="nil"/>
            </w:tcBorders>
            <w:shd w:val="clear" w:color="auto" w:fill="auto"/>
            <w:noWrap/>
            <w:vAlign w:val="center"/>
            <w:hideMark/>
          </w:tcPr>
          <w:p w14:paraId="4DEB7605"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Parole (n=19864)</w:t>
            </w:r>
          </w:p>
        </w:tc>
        <w:tc>
          <w:tcPr>
            <w:tcW w:w="0" w:type="auto"/>
            <w:tcBorders>
              <w:top w:val="nil"/>
              <w:left w:val="nil"/>
              <w:bottom w:val="nil"/>
              <w:right w:val="nil"/>
            </w:tcBorders>
            <w:shd w:val="clear" w:color="auto" w:fill="auto"/>
            <w:noWrap/>
            <w:vAlign w:val="center"/>
            <w:hideMark/>
          </w:tcPr>
          <w:p w14:paraId="5D1B734F"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1.11 (1.01-1.22)</w:t>
            </w:r>
          </w:p>
        </w:tc>
        <w:tc>
          <w:tcPr>
            <w:tcW w:w="0" w:type="auto"/>
            <w:tcBorders>
              <w:top w:val="nil"/>
              <w:left w:val="nil"/>
              <w:bottom w:val="nil"/>
              <w:right w:val="nil"/>
            </w:tcBorders>
            <w:shd w:val="clear" w:color="auto" w:fill="auto"/>
            <w:noWrap/>
            <w:vAlign w:val="center"/>
            <w:hideMark/>
          </w:tcPr>
          <w:p w14:paraId="01238135"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0.95 (0.85-1.06)</w:t>
            </w:r>
          </w:p>
        </w:tc>
        <w:tc>
          <w:tcPr>
            <w:tcW w:w="0" w:type="auto"/>
            <w:tcBorders>
              <w:top w:val="nil"/>
              <w:left w:val="nil"/>
              <w:bottom w:val="nil"/>
              <w:right w:val="nil"/>
            </w:tcBorders>
            <w:shd w:val="clear" w:color="auto" w:fill="auto"/>
            <w:noWrap/>
            <w:vAlign w:val="center"/>
            <w:hideMark/>
          </w:tcPr>
          <w:p w14:paraId="4A208A1F"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1.04 (0.98-1.11)</w:t>
            </w:r>
          </w:p>
        </w:tc>
        <w:tc>
          <w:tcPr>
            <w:tcW w:w="0" w:type="auto"/>
            <w:tcBorders>
              <w:top w:val="nil"/>
              <w:left w:val="nil"/>
              <w:bottom w:val="nil"/>
              <w:right w:val="nil"/>
            </w:tcBorders>
            <w:shd w:val="clear" w:color="auto" w:fill="auto"/>
            <w:noWrap/>
            <w:vAlign w:val="center"/>
            <w:hideMark/>
          </w:tcPr>
          <w:p w14:paraId="5D5FA61F"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1.25 (1.19-1.30)</w:t>
            </w:r>
          </w:p>
        </w:tc>
      </w:tr>
      <w:tr w:rsidR="00337DD4" w:rsidRPr="00337DD4" w14:paraId="71008404" w14:textId="77777777" w:rsidTr="000C38AB">
        <w:trPr>
          <w:trHeight w:val="309"/>
        </w:trPr>
        <w:tc>
          <w:tcPr>
            <w:tcW w:w="0" w:type="auto"/>
            <w:tcBorders>
              <w:top w:val="nil"/>
              <w:left w:val="nil"/>
              <w:bottom w:val="nil"/>
              <w:right w:val="nil"/>
            </w:tcBorders>
            <w:shd w:val="clear" w:color="auto" w:fill="auto"/>
            <w:noWrap/>
            <w:vAlign w:val="center"/>
            <w:hideMark/>
          </w:tcPr>
          <w:p w14:paraId="5265BF2D"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Contract treatment (n=13508)</w:t>
            </w:r>
          </w:p>
        </w:tc>
        <w:tc>
          <w:tcPr>
            <w:tcW w:w="0" w:type="auto"/>
            <w:tcBorders>
              <w:top w:val="nil"/>
              <w:left w:val="nil"/>
              <w:bottom w:val="nil"/>
              <w:right w:val="nil"/>
            </w:tcBorders>
            <w:shd w:val="clear" w:color="auto" w:fill="auto"/>
            <w:noWrap/>
            <w:vAlign w:val="center"/>
            <w:hideMark/>
          </w:tcPr>
          <w:p w14:paraId="2463F7F7"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0.84 (0.77-0.93)</w:t>
            </w:r>
          </w:p>
        </w:tc>
        <w:tc>
          <w:tcPr>
            <w:tcW w:w="0" w:type="auto"/>
            <w:tcBorders>
              <w:top w:val="nil"/>
              <w:left w:val="nil"/>
              <w:bottom w:val="nil"/>
              <w:right w:val="nil"/>
            </w:tcBorders>
            <w:shd w:val="clear" w:color="auto" w:fill="auto"/>
            <w:noWrap/>
            <w:vAlign w:val="center"/>
            <w:hideMark/>
          </w:tcPr>
          <w:p w14:paraId="2A2C97AC"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0.86 (0.77-0.96)</w:t>
            </w:r>
          </w:p>
        </w:tc>
        <w:tc>
          <w:tcPr>
            <w:tcW w:w="0" w:type="auto"/>
            <w:tcBorders>
              <w:top w:val="nil"/>
              <w:left w:val="nil"/>
              <w:bottom w:val="nil"/>
              <w:right w:val="nil"/>
            </w:tcBorders>
            <w:shd w:val="clear" w:color="auto" w:fill="auto"/>
            <w:noWrap/>
            <w:vAlign w:val="center"/>
            <w:hideMark/>
          </w:tcPr>
          <w:p w14:paraId="0BC36C44"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0.88 (0.83-0.95)</w:t>
            </w:r>
          </w:p>
        </w:tc>
        <w:tc>
          <w:tcPr>
            <w:tcW w:w="0" w:type="auto"/>
            <w:tcBorders>
              <w:top w:val="nil"/>
              <w:left w:val="nil"/>
              <w:bottom w:val="nil"/>
              <w:right w:val="nil"/>
            </w:tcBorders>
            <w:shd w:val="clear" w:color="auto" w:fill="auto"/>
            <w:noWrap/>
            <w:vAlign w:val="center"/>
            <w:hideMark/>
          </w:tcPr>
          <w:p w14:paraId="631D2AD1"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0.69 (0.66-0.72)</w:t>
            </w:r>
          </w:p>
        </w:tc>
      </w:tr>
      <w:tr w:rsidR="00337DD4" w:rsidRPr="00337DD4" w14:paraId="2C8572E0" w14:textId="77777777" w:rsidTr="000C38AB">
        <w:trPr>
          <w:trHeight w:val="309"/>
        </w:trPr>
        <w:tc>
          <w:tcPr>
            <w:tcW w:w="0" w:type="auto"/>
            <w:gridSpan w:val="2"/>
            <w:tcBorders>
              <w:top w:val="nil"/>
              <w:left w:val="nil"/>
              <w:bottom w:val="nil"/>
              <w:right w:val="nil"/>
            </w:tcBorders>
            <w:shd w:val="clear" w:color="auto" w:fill="auto"/>
            <w:noWrap/>
            <w:vAlign w:val="center"/>
            <w:hideMark/>
          </w:tcPr>
          <w:p w14:paraId="3BD58377"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r w:rsidRPr="00337DD4">
              <w:rPr>
                <w:rFonts w:ascii="Arial" w:eastAsia="Times New Roman" w:hAnsi="Arial" w:cs="Arial"/>
                <w:b/>
                <w:bCs/>
                <w:color w:val="000000"/>
                <w:kern w:val="0"/>
                <w:sz w:val="18"/>
                <w:szCs w:val="18"/>
                <w14:ligatures w14:val="none"/>
              </w:rPr>
              <w:t>Adjusted for age, year, and substance use</w:t>
            </w:r>
          </w:p>
        </w:tc>
        <w:tc>
          <w:tcPr>
            <w:tcW w:w="0" w:type="auto"/>
            <w:tcBorders>
              <w:top w:val="nil"/>
              <w:left w:val="nil"/>
              <w:bottom w:val="nil"/>
              <w:right w:val="nil"/>
            </w:tcBorders>
            <w:shd w:val="clear" w:color="auto" w:fill="auto"/>
            <w:noWrap/>
            <w:vAlign w:val="center"/>
            <w:hideMark/>
          </w:tcPr>
          <w:p w14:paraId="0921495F"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p>
        </w:tc>
        <w:tc>
          <w:tcPr>
            <w:tcW w:w="0" w:type="auto"/>
            <w:tcBorders>
              <w:top w:val="nil"/>
              <w:left w:val="nil"/>
              <w:bottom w:val="nil"/>
              <w:right w:val="nil"/>
            </w:tcBorders>
            <w:shd w:val="clear" w:color="auto" w:fill="auto"/>
            <w:noWrap/>
            <w:vAlign w:val="center"/>
            <w:hideMark/>
          </w:tcPr>
          <w:p w14:paraId="5D086C85"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27380E33"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r>
      <w:tr w:rsidR="00337DD4" w:rsidRPr="00337DD4" w14:paraId="21056063" w14:textId="77777777" w:rsidTr="000C38AB">
        <w:trPr>
          <w:trHeight w:val="309"/>
        </w:trPr>
        <w:tc>
          <w:tcPr>
            <w:tcW w:w="0" w:type="auto"/>
            <w:tcBorders>
              <w:top w:val="nil"/>
              <w:left w:val="nil"/>
              <w:bottom w:val="nil"/>
              <w:right w:val="nil"/>
            </w:tcBorders>
            <w:shd w:val="clear" w:color="auto" w:fill="auto"/>
            <w:noWrap/>
            <w:vAlign w:val="center"/>
            <w:hideMark/>
          </w:tcPr>
          <w:p w14:paraId="1694C5A2"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Reference: probation (n=2426)</w:t>
            </w:r>
          </w:p>
        </w:tc>
        <w:tc>
          <w:tcPr>
            <w:tcW w:w="0" w:type="auto"/>
            <w:tcBorders>
              <w:top w:val="nil"/>
              <w:left w:val="nil"/>
              <w:bottom w:val="nil"/>
              <w:right w:val="nil"/>
            </w:tcBorders>
            <w:shd w:val="clear" w:color="auto" w:fill="auto"/>
            <w:noWrap/>
            <w:vAlign w:val="center"/>
            <w:hideMark/>
          </w:tcPr>
          <w:p w14:paraId="646E8B8D"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p>
        </w:tc>
        <w:tc>
          <w:tcPr>
            <w:tcW w:w="0" w:type="auto"/>
            <w:tcBorders>
              <w:top w:val="nil"/>
              <w:left w:val="nil"/>
              <w:bottom w:val="nil"/>
              <w:right w:val="nil"/>
            </w:tcBorders>
            <w:shd w:val="clear" w:color="auto" w:fill="auto"/>
            <w:noWrap/>
            <w:vAlign w:val="center"/>
            <w:hideMark/>
          </w:tcPr>
          <w:p w14:paraId="7FEC86CC"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2FFC3380"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795084D9"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r>
      <w:tr w:rsidR="00337DD4" w:rsidRPr="00337DD4" w14:paraId="4881BD1F" w14:textId="77777777" w:rsidTr="000C38AB">
        <w:trPr>
          <w:trHeight w:val="309"/>
        </w:trPr>
        <w:tc>
          <w:tcPr>
            <w:tcW w:w="0" w:type="auto"/>
            <w:tcBorders>
              <w:top w:val="nil"/>
              <w:left w:val="nil"/>
              <w:bottom w:val="nil"/>
              <w:right w:val="nil"/>
            </w:tcBorders>
            <w:shd w:val="clear" w:color="auto" w:fill="auto"/>
            <w:noWrap/>
            <w:vAlign w:val="center"/>
            <w:hideMark/>
          </w:tcPr>
          <w:p w14:paraId="664F6AA3"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Parole (n=7945)</w:t>
            </w:r>
          </w:p>
        </w:tc>
        <w:tc>
          <w:tcPr>
            <w:tcW w:w="0" w:type="auto"/>
            <w:tcBorders>
              <w:top w:val="nil"/>
              <w:left w:val="nil"/>
              <w:bottom w:val="nil"/>
              <w:right w:val="nil"/>
            </w:tcBorders>
            <w:shd w:val="clear" w:color="auto" w:fill="auto"/>
            <w:noWrap/>
            <w:vAlign w:val="center"/>
            <w:hideMark/>
          </w:tcPr>
          <w:p w14:paraId="0FBAE3A8"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1.22 (1.02-1.45)</w:t>
            </w:r>
          </w:p>
        </w:tc>
        <w:tc>
          <w:tcPr>
            <w:tcW w:w="0" w:type="auto"/>
            <w:tcBorders>
              <w:top w:val="nil"/>
              <w:left w:val="nil"/>
              <w:bottom w:val="nil"/>
              <w:right w:val="nil"/>
            </w:tcBorders>
            <w:shd w:val="clear" w:color="auto" w:fill="auto"/>
            <w:noWrap/>
            <w:vAlign w:val="center"/>
            <w:hideMark/>
          </w:tcPr>
          <w:p w14:paraId="0FBC61DA"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0.98 (0.79-1.22)</w:t>
            </w:r>
          </w:p>
        </w:tc>
        <w:tc>
          <w:tcPr>
            <w:tcW w:w="0" w:type="auto"/>
            <w:tcBorders>
              <w:top w:val="nil"/>
              <w:left w:val="nil"/>
              <w:bottom w:val="nil"/>
              <w:right w:val="nil"/>
            </w:tcBorders>
            <w:shd w:val="clear" w:color="auto" w:fill="auto"/>
            <w:noWrap/>
            <w:vAlign w:val="center"/>
            <w:hideMark/>
          </w:tcPr>
          <w:p w14:paraId="4902960D"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1.08 (0.95-1.24)</w:t>
            </w:r>
          </w:p>
        </w:tc>
        <w:tc>
          <w:tcPr>
            <w:tcW w:w="0" w:type="auto"/>
            <w:tcBorders>
              <w:top w:val="nil"/>
              <w:left w:val="nil"/>
              <w:bottom w:val="nil"/>
              <w:right w:val="nil"/>
            </w:tcBorders>
            <w:shd w:val="clear" w:color="auto" w:fill="auto"/>
            <w:noWrap/>
            <w:vAlign w:val="center"/>
            <w:hideMark/>
          </w:tcPr>
          <w:p w14:paraId="034350DC"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1.05 (0.96-1.15)</w:t>
            </w:r>
          </w:p>
        </w:tc>
      </w:tr>
      <w:tr w:rsidR="00337DD4" w:rsidRPr="00337DD4" w14:paraId="4E7EBF0A" w14:textId="77777777" w:rsidTr="000C38AB">
        <w:trPr>
          <w:trHeight w:val="309"/>
        </w:trPr>
        <w:tc>
          <w:tcPr>
            <w:tcW w:w="0" w:type="auto"/>
            <w:tcBorders>
              <w:top w:val="nil"/>
              <w:left w:val="nil"/>
              <w:bottom w:val="nil"/>
              <w:right w:val="nil"/>
            </w:tcBorders>
            <w:shd w:val="clear" w:color="auto" w:fill="auto"/>
            <w:noWrap/>
            <w:vAlign w:val="center"/>
            <w:hideMark/>
          </w:tcPr>
          <w:p w14:paraId="344126C1"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Contract treatment (n=5476)</w:t>
            </w:r>
          </w:p>
        </w:tc>
        <w:tc>
          <w:tcPr>
            <w:tcW w:w="0" w:type="auto"/>
            <w:tcBorders>
              <w:top w:val="nil"/>
              <w:left w:val="nil"/>
              <w:bottom w:val="nil"/>
              <w:right w:val="nil"/>
            </w:tcBorders>
            <w:shd w:val="clear" w:color="auto" w:fill="auto"/>
            <w:noWrap/>
            <w:vAlign w:val="center"/>
            <w:hideMark/>
          </w:tcPr>
          <w:p w14:paraId="42789873"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0.79 (0.65-0.96)</w:t>
            </w:r>
          </w:p>
        </w:tc>
        <w:tc>
          <w:tcPr>
            <w:tcW w:w="0" w:type="auto"/>
            <w:tcBorders>
              <w:top w:val="nil"/>
              <w:left w:val="nil"/>
              <w:bottom w:val="nil"/>
              <w:right w:val="nil"/>
            </w:tcBorders>
            <w:shd w:val="clear" w:color="auto" w:fill="auto"/>
            <w:noWrap/>
            <w:vAlign w:val="center"/>
            <w:hideMark/>
          </w:tcPr>
          <w:p w14:paraId="277D418E"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0.77 (0.61-0.98)</w:t>
            </w:r>
          </w:p>
        </w:tc>
        <w:tc>
          <w:tcPr>
            <w:tcW w:w="0" w:type="auto"/>
            <w:tcBorders>
              <w:top w:val="nil"/>
              <w:left w:val="nil"/>
              <w:bottom w:val="nil"/>
              <w:right w:val="nil"/>
            </w:tcBorders>
            <w:shd w:val="clear" w:color="auto" w:fill="auto"/>
            <w:noWrap/>
            <w:vAlign w:val="center"/>
            <w:hideMark/>
          </w:tcPr>
          <w:p w14:paraId="0B48ACE5"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0.79 (0.68-0.91)</w:t>
            </w:r>
          </w:p>
        </w:tc>
        <w:tc>
          <w:tcPr>
            <w:tcW w:w="0" w:type="auto"/>
            <w:tcBorders>
              <w:top w:val="nil"/>
              <w:left w:val="nil"/>
              <w:bottom w:val="nil"/>
              <w:right w:val="nil"/>
            </w:tcBorders>
            <w:shd w:val="clear" w:color="auto" w:fill="auto"/>
            <w:noWrap/>
            <w:vAlign w:val="center"/>
            <w:hideMark/>
          </w:tcPr>
          <w:p w14:paraId="7E1D8B87"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0.50 (0.45-0.56)</w:t>
            </w:r>
          </w:p>
        </w:tc>
      </w:tr>
      <w:tr w:rsidR="00337DD4" w:rsidRPr="00337DD4" w14:paraId="2DA19CB1" w14:textId="77777777" w:rsidTr="000C38AB">
        <w:trPr>
          <w:trHeight w:val="309"/>
        </w:trPr>
        <w:tc>
          <w:tcPr>
            <w:tcW w:w="0" w:type="auto"/>
            <w:gridSpan w:val="3"/>
            <w:tcBorders>
              <w:top w:val="nil"/>
              <w:left w:val="nil"/>
              <w:bottom w:val="nil"/>
              <w:right w:val="nil"/>
            </w:tcBorders>
            <w:shd w:val="clear" w:color="auto" w:fill="auto"/>
            <w:noWrap/>
            <w:vAlign w:val="center"/>
            <w:hideMark/>
          </w:tcPr>
          <w:p w14:paraId="6F73CC5B"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r w:rsidRPr="00337DD4">
              <w:rPr>
                <w:rFonts w:ascii="Arial" w:eastAsia="Times New Roman" w:hAnsi="Arial" w:cs="Arial"/>
                <w:b/>
                <w:bCs/>
                <w:color w:val="000000"/>
                <w:kern w:val="0"/>
                <w:sz w:val="18"/>
                <w:szCs w:val="18"/>
                <w14:ligatures w14:val="none"/>
              </w:rPr>
              <w:t>Adjusted for age, year, substance use, employment, and housing</w:t>
            </w:r>
          </w:p>
        </w:tc>
        <w:tc>
          <w:tcPr>
            <w:tcW w:w="0" w:type="auto"/>
            <w:tcBorders>
              <w:top w:val="nil"/>
              <w:left w:val="nil"/>
              <w:bottom w:val="nil"/>
              <w:right w:val="nil"/>
            </w:tcBorders>
            <w:shd w:val="clear" w:color="auto" w:fill="auto"/>
            <w:noWrap/>
            <w:vAlign w:val="center"/>
            <w:hideMark/>
          </w:tcPr>
          <w:p w14:paraId="4873A436"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p>
        </w:tc>
        <w:tc>
          <w:tcPr>
            <w:tcW w:w="0" w:type="auto"/>
            <w:tcBorders>
              <w:top w:val="nil"/>
              <w:left w:val="nil"/>
              <w:bottom w:val="nil"/>
              <w:right w:val="nil"/>
            </w:tcBorders>
            <w:shd w:val="clear" w:color="auto" w:fill="auto"/>
            <w:noWrap/>
            <w:vAlign w:val="center"/>
            <w:hideMark/>
          </w:tcPr>
          <w:p w14:paraId="176F8DDA"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r>
      <w:tr w:rsidR="00337DD4" w:rsidRPr="00337DD4" w14:paraId="7EA0E263" w14:textId="77777777" w:rsidTr="000C38AB">
        <w:trPr>
          <w:trHeight w:val="309"/>
        </w:trPr>
        <w:tc>
          <w:tcPr>
            <w:tcW w:w="0" w:type="auto"/>
            <w:tcBorders>
              <w:top w:val="nil"/>
              <w:left w:val="nil"/>
              <w:bottom w:val="nil"/>
              <w:right w:val="nil"/>
            </w:tcBorders>
            <w:shd w:val="clear" w:color="auto" w:fill="auto"/>
            <w:noWrap/>
            <w:vAlign w:val="center"/>
            <w:hideMark/>
          </w:tcPr>
          <w:p w14:paraId="2C050A7E"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Reference: probation (n=1876)</w:t>
            </w:r>
          </w:p>
        </w:tc>
        <w:tc>
          <w:tcPr>
            <w:tcW w:w="0" w:type="auto"/>
            <w:tcBorders>
              <w:top w:val="nil"/>
              <w:left w:val="nil"/>
              <w:bottom w:val="nil"/>
              <w:right w:val="nil"/>
            </w:tcBorders>
            <w:shd w:val="clear" w:color="auto" w:fill="auto"/>
            <w:noWrap/>
            <w:vAlign w:val="center"/>
            <w:hideMark/>
          </w:tcPr>
          <w:p w14:paraId="58705598"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p>
        </w:tc>
        <w:tc>
          <w:tcPr>
            <w:tcW w:w="0" w:type="auto"/>
            <w:tcBorders>
              <w:top w:val="nil"/>
              <w:left w:val="nil"/>
              <w:bottom w:val="nil"/>
              <w:right w:val="nil"/>
            </w:tcBorders>
            <w:shd w:val="clear" w:color="auto" w:fill="auto"/>
            <w:noWrap/>
            <w:vAlign w:val="center"/>
            <w:hideMark/>
          </w:tcPr>
          <w:p w14:paraId="68908F8B"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0CDFB3D9"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7D0331F8"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r>
      <w:tr w:rsidR="00337DD4" w:rsidRPr="00337DD4" w14:paraId="4344AB25" w14:textId="77777777" w:rsidTr="000C38AB">
        <w:trPr>
          <w:trHeight w:val="309"/>
        </w:trPr>
        <w:tc>
          <w:tcPr>
            <w:tcW w:w="0" w:type="auto"/>
            <w:tcBorders>
              <w:top w:val="nil"/>
              <w:left w:val="nil"/>
              <w:bottom w:val="nil"/>
              <w:right w:val="nil"/>
            </w:tcBorders>
            <w:shd w:val="clear" w:color="auto" w:fill="auto"/>
            <w:noWrap/>
            <w:vAlign w:val="center"/>
            <w:hideMark/>
          </w:tcPr>
          <w:p w14:paraId="7D19F45C"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Parole (n=5359)</w:t>
            </w:r>
          </w:p>
        </w:tc>
        <w:tc>
          <w:tcPr>
            <w:tcW w:w="0" w:type="auto"/>
            <w:tcBorders>
              <w:top w:val="nil"/>
              <w:left w:val="nil"/>
              <w:bottom w:val="nil"/>
              <w:right w:val="nil"/>
            </w:tcBorders>
            <w:shd w:val="clear" w:color="auto" w:fill="auto"/>
            <w:noWrap/>
            <w:vAlign w:val="center"/>
            <w:hideMark/>
          </w:tcPr>
          <w:p w14:paraId="67C06C20"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1.25 (0.99-1.57)</w:t>
            </w:r>
          </w:p>
        </w:tc>
        <w:tc>
          <w:tcPr>
            <w:tcW w:w="0" w:type="auto"/>
            <w:tcBorders>
              <w:top w:val="nil"/>
              <w:left w:val="nil"/>
              <w:bottom w:val="nil"/>
              <w:right w:val="nil"/>
            </w:tcBorders>
            <w:shd w:val="clear" w:color="auto" w:fill="auto"/>
            <w:noWrap/>
            <w:vAlign w:val="center"/>
            <w:hideMark/>
          </w:tcPr>
          <w:p w14:paraId="5C00E775"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1.04 (0.79-1.36)</w:t>
            </w:r>
          </w:p>
        </w:tc>
        <w:tc>
          <w:tcPr>
            <w:tcW w:w="0" w:type="auto"/>
            <w:tcBorders>
              <w:top w:val="nil"/>
              <w:left w:val="nil"/>
              <w:bottom w:val="nil"/>
              <w:right w:val="nil"/>
            </w:tcBorders>
            <w:shd w:val="clear" w:color="auto" w:fill="auto"/>
            <w:noWrap/>
            <w:vAlign w:val="center"/>
            <w:hideMark/>
          </w:tcPr>
          <w:p w14:paraId="29BC598F"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1.01 (0.85-1.21)</w:t>
            </w:r>
          </w:p>
        </w:tc>
        <w:tc>
          <w:tcPr>
            <w:tcW w:w="0" w:type="auto"/>
            <w:tcBorders>
              <w:top w:val="nil"/>
              <w:left w:val="nil"/>
              <w:bottom w:val="nil"/>
              <w:right w:val="nil"/>
            </w:tcBorders>
            <w:shd w:val="clear" w:color="auto" w:fill="auto"/>
            <w:noWrap/>
            <w:vAlign w:val="center"/>
            <w:hideMark/>
          </w:tcPr>
          <w:p w14:paraId="39C48590"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0.95 (0.85-1.07)</w:t>
            </w:r>
          </w:p>
        </w:tc>
      </w:tr>
      <w:tr w:rsidR="00337DD4" w:rsidRPr="00337DD4" w14:paraId="1D77F9E4" w14:textId="77777777" w:rsidTr="000C38AB">
        <w:trPr>
          <w:trHeight w:val="309"/>
        </w:trPr>
        <w:tc>
          <w:tcPr>
            <w:tcW w:w="0" w:type="auto"/>
            <w:tcBorders>
              <w:top w:val="nil"/>
              <w:left w:val="nil"/>
              <w:bottom w:val="nil"/>
              <w:right w:val="nil"/>
            </w:tcBorders>
            <w:shd w:val="clear" w:color="auto" w:fill="auto"/>
            <w:noWrap/>
            <w:vAlign w:val="center"/>
            <w:hideMark/>
          </w:tcPr>
          <w:p w14:paraId="3C668F5F"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Contract treatment (n=4083)</w:t>
            </w:r>
          </w:p>
        </w:tc>
        <w:tc>
          <w:tcPr>
            <w:tcW w:w="0" w:type="auto"/>
            <w:tcBorders>
              <w:top w:val="nil"/>
              <w:left w:val="nil"/>
              <w:bottom w:val="nil"/>
              <w:right w:val="nil"/>
            </w:tcBorders>
            <w:shd w:val="clear" w:color="auto" w:fill="auto"/>
            <w:noWrap/>
            <w:vAlign w:val="center"/>
            <w:hideMark/>
          </w:tcPr>
          <w:p w14:paraId="4596FCB0"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0.88 (0.68-1.14)</w:t>
            </w:r>
          </w:p>
        </w:tc>
        <w:tc>
          <w:tcPr>
            <w:tcW w:w="0" w:type="auto"/>
            <w:tcBorders>
              <w:top w:val="nil"/>
              <w:left w:val="nil"/>
              <w:bottom w:val="nil"/>
              <w:right w:val="nil"/>
            </w:tcBorders>
            <w:shd w:val="clear" w:color="auto" w:fill="auto"/>
            <w:noWrap/>
            <w:vAlign w:val="center"/>
            <w:hideMark/>
          </w:tcPr>
          <w:p w14:paraId="4C68C939"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0.80 (0.59-1.10)</w:t>
            </w:r>
          </w:p>
        </w:tc>
        <w:tc>
          <w:tcPr>
            <w:tcW w:w="0" w:type="auto"/>
            <w:tcBorders>
              <w:top w:val="nil"/>
              <w:left w:val="nil"/>
              <w:bottom w:val="nil"/>
              <w:right w:val="nil"/>
            </w:tcBorders>
            <w:shd w:val="clear" w:color="auto" w:fill="auto"/>
            <w:noWrap/>
            <w:vAlign w:val="center"/>
            <w:hideMark/>
          </w:tcPr>
          <w:p w14:paraId="6AFC6F03"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0.79 (0.65-0.96)</w:t>
            </w:r>
          </w:p>
        </w:tc>
        <w:tc>
          <w:tcPr>
            <w:tcW w:w="0" w:type="auto"/>
            <w:tcBorders>
              <w:top w:val="nil"/>
              <w:left w:val="nil"/>
              <w:bottom w:val="nil"/>
              <w:right w:val="nil"/>
            </w:tcBorders>
            <w:shd w:val="clear" w:color="auto" w:fill="auto"/>
            <w:noWrap/>
            <w:vAlign w:val="center"/>
            <w:hideMark/>
          </w:tcPr>
          <w:p w14:paraId="713BC816"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0.47 (0.42-0.54)</w:t>
            </w:r>
          </w:p>
        </w:tc>
      </w:tr>
      <w:tr w:rsidR="00337DD4" w:rsidRPr="00337DD4" w14:paraId="267049E1" w14:textId="77777777" w:rsidTr="000C38AB">
        <w:trPr>
          <w:trHeight w:val="309"/>
        </w:trPr>
        <w:tc>
          <w:tcPr>
            <w:tcW w:w="0" w:type="auto"/>
            <w:gridSpan w:val="4"/>
            <w:tcBorders>
              <w:top w:val="nil"/>
              <w:left w:val="nil"/>
              <w:bottom w:val="nil"/>
              <w:right w:val="nil"/>
            </w:tcBorders>
            <w:shd w:val="clear" w:color="auto" w:fill="auto"/>
            <w:noWrap/>
            <w:vAlign w:val="center"/>
            <w:hideMark/>
          </w:tcPr>
          <w:p w14:paraId="1EBA6A16"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r w:rsidRPr="00337DD4">
              <w:rPr>
                <w:rFonts w:ascii="Arial" w:eastAsia="Times New Roman" w:hAnsi="Arial" w:cs="Arial"/>
                <w:b/>
                <w:bCs/>
                <w:color w:val="000000"/>
                <w:kern w:val="0"/>
                <w:sz w:val="18"/>
                <w:szCs w:val="18"/>
                <w14:ligatures w14:val="none"/>
              </w:rPr>
              <w:t>Adjusted for age, year, substance use, employment, housing, and recidivism risk</w:t>
            </w:r>
          </w:p>
        </w:tc>
        <w:tc>
          <w:tcPr>
            <w:tcW w:w="0" w:type="auto"/>
            <w:tcBorders>
              <w:top w:val="nil"/>
              <w:left w:val="nil"/>
              <w:bottom w:val="nil"/>
              <w:right w:val="nil"/>
            </w:tcBorders>
            <w:shd w:val="clear" w:color="auto" w:fill="auto"/>
            <w:noWrap/>
            <w:vAlign w:val="center"/>
            <w:hideMark/>
          </w:tcPr>
          <w:p w14:paraId="708481B1" w14:textId="77777777" w:rsidR="00337DD4" w:rsidRPr="00337DD4" w:rsidRDefault="00337DD4" w:rsidP="00337DD4">
            <w:pPr>
              <w:spacing w:after="0" w:line="240" w:lineRule="auto"/>
              <w:rPr>
                <w:rFonts w:ascii="Arial" w:eastAsia="Times New Roman" w:hAnsi="Arial" w:cs="Arial"/>
                <w:b/>
                <w:bCs/>
                <w:color w:val="000000"/>
                <w:kern w:val="0"/>
                <w:sz w:val="18"/>
                <w:szCs w:val="18"/>
                <w14:ligatures w14:val="none"/>
              </w:rPr>
            </w:pPr>
          </w:p>
        </w:tc>
      </w:tr>
      <w:tr w:rsidR="00337DD4" w:rsidRPr="00337DD4" w14:paraId="04A167B1" w14:textId="77777777" w:rsidTr="000C38AB">
        <w:trPr>
          <w:trHeight w:val="309"/>
        </w:trPr>
        <w:tc>
          <w:tcPr>
            <w:tcW w:w="0" w:type="auto"/>
            <w:tcBorders>
              <w:top w:val="nil"/>
              <w:left w:val="nil"/>
              <w:bottom w:val="nil"/>
              <w:right w:val="nil"/>
            </w:tcBorders>
            <w:shd w:val="clear" w:color="auto" w:fill="auto"/>
            <w:noWrap/>
            <w:vAlign w:val="center"/>
            <w:hideMark/>
          </w:tcPr>
          <w:p w14:paraId="3CCF09D7"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Reference: probation (n=1414)</w:t>
            </w:r>
          </w:p>
        </w:tc>
        <w:tc>
          <w:tcPr>
            <w:tcW w:w="0" w:type="auto"/>
            <w:tcBorders>
              <w:top w:val="nil"/>
              <w:left w:val="nil"/>
              <w:bottom w:val="nil"/>
              <w:right w:val="nil"/>
            </w:tcBorders>
            <w:shd w:val="clear" w:color="auto" w:fill="auto"/>
            <w:noWrap/>
            <w:vAlign w:val="center"/>
            <w:hideMark/>
          </w:tcPr>
          <w:p w14:paraId="6DB9536C"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p>
        </w:tc>
        <w:tc>
          <w:tcPr>
            <w:tcW w:w="0" w:type="auto"/>
            <w:tcBorders>
              <w:top w:val="nil"/>
              <w:left w:val="nil"/>
              <w:bottom w:val="nil"/>
              <w:right w:val="nil"/>
            </w:tcBorders>
            <w:shd w:val="clear" w:color="auto" w:fill="auto"/>
            <w:noWrap/>
            <w:vAlign w:val="center"/>
            <w:hideMark/>
          </w:tcPr>
          <w:p w14:paraId="79C239A9"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2B2B0A19"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shd w:val="clear" w:color="auto" w:fill="auto"/>
            <w:noWrap/>
            <w:vAlign w:val="center"/>
            <w:hideMark/>
          </w:tcPr>
          <w:p w14:paraId="2D2F24BE" w14:textId="77777777" w:rsidR="00337DD4" w:rsidRPr="00337DD4" w:rsidRDefault="00337DD4" w:rsidP="00337DD4">
            <w:pPr>
              <w:spacing w:after="0" w:line="240" w:lineRule="auto"/>
              <w:rPr>
                <w:rFonts w:ascii="Times New Roman" w:eastAsia="Times New Roman" w:hAnsi="Times New Roman" w:cs="Times New Roman"/>
                <w:kern w:val="0"/>
                <w:sz w:val="18"/>
                <w:szCs w:val="18"/>
                <w14:ligatures w14:val="none"/>
              </w:rPr>
            </w:pPr>
          </w:p>
        </w:tc>
      </w:tr>
      <w:tr w:rsidR="00337DD4" w:rsidRPr="00337DD4" w14:paraId="08254F6C" w14:textId="77777777" w:rsidTr="000C38AB">
        <w:trPr>
          <w:trHeight w:val="309"/>
        </w:trPr>
        <w:tc>
          <w:tcPr>
            <w:tcW w:w="0" w:type="auto"/>
            <w:tcBorders>
              <w:top w:val="nil"/>
              <w:left w:val="nil"/>
              <w:bottom w:val="nil"/>
              <w:right w:val="nil"/>
            </w:tcBorders>
            <w:shd w:val="clear" w:color="auto" w:fill="auto"/>
            <w:noWrap/>
            <w:vAlign w:val="center"/>
            <w:hideMark/>
          </w:tcPr>
          <w:p w14:paraId="3F139C89"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Parole (n=4146)</w:t>
            </w:r>
          </w:p>
        </w:tc>
        <w:tc>
          <w:tcPr>
            <w:tcW w:w="0" w:type="auto"/>
            <w:tcBorders>
              <w:top w:val="nil"/>
              <w:left w:val="nil"/>
              <w:bottom w:val="nil"/>
              <w:right w:val="nil"/>
            </w:tcBorders>
            <w:shd w:val="clear" w:color="auto" w:fill="auto"/>
            <w:noWrap/>
            <w:vAlign w:val="center"/>
            <w:hideMark/>
          </w:tcPr>
          <w:p w14:paraId="6E690630"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1.16 (0.87-1.56)</w:t>
            </w:r>
          </w:p>
        </w:tc>
        <w:tc>
          <w:tcPr>
            <w:tcW w:w="0" w:type="auto"/>
            <w:tcBorders>
              <w:top w:val="nil"/>
              <w:left w:val="nil"/>
              <w:bottom w:val="nil"/>
              <w:right w:val="nil"/>
            </w:tcBorders>
            <w:shd w:val="clear" w:color="auto" w:fill="auto"/>
            <w:noWrap/>
            <w:vAlign w:val="center"/>
            <w:hideMark/>
          </w:tcPr>
          <w:p w14:paraId="4E1F5825"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1.15 (0.80-1.66)</w:t>
            </w:r>
          </w:p>
        </w:tc>
        <w:tc>
          <w:tcPr>
            <w:tcW w:w="0" w:type="auto"/>
            <w:tcBorders>
              <w:top w:val="nil"/>
              <w:left w:val="nil"/>
              <w:bottom w:val="nil"/>
              <w:right w:val="nil"/>
            </w:tcBorders>
            <w:shd w:val="clear" w:color="auto" w:fill="auto"/>
            <w:noWrap/>
            <w:vAlign w:val="center"/>
            <w:hideMark/>
          </w:tcPr>
          <w:p w14:paraId="23857542"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1.05 (0.84-1.31)</w:t>
            </w:r>
          </w:p>
        </w:tc>
        <w:tc>
          <w:tcPr>
            <w:tcW w:w="0" w:type="auto"/>
            <w:tcBorders>
              <w:top w:val="nil"/>
              <w:left w:val="nil"/>
              <w:bottom w:val="nil"/>
              <w:right w:val="nil"/>
            </w:tcBorders>
            <w:shd w:val="clear" w:color="auto" w:fill="auto"/>
            <w:noWrap/>
            <w:vAlign w:val="center"/>
            <w:hideMark/>
          </w:tcPr>
          <w:p w14:paraId="51F03B71"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0.87 (0.74-1.00)</w:t>
            </w:r>
          </w:p>
        </w:tc>
      </w:tr>
      <w:tr w:rsidR="00337DD4" w:rsidRPr="00337DD4" w14:paraId="65C66E02" w14:textId="77777777" w:rsidTr="000C38AB">
        <w:trPr>
          <w:trHeight w:val="309"/>
        </w:trPr>
        <w:tc>
          <w:tcPr>
            <w:tcW w:w="0" w:type="auto"/>
            <w:tcBorders>
              <w:top w:val="nil"/>
              <w:left w:val="nil"/>
              <w:bottom w:val="single" w:sz="4" w:space="0" w:color="auto"/>
              <w:right w:val="nil"/>
            </w:tcBorders>
            <w:shd w:val="clear" w:color="auto" w:fill="auto"/>
            <w:noWrap/>
            <w:vAlign w:val="center"/>
            <w:hideMark/>
          </w:tcPr>
          <w:p w14:paraId="1A648EE5" w14:textId="77777777" w:rsidR="00337DD4" w:rsidRPr="00337DD4" w:rsidRDefault="00337DD4" w:rsidP="00337DD4">
            <w:pPr>
              <w:spacing w:after="0" w:line="240" w:lineRule="auto"/>
              <w:ind w:firstLineChars="100" w:firstLine="180"/>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Contract treatment (n=2658)</w:t>
            </w:r>
          </w:p>
        </w:tc>
        <w:tc>
          <w:tcPr>
            <w:tcW w:w="0" w:type="auto"/>
            <w:tcBorders>
              <w:top w:val="nil"/>
              <w:left w:val="nil"/>
              <w:bottom w:val="single" w:sz="4" w:space="0" w:color="auto"/>
              <w:right w:val="nil"/>
            </w:tcBorders>
            <w:shd w:val="clear" w:color="auto" w:fill="auto"/>
            <w:noWrap/>
            <w:vAlign w:val="center"/>
            <w:hideMark/>
          </w:tcPr>
          <w:p w14:paraId="1ECAA48F"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0.75 (0.53-1.05)</w:t>
            </w:r>
          </w:p>
        </w:tc>
        <w:tc>
          <w:tcPr>
            <w:tcW w:w="0" w:type="auto"/>
            <w:tcBorders>
              <w:top w:val="nil"/>
              <w:left w:val="nil"/>
              <w:bottom w:val="single" w:sz="4" w:space="0" w:color="auto"/>
              <w:right w:val="nil"/>
            </w:tcBorders>
            <w:shd w:val="clear" w:color="auto" w:fill="auto"/>
            <w:noWrap/>
            <w:vAlign w:val="center"/>
            <w:hideMark/>
          </w:tcPr>
          <w:p w14:paraId="5F17D2B8"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0.74 (0.46-1.17)</w:t>
            </w:r>
          </w:p>
        </w:tc>
        <w:tc>
          <w:tcPr>
            <w:tcW w:w="0" w:type="auto"/>
            <w:tcBorders>
              <w:top w:val="nil"/>
              <w:left w:val="nil"/>
              <w:bottom w:val="single" w:sz="4" w:space="0" w:color="auto"/>
              <w:right w:val="nil"/>
            </w:tcBorders>
            <w:shd w:val="clear" w:color="auto" w:fill="auto"/>
            <w:noWrap/>
            <w:vAlign w:val="center"/>
            <w:hideMark/>
          </w:tcPr>
          <w:p w14:paraId="2FFBD5B4"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0.76 (0.58-0.99)</w:t>
            </w:r>
          </w:p>
        </w:tc>
        <w:tc>
          <w:tcPr>
            <w:tcW w:w="0" w:type="auto"/>
            <w:tcBorders>
              <w:top w:val="nil"/>
              <w:left w:val="nil"/>
              <w:bottom w:val="single" w:sz="4" w:space="0" w:color="auto"/>
              <w:right w:val="nil"/>
            </w:tcBorders>
            <w:shd w:val="clear" w:color="auto" w:fill="auto"/>
            <w:noWrap/>
            <w:vAlign w:val="center"/>
            <w:hideMark/>
          </w:tcPr>
          <w:p w14:paraId="6B4233B4" w14:textId="77777777" w:rsidR="00337DD4" w:rsidRPr="00337DD4" w:rsidRDefault="00337DD4" w:rsidP="00337DD4">
            <w:pPr>
              <w:spacing w:after="0" w:line="240" w:lineRule="auto"/>
              <w:rPr>
                <w:rFonts w:ascii="Arial" w:eastAsia="Times New Roman" w:hAnsi="Arial" w:cs="Arial"/>
                <w:color w:val="000000"/>
                <w:kern w:val="0"/>
                <w:sz w:val="18"/>
                <w:szCs w:val="18"/>
                <w14:ligatures w14:val="none"/>
              </w:rPr>
            </w:pPr>
            <w:r w:rsidRPr="00337DD4">
              <w:rPr>
                <w:rFonts w:ascii="Arial" w:eastAsia="Times New Roman" w:hAnsi="Arial" w:cs="Arial"/>
                <w:color w:val="000000"/>
                <w:kern w:val="0"/>
                <w:sz w:val="18"/>
                <w:szCs w:val="18"/>
                <w14:ligatures w14:val="none"/>
              </w:rPr>
              <w:t>0.39 (0.33-0.47)</w:t>
            </w:r>
          </w:p>
        </w:tc>
      </w:tr>
    </w:tbl>
    <w:p w14:paraId="43A21EA7" w14:textId="77777777" w:rsidR="00CE5F94" w:rsidRDefault="00CE5F94" w:rsidP="00700E38">
      <w:pPr>
        <w:rPr>
          <w:rFonts w:ascii="Times New Roman" w:hAnsi="Times New Roman" w:cs="Times New Roman"/>
          <w:b/>
          <w:bCs/>
          <w:sz w:val="20"/>
          <w:szCs w:val="20"/>
        </w:rPr>
      </w:pPr>
    </w:p>
    <w:p w14:paraId="08FEEF0E" w14:textId="77777777" w:rsidR="006A5938" w:rsidRDefault="006A5938">
      <w:pPr>
        <w:rPr>
          <w:rFonts w:ascii="Times New Roman" w:hAnsi="Times New Roman" w:cs="Times New Roman"/>
          <w:b/>
          <w:bCs/>
          <w:sz w:val="20"/>
          <w:szCs w:val="20"/>
        </w:rPr>
      </w:pPr>
    </w:p>
    <w:p w14:paraId="28994CF3" w14:textId="77777777" w:rsidR="00AF1E8F" w:rsidRDefault="00AF1E8F">
      <w:pPr>
        <w:rPr>
          <w:rFonts w:ascii="Times New Roman" w:hAnsi="Times New Roman" w:cs="Times New Roman"/>
          <w:b/>
          <w:bCs/>
          <w:sz w:val="20"/>
          <w:szCs w:val="20"/>
        </w:rPr>
        <w:sectPr w:rsidR="00AF1E8F">
          <w:pgSz w:w="12240" w:h="15840"/>
          <w:pgMar w:top="1417" w:right="1417" w:bottom="1417" w:left="1417" w:header="708" w:footer="708" w:gutter="0"/>
          <w:cols w:space="708"/>
          <w:docGrid w:linePitch="360"/>
        </w:sectPr>
      </w:pPr>
    </w:p>
    <w:p w14:paraId="1C29CFA2" w14:textId="14444553" w:rsidR="00AF1E8F" w:rsidRDefault="00AF1E8F" w:rsidP="00AF1E8F">
      <w:pPr>
        <w:rPr>
          <w:rFonts w:ascii="Times New Roman" w:hAnsi="Times New Roman" w:cs="Times New Roman"/>
          <w:sz w:val="20"/>
          <w:szCs w:val="20"/>
        </w:rPr>
      </w:pPr>
      <w:r w:rsidRPr="00AF1E8F">
        <w:rPr>
          <w:rFonts w:ascii="Times New Roman" w:hAnsi="Times New Roman" w:cs="Times New Roman"/>
          <w:b/>
          <w:bCs/>
          <w:sz w:val="20"/>
          <w:szCs w:val="20"/>
        </w:rPr>
        <w:lastRenderedPageBreak/>
        <w:t>Table S</w:t>
      </w:r>
      <w:r w:rsidR="002966DC">
        <w:rPr>
          <w:rFonts w:ascii="Times New Roman" w:hAnsi="Times New Roman" w:cs="Times New Roman"/>
          <w:b/>
          <w:bCs/>
          <w:sz w:val="20"/>
          <w:szCs w:val="20"/>
        </w:rPr>
        <w:t>9</w:t>
      </w:r>
      <w:r w:rsidRPr="00AF1E8F">
        <w:rPr>
          <w:rFonts w:ascii="Times New Roman" w:hAnsi="Times New Roman" w:cs="Times New Roman"/>
          <w:b/>
          <w:bCs/>
          <w:sz w:val="20"/>
          <w:szCs w:val="20"/>
        </w:rPr>
        <w:t xml:space="preserve">. </w:t>
      </w:r>
      <w:r w:rsidRPr="00AF1E8F">
        <w:rPr>
          <w:rFonts w:ascii="Times New Roman" w:hAnsi="Times New Roman" w:cs="Times New Roman"/>
          <w:sz w:val="20"/>
          <w:szCs w:val="20"/>
        </w:rPr>
        <w:t>Within-individual Cox regression models estimating associations of sanction type with substance misuse, mental health, somatic health, and crime (controlling for time-varying indicator for time under supervision)</w:t>
      </w:r>
    </w:p>
    <w:p w14:paraId="4BA1CC31" w14:textId="77777777" w:rsidR="00FC733E" w:rsidRDefault="00FC733E" w:rsidP="00AF1E8F">
      <w:pPr>
        <w:rPr>
          <w:rFonts w:ascii="Times New Roman" w:hAnsi="Times New Roman" w:cs="Times New Roman"/>
          <w:sz w:val="20"/>
          <w:szCs w:val="20"/>
        </w:rPr>
      </w:pPr>
    </w:p>
    <w:tbl>
      <w:tblPr>
        <w:tblW w:w="5658" w:type="pct"/>
        <w:tblLook w:val="04A0" w:firstRow="1" w:lastRow="0" w:firstColumn="1" w:lastColumn="0" w:noHBand="0" w:noVBand="1"/>
      </w:tblPr>
      <w:tblGrid>
        <w:gridCol w:w="3766"/>
        <w:gridCol w:w="2171"/>
        <w:gridCol w:w="1569"/>
        <w:gridCol w:w="1569"/>
        <w:gridCol w:w="1569"/>
      </w:tblGrid>
      <w:tr w:rsidR="00FC733E" w:rsidRPr="00FC733E" w14:paraId="1B19F7D0" w14:textId="77777777" w:rsidTr="00FC733E">
        <w:trPr>
          <w:trHeight w:val="353"/>
        </w:trPr>
        <w:tc>
          <w:tcPr>
            <w:tcW w:w="1769" w:type="pct"/>
            <w:tcBorders>
              <w:top w:val="single" w:sz="4" w:space="0" w:color="auto"/>
              <w:left w:val="nil"/>
              <w:bottom w:val="nil"/>
              <w:right w:val="nil"/>
            </w:tcBorders>
            <w:shd w:val="clear" w:color="auto" w:fill="auto"/>
            <w:noWrap/>
            <w:vAlign w:val="bottom"/>
            <w:hideMark/>
          </w:tcPr>
          <w:p w14:paraId="099F3433"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 </w:t>
            </w:r>
          </w:p>
        </w:tc>
        <w:tc>
          <w:tcPr>
            <w:tcW w:w="1020" w:type="pct"/>
            <w:tcBorders>
              <w:top w:val="single" w:sz="4" w:space="0" w:color="auto"/>
              <w:left w:val="nil"/>
              <w:bottom w:val="single" w:sz="4" w:space="0" w:color="auto"/>
              <w:right w:val="nil"/>
            </w:tcBorders>
            <w:shd w:val="clear" w:color="auto" w:fill="auto"/>
            <w:noWrap/>
            <w:vAlign w:val="bottom"/>
            <w:hideMark/>
          </w:tcPr>
          <w:p w14:paraId="3BA24020"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Outcome, HR (95% CI)</w:t>
            </w:r>
          </w:p>
        </w:tc>
        <w:tc>
          <w:tcPr>
            <w:tcW w:w="737" w:type="pct"/>
            <w:tcBorders>
              <w:top w:val="single" w:sz="4" w:space="0" w:color="auto"/>
              <w:left w:val="nil"/>
              <w:bottom w:val="nil"/>
              <w:right w:val="nil"/>
            </w:tcBorders>
            <w:shd w:val="clear" w:color="auto" w:fill="auto"/>
            <w:noWrap/>
            <w:vAlign w:val="bottom"/>
            <w:hideMark/>
          </w:tcPr>
          <w:p w14:paraId="5A82DCEC"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 </w:t>
            </w:r>
          </w:p>
        </w:tc>
        <w:tc>
          <w:tcPr>
            <w:tcW w:w="737" w:type="pct"/>
            <w:tcBorders>
              <w:top w:val="single" w:sz="4" w:space="0" w:color="auto"/>
              <w:left w:val="nil"/>
              <w:bottom w:val="nil"/>
              <w:right w:val="nil"/>
            </w:tcBorders>
            <w:shd w:val="clear" w:color="auto" w:fill="auto"/>
            <w:noWrap/>
            <w:vAlign w:val="bottom"/>
            <w:hideMark/>
          </w:tcPr>
          <w:p w14:paraId="696226A5"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 </w:t>
            </w:r>
          </w:p>
        </w:tc>
        <w:tc>
          <w:tcPr>
            <w:tcW w:w="737" w:type="pct"/>
            <w:tcBorders>
              <w:top w:val="single" w:sz="4" w:space="0" w:color="auto"/>
              <w:left w:val="nil"/>
              <w:bottom w:val="nil"/>
              <w:right w:val="nil"/>
            </w:tcBorders>
            <w:shd w:val="clear" w:color="auto" w:fill="auto"/>
            <w:noWrap/>
            <w:vAlign w:val="bottom"/>
            <w:hideMark/>
          </w:tcPr>
          <w:p w14:paraId="75716AC5"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 </w:t>
            </w:r>
          </w:p>
        </w:tc>
      </w:tr>
      <w:tr w:rsidR="00FC733E" w:rsidRPr="00FC733E" w14:paraId="258F7F66" w14:textId="77777777" w:rsidTr="00FC733E">
        <w:trPr>
          <w:trHeight w:val="353"/>
        </w:trPr>
        <w:tc>
          <w:tcPr>
            <w:tcW w:w="1769" w:type="pct"/>
            <w:tcBorders>
              <w:top w:val="nil"/>
              <w:left w:val="nil"/>
              <w:bottom w:val="single" w:sz="4" w:space="0" w:color="auto"/>
              <w:right w:val="nil"/>
            </w:tcBorders>
            <w:shd w:val="clear" w:color="auto" w:fill="auto"/>
            <w:noWrap/>
            <w:vAlign w:val="bottom"/>
            <w:hideMark/>
          </w:tcPr>
          <w:p w14:paraId="4E449DEF"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Model</w:t>
            </w:r>
          </w:p>
        </w:tc>
        <w:tc>
          <w:tcPr>
            <w:tcW w:w="1020" w:type="pct"/>
            <w:tcBorders>
              <w:top w:val="nil"/>
              <w:left w:val="nil"/>
              <w:bottom w:val="single" w:sz="4" w:space="0" w:color="auto"/>
              <w:right w:val="nil"/>
            </w:tcBorders>
            <w:shd w:val="clear" w:color="auto" w:fill="auto"/>
            <w:noWrap/>
            <w:vAlign w:val="bottom"/>
            <w:hideMark/>
          </w:tcPr>
          <w:p w14:paraId="396BBC95"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Substance misuse</w:t>
            </w:r>
          </w:p>
        </w:tc>
        <w:tc>
          <w:tcPr>
            <w:tcW w:w="737" w:type="pct"/>
            <w:tcBorders>
              <w:top w:val="nil"/>
              <w:left w:val="nil"/>
              <w:bottom w:val="single" w:sz="4" w:space="0" w:color="auto"/>
              <w:right w:val="nil"/>
            </w:tcBorders>
            <w:shd w:val="clear" w:color="auto" w:fill="auto"/>
            <w:noWrap/>
            <w:vAlign w:val="bottom"/>
            <w:hideMark/>
          </w:tcPr>
          <w:p w14:paraId="752E6309"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Mental health</w:t>
            </w:r>
          </w:p>
        </w:tc>
        <w:tc>
          <w:tcPr>
            <w:tcW w:w="737" w:type="pct"/>
            <w:tcBorders>
              <w:top w:val="nil"/>
              <w:left w:val="nil"/>
              <w:bottom w:val="single" w:sz="4" w:space="0" w:color="auto"/>
              <w:right w:val="nil"/>
            </w:tcBorders>
            <w:shd w:val="clear" w:color="auto" w:fill="auto"/>
            <w:noWrap/>
            <w:vAlign w:val="bottom"/>
            <w:hideMark/>
          </w:tcPr>
          <w:p w14:paraId="0F9A5858"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Somatic health</w:t>
            </w:r>
          </w:p>
        </w:tc>
        <w:tc>
          <w:tcPr>
            <w:tcW w:w="737" w:type="pct"/>
            <w:tcBorders>
              <w:top w:val="nil"/>
              <w:left w:val="nil"/>
              <w:bottom w:val="single" w:sz="4" w:space="0" w:color="auto"/>
              <w:right w:val="nil"/>
            </w:tcBorders>
            <w:shd w:val="clear" w:color="auto" w:fill="auto"/>
            <w:noWrap/>
            <w:vAlign w:val="bottom"/>
            <w:hideMark/>
          </w:tcPr>
          <w:p w14:paraId="2F3BD60D"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Crime</w:t>
            </w:r>
          </w:p>
        </w:tc>
      </w:tr>
      <w:tr w:rsidR="00FC733E" w:rsidRPr="00FC733E" w14:paraId="1128B94C" w14:textId="77777777" w:rsidTr="00FC733E">
        <w:trPr>
          <w:trHeight w:val="353"/>
        </w:trPr>
        <w:tc>
          <w:tcPr>
            <w:tcW w:w="1769" w:type="pct"/>
            <w:tcBorders>
              <w:top w:val="nil"/>
              <w:left w:val="nil"/>
              <w:bottom w:val="nil"/>
              <w:right w:val="nil"/>
            </w:tcBorders>
            <w:shd w:val="clear" w:color="auto" w:fill="auto"/>
            <w:noWrap/>
            <w:vAlign w:val="bottom"/>
            <w:hideMark/>
          </w:tcPr>
          <w:p w14:paraId="0D173B42" w14:textId="77777777" w:rsidR="00FC733E" w:rsidRPr="00FC733E" w:rsidRDefault="00FC733E" w:rsidP="00FC733E">
            <w:pPr>
              <w:spacing w:after="0" w:line="240" w:lineRule="auto"/>
              <w:rPr>
                <w:rFonts w:ascii="Arial" w:eastAsia="Times New Roman" w:hAnsi="Arial" w:cs="Arial"/>
                <w:b/>
                <w:bCs/>
                <w:color w:val="000000"/>
                <w:kern w:val="0"/>
                <w:sz w:val="18"/>
                <w:szCs w:val="18"/>
                <w14:ligatures w14:val="none"/>
              </w:rPr>
            </w:pPr>
            <w:r w:rsidRPr="00FC733E">
              <w:rPr>
                <w:rFonts w:ascii="Arial" w:eastAsia="Times New Roman" w:hAnsi="Arial" w:cs="Arial"/>
                <w:b/>
                <w:bCs/>
                <w:color w:val="000000"/>
                <w:kern w:val="0"/>
                <w:sz w:val="18"/>
                <w:szCs w:val="18"/>
                <w14:ligatures w14:val="none"/>
              </w:rPr>
              <w:t>Adjusted for age, year, and supervision</w:t>
            </w:r>
          </w:p>
        </w:tc>
        <w:tc>
          <w:tcPr>
            <w:tcW w:w="1020" w:type="pct"/>
            <w:tcBorders>
              <w:top w:val="nil"/>
              <w:left w:val="nil"/>
              <w:bottom w:val="nil"/>
              <w:right w:val="nil"/>
            </w:tcBorders>
            <w:shd w:val="clear" w:color="auto" w:fill="auto"/>
            <w:noWrap/>
            <w:vAlign w:val="bottom"/>
            <w:hideMark/>
          </w:tcPr>
          <w:p w14:paraId="4F49063A" w14:textId="77777777" w:rsidR="00FC733E" w:rsidRPr="00FC733E" w:rsidRDefault="00FC733E" w:rsidP="00FC733E">
            <w:pPr>
              <w:spacing w:after="0" w:line="240" w:lineRule="auto"/>
              <w:rPr>
                <w:rFonts w:ascii="Arial" w:eastAsia="Times New Roman" w:hAnsi="Arial" w:cs="Arial"/>
                <w:b/>
                <w:bCs/>
                <w:color w:val="000000"/>
                <w:kern w:val="0"/>
                <w:sz w:val="18"/>
                <w:szCs w:val="18"/>
                <w14:ligatures w14:val="none"/>
              </w:rPr>
            </w:pPr>
          </w:p>
        </w:tc>
        <w:tc>
          <w:tcPr>
            <w:tcW w:w="737" w:type="pct"/>
            <w:tcBorders>
              <w:top w:val="nil"/>
              <w:left w:val="nil"/>
              <w:bottom w:val="nil"/>
              <w:right w:val="nil"/>
            </w:tcBorders>
            <w:shd w:val="clear" w:color="auto" w:fill="auto"/>
            <w:noWrap/>
            <w:vAlign w:val="bottom"/>
            <w:hideMark/>
          </w:tcPr>
          <w:p w14:paraId="3F80C233" w14:textId="77777777" w:rsidR="00FC733E" w:rsidRPr="00FC733E" w:rsidRDefault="00FC733E" w:rsidP="00FC733E">
            <w:pPr>
              <w:spacing w:after="0" w:line="240" w:lineRule="auto"/>
              <w:rPr>
                <w:rFonts w:ascii="Times New Roman" w:eastAsia="Times New Roman" w:hAnsi="Times New Roman" w:cs="Times New Roman"/>
                <w:kern w:val="0"/>
                <w:sz w:val="18"/>
                <w:szCs w:val="18"/>
                <w14:ligatures w14:val="none"/>
              </w:rPr>
            </w:pPr>
          </w:p>
        </w:tc>
        <w:tc>
          <w:tcPr>
            <w:tcW w:w="737" w:type="pct"/>
            <w:tcBorders>
              <w:top w:val="nil"/>
              <w:left w:val="nil"/>
              <w:bottom w:val="nil"/>
              <w:right w:val="nil"/>
            </w:tcBorders>
            <w:shd w:val="clear" w:color="auto" w:fill="auto"/>
            <w:noWrap/>
            <w:vAlign w:val="bottom"/>
            <w:hideMark/>
          </w:tcPr>
          <w:p w14:paraId="49A70448" w14:textId="77777777" w:rsidR="00FC733E" w:rsidRPr="00FC733E" w:rsidRDefault="00FC733E" w:rsidP="00FC733E">
            <w:pPr>
              <w:spacing w:after="0" w:line="240" w:lineRule="auto"/>
              <w:rPr>
                <w:rFonts w:ascii="Times New Roman" w:eastAsia="Times New Roman" w:hAnsi="Times New Roman" w:cs="Times New Roman"/>
                <w:kern w:val="0"/>
                <w:sz w:val="18"/>
                <w:szCs w:val="18"/>
                <w14:ligatures w14:val="none"/>
              </w:rPr>
            </w:pPr>
          </w:p>
        </w:tc>
        <w:tc>
          <w:tcPr>
            <w:tcW w:w="737" w:type="pct"/>
            <w:tcBorders>
              <w:top w:val="nil"/>
              <w:left w:val="nil"/>
              <w:bottom w:val="nil"/>
              <w:right w:val="nil"/>
            </w:tcBorders>
            <w:shd w:val="clear" w:color="auto" w:fill="auto"/>
            <w:noWrap/>
            <w:vAlign w:val="bottom"/>
            <w:hideMark/>
          </w:tcPr>
          <w:p w14:paraId="275C0B42" w14:textId="77777777" w:rsidR="00FC733E" w:rsidRPr="00FC733E" w:rsidRDefault="00FC733E" w:rsidP="00FC733E">
            <w:pPr>
              <w:spacing w:after="0" w:line="240" w:lineRule="auto"/>
              <w:rPr>
                <w:rFonts w:ascii="Times New Roman" w:eastAsia="Times New Roman" w:hAnsi="Times New Roman" w:cs="Times New Roman"/>
                <w:kern w:val="0"/>
                <w:sz w:val="18"/>
                <w:szCs w:val="18"/>
                <w14:ligatures w14:val="none"/>
              </w:rPr>
            </w:pPr>
          </w:p>
        </w:tc>
      </w:tr>
      <w:tr w:rsidR="00FC733E" w:rsidRPr="00FC733E" w14:paraId="7DFD0165" w14:textId="77777777" w:rsidTr="00FC733E">
        <w:trPr>
          <w:trHeight w:val="353"/>
        </w:trPr>
        <w:tc>
          <w:tcPr>
            <w:tcW w:w="1769" w:type="pct"/>
            <w:tcBorders>
              <w:top w:val="nil"/>
              <w:left w:val="nil"/>
              <w:bottom w:val="nil"/>
              <w:right w:val="nil"/>
            </w:tcBorders>
            <w:shd w:val="clear" w:color="auto" w:fill="auto"/>
            <w:noWrap/>
            <w:vAlign w:val="bottom"/>
            <w:hideMark/>
          </w:tcPr>
          <w:p w14:paraId="625955AD"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Reference: parole (n=5523)</w:t>
            </w:r>
          </w:p>
        </w:tc>
        <w:tc>
          <w:tcPr>
            <w:tcW w:w="1020" w:type="pct"/>
            <w:tcBorders>
              <w:top w:val="nil"/>
              <w:left w:val="nil"/>
              <w:bottom w:val="nil"/>
              <w:right w:val="nil"/>
            </w:tcBorders>
            <w:shd w:val="clear" w:color="auto" w:fill="auto"/>
            <w:noWrap/>
            <w:vAlign w:val="bottom"/>
            <w:hideMark/>
          </w:tcPr>
          <w:p w14:paraId="1838A91D"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p>
        </w:tc>
        <w:tc>
          <w:tcPr>
            <w:tcW w:w="737" w:type="pct"/>
            <w:tcBorders>
              <w:top w:val="nil"/>
              <w:left w:val="nil"/>
              <w:bottom w:val="nil"/>
              <w:right w:val="nil"/>
            </w:tcBorders>
            <w:shd w:val="clear" w:color="auto" w:fill="auto"/>
            <w:noWrap/>
            <w:vAlign w:val="bottom"/>
            <w:hideMark/>
          </w:tcPr>
          <w:p w14:paraId="50BC7A27" w14:textId="77777777" w:rsidR="00FC733E" w:rsidRPr="00FC733E" w:rsidRDefault="00FC733E" w:rsidP="00FC733E">
            <w:pPr>
              <w:spacing w:after="0" w:line="240" w:lineRule="auto"/>
              <w:rPr>
                <w:rFonts w:ascii="Times New Roman" w:eastAsia="Times New Roman" w:hAnsi="Times New Roman" w:cs="Times New Roman"/>
                <w:kern w:val="0"/>
                <w:sz w:val="18"/>
                <w:szCs w:val="18"/>
                <w14:ligatures w14:val="none"/>
              </w:rPr>
            </w:pPr>
          </w:p>
        </w:tc>
        <w:tc>
          <w:tcPr>
            <w:tcW w:w="737" w:type="pct"/>
            <w:tcBorders>
              <w:top w:val="nil"/>
              <w:left w:val="nil"/>
              <w:bottom w:val="nil"/>
              <w:right w:val="nil"/>
            </w:tcBorders>
            <w:shd w:val="clear" w:color="auto" w:fill="auto"/>
            <w:noWrap/>
            <w:vAlign w:val="bottom"/>
            <w:hideMark/>
          </w:tcPr>
          <w:p w14:paraId="69A701FB" w14:textId="77777777" w:rsidR="00FC733E" w:rsidRPr="00FC733E" w:rsidRDefault="00FC733E" w:rsidP="00FC733E">
            <w:pPr>
              <w:spacing w:after="0" w:line="240" w:lineRule="auto"/>
              <w:rPr>
                <w:rFonts w:ascii="Times New Roman" w:eastAsia="Times New Roman" w:hAnsi="Times New Roman" w:cs="Times New Roman"/>
                <w:kern w:val="0"/>
                <w:sz w:val="18"/>
                <w:szCs w:val="18"/>
                <w14:ligatures w14:val="none"/>
              </w:rPr>
            </w:pPr>
          </w:p>
        </w:tc>
        <w:tc>
          <w:tcPr>
            <w:tcW w:w="737" w:type="pct"/>
            <w:tcBorders>
              <w:top w:val="nil"/>
              <w:left w:val="nil"/>
              <w:bottom w:val="nil"/>
              <w:right w:val="nil"/>
            </w:tcBorders>
            <w:shd w:val="clear" w:color="auto" w:fill="auto"/>
            <w:noWrap/>
            <w:vAlign w:val="bottom"/>
            <w:hideMark/>
          </w:tcPr>
          <w:p w14:paraId="4703F5E4" w14:textId="77777777" w:rsidR="00FC733E" w:rsidRPr="00FC733E" w:rsidRDefault="00FC733E" w:rsidP="00FC733E">
            <w:pPr>
              <w:spacing w:after="0" w:line="240" w:lineRule="auto"/>
              <w:rPr>
                <w:rFonts w:ascii="Times New Roman" w:eastAsia="Times New Roman" w:hAnsi="Times New Roman" w:cs="Times New Roman"/>
                <w:kern w:val="0"/>
                <w:sz w:val="18"/>
                <w:szCs w:val="18"/>
                <w14:ligatures w14:val="none"/>
              </w:rPr>
            </w:pPr>
          </w:p>
        </w:tc>
      </w:tr>
      <w:tr w:rsidR="00FC733E" w:rsidRPr="00FC733E" w14:paraId="6648E4B6" w14:textId="77777777" w:rsidTr="00FC733E">
        <w:trPr>
          <w:trHeight w:val="353"/>
        </w:trPr>
        <w:tc>
          <w:tcPr>
            <w:tcW w:w="1769" w:type="pct"/>
            <w:tcBorders>
              <w:top w:val="nil"/>
              <w:left w:val="nil"/>
              <w:bottom w:val="nil"/>
              <w:right w:val="nil"/>
            </w:tcBorders>
            <w:shd w:val="clear" w:color="auto" w:fill="auto"/>
            <w:noWrap/>
            <w:vAlign w:val="bottom"/>
            <w:hideMark/>
          </w:tcPr>
          <w:p w14:paraId="6E2B6A29" w14:textId="77777777" w:rsidR="00FC733E" w:rsidRPr="00FC733E" w:rsidRDefault="00FC733E" w:rsidP="00FC733E">
            <w:pPr>
              <w:spacing w:after="0" w:line="240" w:lineRule="auto"/>
              <w:ind w:firstLineChars="100" w:firstLine="180"/>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Probation (n=2884)</w:t>
            </w:r>
          </w:p>
        </w:tc>
        <w:tc>
          <w:tcPr>
            <w:tcW w:w="1020" w:type="pct"/>
            <w:tcBorders>
              <w:top w:val="nil"/>
              <w:left w:val="nil"/>
              <w:bottom w:val="nil"/>
              <w:right w:val="nil"/>
            </w:tcBorders>
            <w:shd w:val="clear" w:color="auto" w:fill="auto"/>
            <w:noWrap/>
            <w:vAlign w:val="bottom"/>
            <w:hideMark/>
          </w:tcPr>
          <w:p w14:paraId="1294AB72"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0.83 (0.71-0.98)</w:t>
            </w:r>
          </w:p>
        </w:tc>
        <w:tc>
          <w:tcPr>
            <w:tcW w:w="737" w:type="pct"/>
            <w:tcBorders>
              <w:top w:val="nil"/>
              <w:left w:val="nil"/>
              <w:bottom w:val="nil"/>
              <w:right w:val="nil"/>
            </w:tcBorders>
            <w:shd w:val="clear" w:color="auto" w:fill="auto"/>
            <w:noWrap/>
            <w:vAlign w:val="bottom"/>
            <w:hideMark/>
          </w:tcPr>
          <w:p w14:paraId="6C81F453"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1.00 (0.83-1.20)</w:t>
            </w:r>
          </w:p>
        </w:tc>
        <w:tc>
          <w:tcPr>
            <w:tcW w:w="737" w:type="pct"/>
            <w:tcBorders>
              <w:top w:val="nil"/>
              <w:left w:val="nil"/>
              <w:bottom w:val="nil"/>
              <w:right w:val="nil"/>
            </w:tcBorders>
            <w:shd w:val="clear" w:color="auto" w:fill="auto"/>
            <w:noWrap/>
            <w:vAlign w:val="bottom"/>
            <w:hideMark/>
          </w:tcPr>
          <w:p w14:paraId="50871208"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0.96 (0.86-1.08)</w:t>
            </w:r>
          </w:p>
        </w:tc>
        <w:tc>
          <w:tcPr>
            <w:tcW w:w="737" w:type="pct"/>
            <w:tcBorders>
              <w:top w:val="nil"/>
              <w:left w:val="nil"/>
              <w:bottom w:val="nil"/>
              <w:right w:val="nil"/>
            </w:tcBorders>
            <w:shd w:val="clear" w:color="auto" w:fill="auto"/>
            <w:noWrap/>
            <w:vAlign w:val="bottom"/>
            <w:hideMark/>
          </w:tcPr>
          <w:p w14:paraId="68CB9CBD"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0.90 (0.82-0.98)</w:t>
            </w:r>
          </w:p>
        </w:tc>
      </w:tr>
      <w:tr w:rsidR="00FC733E" w:rsidRPr="00FC733E" w14:paraId="318E8600" w14:textId="77777777" w:rsidTr="00FC733E">
        <w:trPr>
          <w:trHeight w:val="353"/>
        </w:trPr>
        <w:tc>
          <w:tcPr>
            <w:tcW w:w="1769" w:type="pct"/>
            <w:tcBorders>
              <w:top w:val="nil"/>
              <w:left w:val="nil"/>
              <w:bottom w:val="single" w:sz="4" w:space="0" w:color="auto"/>
              <w:right w:val="nil"/>
            </w:tcBorders>
            <w:shd w:val="clear" w:color="auto" w:fill="auto"/>
            <w:noWrap/>
            <w:vAlign w:val="bottom"/>
            <w:hideMark/>
          </w:tcPr>
          <w:p w14:paraId="157B0318" w14:textId="77777777" w:rsidR="00FC733E" w:rsidRPr="00FC733E" w:rsidRDefault="00FC733E" w:rsidP="00FC733E">
            <w:pPr>
              <w:spacing w:after="0" w:line="240" w:lineRule="auto"/>
              <w:ind w:firstLineChars="100" w:firstLine="180"/>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Contract treatment (n=8748)</w:t>
            </w:r>
          </w:p>
        </w:tc>
        <w:tc>
          <w:tcPr>
            <w:tcW w:w="1020" w:type="pct"/>
            <w:tcBorders>
              <w:top w:val="nil"/>
              <w:left w:val="nil"/>
              <w:bottom w:val="single" w:sz="4" w:space="0" w:color="auto"/>
              <w:right w:val="nil"/>
            </w:tcBorders>
            <w:shd w:val="clear" w:color="auto" w:fill="auto"/>
            <w:noWrap/>
            <w:vAlign w:val="bottom"/>
            <w:hideMark/>
          </w:tcPr>
          <w:p w14:paraId="2B32758E"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0.74 (0.64-0.86)</w:t>
            </w:r>
          </w:p>
        </w:tc>
        <w:tc>
          <w:tcPr>
            <w:tcW w:w="737" w:type="pct"/>
            <w:tcBorders>
              <w:top w:val="nil"/>
              <w:left w:val="nil"/>
              <w:bottom w:val="single" w:sz="4" w:space="0" w:color="auto"/>
              <w:right w:val="nil"/>
            </w:tcBorders>
            <w:shd w:val="clear" w:color="auto" w:fill="auto"/>
            <w:noWrap/>
            <w:vAlign w:val="bottom"/>
            <w:hideMark/>
          </w:tcPr>
          <w:p w14:paraId="49D48727"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0.88 (0.74-1.04)</w:t>
            </w:r>
          </w:p>
        </w:tc>
        <w:tc>
          <w:tcPr>
            <w:tcW w:w="737" w:type="pct"/>
            <w:tcBorders>
              <w:top w:val="nil"/>
              <w:left w:val="nil"/>
              <w:bottom w:val="single" w:sz="4" w:space="0" w:color="auto"/>
              <w:right w:val="nil"/>
            </w:tcBorders>
            <w:shd w:val="clear" w:color="auto" w:fill="auto"/>
            <w:noWrap/>
            <w:vAlign w:val="bottom"/>
            <w:hideMark/>
          </w:tcPr>
          <w:p w14:paraId="7951B057"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0.82 (0.74-0.90)</w:t>
            </w:r>
          </w:p>
        </w:tc>
        <w:tc>
          <w:tcPr>
            <w:tcW w:w="737" w:type="pct"/>
            <w:tcBorders>
              <w:top w:val="nil"/>
              <w:left w:val="nil"/>
              <w:bottom w:val="single" w:sz="4" w:space="0" w:color="auto"/>
              <w:right w:val="nil"/>
            </w:tcBorders>
            <w:shd w:val="clear" w:color="auto" w:fill="auto"/>
            <w:noWrap/>
            <w:vAlign w:val="bottom"/>
            <w:hideMark/>
          </w:tcPr>
          <w:p w14:paraId="4DE6FD41" w14:textId="77777777" w:rsidR="00FC733E" w:rsidRPr="00FC733E" w:rsidRDefault="00FC733E" w:rsidP="00FC733E">
            <w:pPr>
              <w:spacing w:after="0" w:line="240" w:lineRule="auto"/>
              <w:rPr>
                <w:rFonts w:ascii="Arial" w:eastAsia="Times New Roman" w:hAnsi="Arial" w:cs="Arial"/>
                <w:color w:val="000000"/>
                <w:kern w:val="0"/>
                <w:sz w:val="18"/>
                <w:szCs w:val="18"/>
                <w14:ligatures w14:val="none"/>
              </w:rPr>
            </w:pPr>
            <w:r w:rsidRPr="00FC733E">
              <w:rPr>
                <w:rFonts w:ascii="Arial" w:eastAsia="Times New Roman" w:hAnsi="Arial" w:cs="Arial"/>
                <w:color w:val="000000"/>
                <w:kern w:val="0"/>
                <w:sz w:val="18"/>
                <w:szCs w:val="18"/>
                <w14:ligatures w14:val="none"/>
              </w:rPr>
              <w:t>0.60 (0.56-0.65)</w:t>
            </w:r>
          </w:p>
        </w:tc>
      </w:tr>
    </w:tbl>
    <w:p w14:paraId="653B1F93" w14:textId="77777777" w:rsidR="00AF1E8F" w:rsidRDefault="00AF1E8F" w:rsidP="00AF1E8F">
      <w:pPr>
        <w:rPr>
          <w:rFonts w:ascii="Times New Roman" w:hAnsi="Times New Roman" w:cs="Times New Roman"/>
          <w:b/>
          <w:bCs/>
          <w:sz w:val="20"/>
          <w:szCs w:val="20"/>
        </w:rPr>
      </w:pPr>
    </w:p>
    <w:p w14:paraId="7C56B4B5" w14:textId="77777777" w:rsidR="00423070" w:rsidRDefault="00423070">
      <w:pPr>
        <w:rPr>
          <w:rFonts w:ascii="Times New Roman" w:hAnsi="Times New Roman" w:cs="Times New Roman"/>
          <w:b/>
          <w:bCs/>
          <w:sz w:val="20"/>
          <w:szCs w:val="20"/>
        </w:rPr>
        <w:sectPr w:rsidR="00423070">
          <w:pgSz w:w="12240" w:h="15840"/>
          <w:pgMar w:top="1417" w:right="1417" w:bottom="1417" w:left="1417" w:header="708" w:footer="708" w:gutter="0"/>
          <w:cols w:space="708"/>
          <w:docGrid w:linePitch="360"/>
        </w:sectPr>
      </w:pPr>
    </w:p>
    <w:p w14:paraId="255F7B44" w14:textId="44FCF672" w:rsidR="00423070" w:rsidRDefault="00423070" w:rsidP="00423070">
      <w:pPr>
        <w:rPr>
          <w:rFonts w:ascii="Times New Roman" w:hAnsi="Times New Roman" w:cs="Times New Roman"/>
          <w:sz w:val="20"/>
          <w:szCs w:val="20"/>
        </w:rPr>
      </w:pPr>
      <w:r w:rsidRPr="00434E97">
        <w:rPr>
          <w:rFonts w:ascii="Times New Roman" w:hAnsi="Times New Roman" w:cs="Times New Roman"/>
          <w:b/>
          <w:bCs/>
          <w:sz w:val="20"/>
          <w:szCs w:val="20"/>
        </w:rPr>
        <w:lastRenderedPageBreak/>
        <w:t>Table S</w:t>
      </w:r>
      <w:r w:rsidR="002966DC">
        <w:rPr>
          <w:rFonts w:ascii="Times New Roman" w:hAnsi="Times New Roman" w:cs="Times New Roman"/>
          <w:b/>
          <w:bCs/>
          <w:sz w:val="20"/>
          <w:szCs w:val="20"/>
        </w:rPr>
        <w:t>10</w:t>
      </w:r>
      <w:r w:rsidRPr="00434E97">
        <w:rPr>
          <w:rFonts w:ascii="Times New Roman" w:hAnsi="Times New Roman" w:cs="Times New Roman"/>
          <w:b/>
          <w:bCs/>
          <w:sz w:val="20"/>
          <w:szCs w:val="20"/>
        </w:rPr>
        <w:t xml:space="preserve">. </w:t>
      </w:r>
      <w:r w:rsidRPr="00423070">
        <w:rPr>
          <w:rFonts w:ascii="Times New Roman" w:hAnsi="Times New Roman" w:cs="Times New Roman"/>
          <w:sz w:val="20"/>
          <w:szCs w:val="20"/>
        </w:rPr>
        <w:t>Within-individual Cox regression models estimating associations of sanction type with substance misuse, mental health, somatic health, and crime (start of follow-up at entry to prison for prison sanctions)</w:t>
      </w:r>
    </w:p>
    <w:p w14:paraId="718977AE" w14:textId="77777777" w:rsidR="00455938" w:rsidRDefault="00455938" w:rsidP="00423070">
      <w:pPr>
        <w:rPr>
          <w:rFonts w:ascii="Times New Roman" w:hAnsi="Times New Roman" w:cs="Times New Roman"/>
          <w:sz w:val="20"/>
          <w:szCs w:val="20"/>
        </w:rPr>
      </w:pPr>
    </w:p>
    <w:tbl>
      <w:tblPr>
        <w:tblW w:w="9986" w:type="dxa"/>
        <w:tblLook w:val="04A0" w:firstRow="1" w:lastRow="0" w:firstColumn="1" w:lastColumn="0" w:noHBand="0" w:noVBand="1"/>
      </w:tblPr>
      <w:tblGrid>
        <w:gridCol w:w="3246"/>
        <w:gridCol w:w="1650"/>
        <w:gridCol w:w="1597"/>
        <w:gridCol w:w="1685"/>
        <w:gridCol w:w="1808"/>
      </w:tblGrid>
      <w:tr w:rsidR="00455938" w:rsidRPr="00455938" w14:paraId="7146675C" w14:textId="77777777" w:rsidTr="000C38AB">
        <w:trPr>
          <w:trHeight w:val="304"/>
        </w:trPr>
        <w:tc>
          <w:tcPr>
            <w:tcW w:w="3246" w:type="dxa"/>
            <w:tcBorders>
              <w:top w:val="single" w:sz="4" w:space="0" w:color="auto"/>
              <w:left w:val="nil"/>
              <w:bottom w:val="nil"/>
              <w:right w:val="nil"/>
            </w:tcBorders>
            <w:shd w:val="clear" w:color="auto" w:fill="auto"/>
            <w:noWrap/>
            <w:vAlign w:val="center"/>
            <w:hideMark/>
          </w:tcPr>
          <w:p w14:paraId="11F5436D"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 </w:t>
            </w:r>
          </w:p>
        </w:tc>
        <w:tc>
          <w:tcPr>
            <w:tcW w:w="1650" w:type="dxa"/>
            <w:tcBorders>
              <w:top w:val="single" w:sz="4" w:space="0" w:color="auto"/>
              <w:left w:val="nil"/>
              <w:bottom w:val="single" w:sz="4" w:space="0" w:color="auto"/>
              <w:right w:val="nil"/>
            </w:tcBorders>
            <w:shd w:val="clear" w:color="auto" w:fill="auto"/>
            <w:noWrap/>
            <w:vAlign w:val="center"/>
            <w:hideMark/>
          </w:tcPr>
          <w:p w14:paraId="092860FA"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 xml:space="preserve">Outcome, </w:t>
            </w:r>
          </w:p>
          <w:p w14:paraId="6D1D0905"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HR (95% CI)</w:t>
            </w:r>
          </w:p>
        </w:tc>
        <w:tc>
          <w:tcPr>
            <w:tcW w:w="1596" w:type="dxa"/>
            <w:tcBorders>
              <w:top w:val="single" w:sz="4" w:space="0" w:color="auto"/>
              <w:left w:val="nil"/>
              <w:bottom w:val="nil"/>
              <w:right w:val="nil"/>
            </w:tcBorders>
            <w:shd w:val="clear" w:color="auto" w:fill="auto"/>
            <w:noWrap/>
            <w:vAlign w:val="center"/>
            <w:hideMark/>
          </w:tcPr>
          <w:p w14:paraId="0DEFF97C"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 </w:t>
            </w:r>
          </w:p>
        </w:tc>
        <w:tc>
          <w:tcPr>
            <w:tcW w:w="1685" w:type="dxa"/>
            <w:tcBorders>
              <w:top w:val="single" w:sz="4" w:space="0" w:color="auto"/>
              <w:left w:val="nil"/>
              <w:bottom w:val="nil"/>
              <w:right w:val="nil"/>
            </w:tcBorders>
            <w:shd w:val="clear" w:color="auto" w:fill="auto"/>
            <w:noWrap/>
            <w:vAlign w:val="center"/>
            <w:hideMark/>
          </w:tcPr>
          <w:p w14:paraId="4A42B67B"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 </w:t>
            </w:r>
          </w:p>
        </w:tc>
        <w:tc>
          <w:tcPr>
            <w:tcW w:w="1808" w:type="dxa"/>
            <w:tcBorders>
              <w:top w:val="single" w:sz="4" w:space="0" w:color="auto"/>
              <w:left w:val="nil"/>
              <w:bottom w:val="nil"/>
              <w:right w:val="nil"/>
            </w:tcBorders>
            <w:shd w:val="clear" w:color="auto" w:fill="auto"/>
            <w:noWrap/>
            <w:vAlign w:val="center"/>
            <w:hideMark/>
          </w:tcPr>
          <w:p w14:paraId="7C5F5B81"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 </w:t>
            </w:r>
          </w:p>
        </w:tc>
      </w:tr>
      <w:tr w:rsidR="00455938" w:rsidRPr="00455938" w14:paraId="6C6DBEFA" w14:textId="77777777" w:rsidTr="000C38AB">
        <w:trPr>
          <w:trHeight w:val="304"/>
        </w:trPr>
        <w:tc>
          <w:tcPr>
            <w:tcW w:w="3246" w:type="dxa"/>
            <w:tcBorders>
              <w:top w:val="nil"/>
              <w:left w:val="nil"/>
              <w:bottom w:val="single" w:sz="4" w:space="0" w:color="auto"/>
              <w:right w:val="nil"/>
            </w:tcBorders>
            <w:shd w:val="clear" w:color="auto" w:fill="auto"/>
            <w:noWrap/>
            <w:vAlign w:val="center"/>
            <w:hideMark/>
          </w:tcPr>
          <w:p w14:paraId="34F82C3C"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Model</w:t>
            </w:r>
          </w:p>
        </w:tc>
        <w:tc>
          <w:tcPr>
            <w:tcW w:w="1650" w:type="dxa"/>
            <w:tcBorders>
              <w:top w:val="nil"/>
              <w:left w:val="nil"/>
              <w:bottom w:val="single" w:sz="4" w:space="0" w:color="auto"/>
              <w:right w:val="nil"/>
            </w:tcBorders>
            <w:shd w:val="clear" w:color="auto" w:fill="auto"/>
            <w:noWrap/>
            <w:vAlign w:val="center"/>
            <w:hideMark/>
          </w:tcPr>
          <w:p w14:paraId="2FC5BE5C"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Substance misuse</w:t>
            </w:r>
          </w:p>
        </w:tc>
        <w:tc>
          <w:tcPr>
            <w:tcW w:w="1596" w:type="dxa"/>
            <w:tcBorders>
              <w:top w:val="nil"/>
              <w:left w:val="nil"/>
              <w:bottom w:val="single" w:sz="4" w:space="0" w:color="auto"/>
              <w:right w:val="nil"/>
            </w:tcBorders>
            <w:shd w:val="clear" w:color="auto" w:fill="auto"/>
            <w:noWrap/>
            <w:vAlign w:val="center"/>
            <w:hideMark/>
          </w:tcPr>
          <w:p w14:paraId="50248A9D"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Mental health</w:t>
            </w:r>
          </w:p>
        </w:tc>
        <w:tc>
          <w:tcPr>
            <w:tcW w:w="1685" w:type="dxa"/>
            <w:tcBorders>
              <w:top w:val="nil"/>
              <w:left w:val="nil"/>
              <w:bottom w:val="single" w:sz="4" w:space="0" w:color="auto"/>
              <w:right w:val="nil"/>
            </w:tcBorders>
            <w:shd w:val="clear" w:color="auto" w:fill="auto"/>
            <w:noWrap/>
            <w:vAlign w:val="center"/>
            <w:hideMark/>
          </w:tcPr>
          <w:p w14:paraId="24E695E8"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Somatic health</w:t>
            </w:r>
          </w:p>
        </w:tc>
        <w:tc>
          <w:tcPr>
            <w:tcW w:w="1808" w:type="dxa"/>
            <w:tcBorders>
              <w:top w:val="nil"/>
              <w:left w:val="nil"/>
              <w:bottom w:val="single" w:sz="4" w:space="0" w:color="auto"/>
              <w:right w:val="nil"/>
            </w:tcBorders>
            <w:shd w:val="clear" w:color="auto" w:fill="auto"/>
            <w:noWrap/>
            <w:vAlign w:val="center"/>
            <w:hideMark/>
          </w:tcPr>
          <w:p w14:paraId="3D11BC33"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Crime</w:t>
            </w:r>
          </w:p>
        </w:tc>
      </w:tr>
      <w:tr w:rsidR="00455938" w:rsidRPr="00455938" w14:paraId="7AC0A28E" w14:textId="77777777" w:rsidTr="000C38AB">
        <w:trPr>
          <w:trHeight w:val="304"/>
        </w:trPr>
        <w:tc>
          <w:tcPr>
            <w:tcW w:w="3246" w:type="dxa"/>
            <w:tcBorders>
              <w:top w:val="nil"/>
              <w:left w:val="nil"/>
              <w:bottom w:val="nil"/>
              <w:right w:val="nil"/>
            </w:tcBorders>
            <w:shd w:val="clear" w:color="auto" w:fill="auto"/>
            <w:noWrap/>
            <w:vAlign w:val="center"/>
            <w:hideMark/>
          </w:tcPr>
          <w:p w14:paraId="49445D7A"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r w:rsidRPr="00455938">
              <w:rPr>
                <w:rFonts w:ascii="Arial" w:eastAsia="Times New Roman" w:hAnsi="Arial" w:cs="Arial"/>
                <w:b/>
                <w:bCs/>
                <w:color w:val="000000"/>
                <w:kern w:val="0"/>
                <w:sz w:val="18"/>
                <w:szCs w:val="18"/>
                <w14:ligatures w14:val="none"/>
              </w:rPr>
              <w:t>Adjusted for age and year</w:t>
            </w:r>
          </w:p>
        </w:tc>
        <w:tc>
          <w:tcPr>
            <w:tcW w:w="1650" w:type="dxa"/>
            <w:tcBorders>
              <w:top w:val="nil"/>
              <w:left w:val="nil"/>
              <w:bottom w:val="nil"/>
              <w:right w:val="nil"/>
            </w:tcBorders>
            <w:shd w:val="clear" w:color="auto" w:fill="auto"/>
            <w:noWrap/>
            <w:vAlign w:val="center"/>
            <w:hideMark/>
          </w:tcPr>
          <w:p w14:paraId="5EC2F772"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p>
        </w:tc>
        <w:tc>
          <w:tcPr>
            <w:tcW w:w="1596" w:type="dxa"/>
            <w:tcBorders>
              <w:top w:val="nil"/>
              <w:left w:val="nil"/>
              <w:bottom w:val="nil"/>
              <w:right w:val="nil"/>
            </w:tcBorders>
            <w:shd w:val="clear" w:color="auto" w:fill="auto"/>
            <w:noWrap/>
            <w:vAlign w:val="center"/>
            <w:hideMark/>
          </w:tcPr>
          <w:p w14:paraId="789BC05B"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685" w:type="dxa"/>
            <w:tcBorders>
              <w:top w:val="nil"/>
              <w:left w:val="nil"/>
              <w:bottom w:val="nil"/>
              <w:right w:val="nil"/>
            </w:tcBorders>
            <w:shd w:val="clear" w:color="auto" w:fill="auto"/>
            <w:noWrap/>
            <w:vAlign w:val="center"/>
            <w:hideMark/>
          </w:tcPr>
          <w:p w14:paraId="0A2F4B23"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808" w:type="dxa"/>
            <w:tcBorders>
              <w:top w:val="nil"/>
              <w:left w:val="nil"/>
              <w:bottom w:val="nil"/>
              <w:right w:val="nil"/>
            </w:tcBorders>
            <w:shd w:val="clear" w:color="auto" w:fill="auto"/>
            <w:noWrap/>
            <w:vAlign w:val="center"/>
            <w:hideMark/>
          </w:tcPr>
          <w:p w14:paraId="53623CBB"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r>
      <w:tr w:rsidR="00455938" w:rsidRPr="00455938" w14:paraId="1F746F1A" w14:textId="77777777" w:rsidTr="000C38AB">
        <w:trPr>
          <w:trHeight w:val="304"/>
        </w:trPr>
        <w:tc>
          <w:tcPr>
            <w:tcW w:w="3246" w:type="dxa"/>
            <w:tcBorders>
              <w:top w:val="nil"/>
              <w:left w:val="nil"/>
              <w:bottom w:val="nil"/>
              <w:right w:val="nil"/>
            </w:tcBorders>
            <w:shd w:val="clear" w:color="auto" w:fill="auto"/>
            <w:noWrap/>
            <w:vAlign w:val="center"/>
            <w:hideMark/>
          </w:tcPr>
          <w:p w14:paraId="4B290C82"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Reference: prison (n=22311)</w:t>
            </w:r>
          </w:p>
        </w:tc>
        <w:tc>
          <w:tcPr>
            <w:tcW w:w="1650" w:type="dxa"/>
            <w:tcBorders>
              <w:top w:val="nil"/>
              <w:left w:val="nil"/>
              <w:bottom w:val="nil"/>
              <w:right w:val="nil"/>
            </w:tcBorders>
            <w:shd w:val="clear" w:color="auto" w:fill="auto"/>
            <w:noWrap/>
            <w:vAlign w:val="center"/>
            <w:hideMark/>
          </w:tcPr>
          <w:p w14:paraId="00D1B8DD"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p>
        </w:tc>
        <w:tc>
          <w:tcPr>
            <w:tcW w:w="1596" w:type="dxa"/>
            <w:tcBorders>
              <w:top w:val="nil"/>
              <w:left w:val="nil"/>
              <w:bottom w:val="nil"/>
              <w:right w:val="nil"/>
            </w:tcBorders>
            <w:shd w:val="clear" w:color="auto" w:fill="auto"/>
            <w:noWrap/>
            <w:vAlign w:val="center"/>
            <w:hideMark/>
          </w:tcPr>
          <w:p w14:paraId="08AD9D67"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685" w:type="dxa"/>
            <w:tcBorders>
              <w:top w:val="nil"/>
              <w:left w:val="nil"/>
              <w:bottom w:val="nil"/>
              <w:right w:val="nil"/>
            </w:tcBorders>
            <w:shd w:val="clear" w:color="auto" w:fill="auto"/>
            <w:noWrap/>
            <w:vAlign w:val="center"/>
            <w:hideMark/>
          </w:tcPr>
          <w:p w14:paraId="077C24DB"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808" w:type="dxa"/>
            <w:tcBorders>
              <w:top w:val="nil"/>
              <w:left w:val="nil"/>
              <w:bottom w:val="nil"/>
              <w:right w:val="nil"/>
            </w:tcBorders>
            <w:shd w:val="clear" w:color="auto" w:fill="auto"/>
            <w:noWrap/>
            <w:vAlign w:val="center"/>
            <w:hideMark/>
          </w:tcPr>
          <w:p w14:paraId="409E9986"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r>
      <w:tr w:rsidR="00455938" w:rsidRPr="00455938" w14:paraId="59C58799" w14:textId="77777777" w:rsidTr="000C38AB">
        <w:trPr>
          <w:trHeight w:val="304"/>
        </w:trPr>
        <w:tc>
          <w:tcPr>
            <w:tcW w:w="3246" w:type="dxa"/>
            <w:tcBorders>
              <w:top w:val="nil"/>
              <w:left w:val="nil"/>
              <w:bottom w:val="nil"/>
              <w:right w:val="nil"/>
            </w:tcBorders>
            <w:shd w:val="clear" w:color="auto" w:fill="auto"/>
            <w:noWrap/>
            <w:vAlign w:val="center"/>
            <w:hideMark/>
          </w:tcPr>
          <w:p w14:paraId="50D70A44"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Probation (n=7191)</w:t>
            </w:r>
          </w:p>
        </w:tc>
        <w:tc>
          <w:tcPr>
            <w:tcW w:w="1650" w:type="dxa"/>
            <w:tcBorders>
              <w:top w:val="nil"/>
              <w:left w:val="nil"/>
              <w:bottom w:val="nil"/>
              <w:right w:val="nil"/>
            </w:tcBorders>
            <w:shd w:val="clear" w:color="auto" w:fill="auto"/>
            <w:noWrap/>
            <w:vAlign w:val="center"/>
            <w:hideMark/>
          </w:tcPr>
          <w:p w14:paraId="64B1BA07"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1.22 (1.11-1.34)</w:t>
            </w:r>
          </w:p>
        </w:tc>
        <w:tc>
          <w:tcPr>
            <w:tcW w:w="1596" w:type="dxa"/>
            <w:tcBorders>
              <w:top w:val="nil"/>
              <w:left w:val="nil"/>
              <w:bottom w:val="nil"/>
              <w:right w:val="nil"/>
            </w:tcBorders>
            <w:shd w:val="clear" w:color="auto" w:fill="auto"/>
            <w:noWrap/>
            <w:vAlign w:val="center"/>
            <w:hideMark/>
          </w:tcPr>
          <w:p w14:paraId="113A8AE4"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1.23 (1.11-1.37)</w:t>
            </w:r>
          </w:p>
        </w:tc>
        <w:tc>
          <w:tcPr>
            <w:tcW w:w="1685" w:type="dxa"/>
            <w:tcBorders>
              <w:top w:val="nil"/>
              <w:left w:val="nil"/>
              <w:bottom w:val="nil"/>
              <w:right w:val="nil"/>
            </w:tcBorders>
            <w:shd w:val="clear" w:color="auto" w:fill="auto"/>
            <w:noWrap/>
            <w:vAlign w:val="center"/>
            <w:hideMark/>
          </w:tcPr>
          <w:p w14:paraId="0DEF1955"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1.23 (1.16-1.32)</w:t>
            </w:r>
          </w:p>
        </w:tc>
        <w:tc>
          <w:tcPr>
            <w:tcW w:w="1808" w:type="dxa"/>
            <w:tcBorders>
              <w:top w:val="nil"/>
              <w:left w:val="nil"/>
              <w:bottom w:val="nil"/>
              <w:right w:val="nil"/>
            </w:tcBorders>
            <w:shd w:val="clear" w:color="auto" w:fill="auto"/>
            <w:noWrap/>
            <w:vAlign w:val="center"/>
            <w:hideMark/>
          </w:tcPr>
          <w:p w14:paraId="28AB96D1"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1.76 (1.68-1.84)</w:t>
            </w:r>
          </w:p>
        </w:tc>
      </w:tr>
      <w:tr w:rsidR="00455938" w:rsidRPr="00455938" w14:paraId="2FED95F4" w14:textId="77777777" w:rsidTr="000C38AB">
        <w:trPr>
          <w:trHeight w:val="304"/>
        </w:trPr>
        <w:tc>
          <w:tcPr>
            <w:tcW w:w="3246" w:type="dxa"/>
            <w:tcBorders>
              <w:top w:val="nil"/>
              <w:left w:val="nil"/>
              <w:bottom w:val="nil"/>
              <w:right w:val="nil"/>
            </w:tcBorders>
            <w:shd w:val="clear" w:color="auto" w:fill="auto"/>
            <w:noWrap/>
            <w:vAlign w:val="center"/>
            <w:hideMark/>
          </w:tcPr>
          <w:p w14:paraId="09EFD0DA"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Contract treatment (n=13518)</w:t>
            </w:r>
          </w:p>
        </w:tc>
        <w:tc>
          <w:tcPr>
            <w:tcW w:w="1650" w:type="dxa"/>
            <w:tcBorders>
              <w:top w:val="nil"/>
              <w:left w:val="nil"/>
              <w:bottom w:val="nil"/>
              <w:right w:val="nil"/>
            </w:tcBorders>
            <w:shd w:val="clear" w:color="auto" w:fill="auto"/>
            <w:noWrap/>
            <w:vAlign w:val="center"/>
            <w:hideMark/>
          </w:tcPr>
          <w:p w14:paraId="502BED9F"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1.03 (0.94-1.11)</w:t>
            </w:r>
          </w:p>
        </w:tc>
        <w:tc>
          <w:tcPr>
            <w:tcW w:w="1596" w:type="dxa"/>
            <w:tcBorders>
              <w:top w:val="nil"/>
              <w:left w:val="nil"/>
              <w:bottom w:val="nil"/>
              <w:right w:val="nil"/>
            </w:tcBorders>
            <w:shd w:val="clear" w:color="auto" w:fill="auto"/>
            <w:noWrap/>
            <w:vAlign w:val="center"/>
            <w:hideMark/>
          </w:tcPr>
          <w:p w14:paraId="4047CFF8"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1.06 (0.96-1.17)</w:t>
            </w:r>
          </w:p>
        </w:tc>
        <w:tc>
          <w:tcPr>
            <w:tcW w:w="1685" w:type="dxa"/>
            <w:tcBorders>
              <w:top w:val="nil"/>
              <w:left w:val="nil"/>
              <w:bottom w:val="nil"/>
              <w:right w:val="nil"/>
            </w:tcBorders>
            <w:shd w:val="clear" w:color="auto" w:fill="auto"/>
            <w:noWrap/>
            <w:vAlign w:val="center"/>
            <w:hideMark/>
          </w:tcPr>
          <w:p w14:paraId="1E022374"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1.08 (1.02-1.14)</w:t>
            </w:r>
          </w:p>
        </w:tc>
        <w:tc>
          <w:tcPr>
            <w:tcW w:w="1808" w:type="dxa"/>
            <w:tcBorders>
              <w:top w:val="nil"/>
              <w:left w:val="nil"/>
              <w:bottom w:val="nil"/>
              <w:right w:val="nil"/>
            </w:tcBorders>
            <w:shd w:val="clear" w:color="auto" w:fill="auto"/>
            <w:noWrap/>
            <w:vAlign w:val="center"/>
            <w:hideMark/>
          </w:tcPr>
          <w:p w14:paraId="5316E21F"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1.14 (1.09-1.18)</w:t>
            </w:r>
          </w:p>
        </w:tc>
      </w:tr>
      <w:tr w:rsidR="00455938" w:rsidRPr="00455938" w14:paraId="01A6D002" w14:textId="77777777" w:rsidTr="000C38AB">
        <w:trPr>
          <w:trHeight w:val="304"/>
        </w:trPr>
        <w:tc>
          <w:tcPr>
            <w:tcW w:w="4896" w:type="dxa"/>
            <w:gridSpan w:val="2"/>
            <w:tcBorders>
              <w:top w:val="nil"/>
              <w:left w:val="nil"/>
              <w:bottom w:val="nil"/>
              <w:right w:val="nil"/>
            </w:tcBorders>
            <w:shd w:val="clear" w:color="auto" w:fill="auto"/>
            <w:noWrap/>
            <w:vAlign w:val="center"/>
            <w:hideMark/>
          </w:tcPr>
          <w:p w14:paraId="489E918C"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r w:rsidRPr="00455938">
              <w:rPr>
                <w:rFonts w:ascii="Arial" w:eastAsia="Times New Roman" w:hAnsi="Arial" w:cs="Arial"/>
                <w:b/>
                <w:bCs/>
                <w:color w:val="000000"/>
                <w:kern w:val="0"/>
                <w:sz w:val="18"/>
                <w:szCs w:val="18"/>
                <w14:ligatures w14:val="none"/>
              </w:rPr>
              <w:t>Adjusted for age, year, and substance use</w:t>
            </w:r>
          </w:p>
        </w:tc>
        <w:tc>
          <w:tcPr>
            <w:tcW w:w="1596" w:type="dxa"/>
            <w:tcBorders>
              <w:top w:val="nil"/>
              <w:left w:val="nil"/>
              <w:bottom w:val="nil"/>
              <w:right w:val="nil"/>
            </w:tcBorders>
            <w:shd w:val="clear" w:color="auto" w:fill="auto"/>
            <w:noWrap/>
            <w:vAlign w:val="center"/>
            <w:hideMark/>
          </w:tcPr>
          <w:p w14:paraId="064294E2"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p>
        </w:tc>
        <w:tc>
          <w:tcPr>
            <w:tcW w:w="1685" w:type="dxa"/>
            <w:tcBorders>
              <w:top w:val="nil"/>
              <w:left w:val="nil"/>
              <w:bottom w:val="nil"/>
              <w:right w:val="nil"/>
            </w:tcBorders>
            <w:shd w:val="clear" w:color="auto" w:fill="auto"/>
            <w:noWrap/>
            <w:vAlign w:val="center"/>
            <w:hideMark/>
          </w:tcPr>
          <w:p w14:paraId="43566098"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808" w:type="dxa"/>
            <w:tcBorders>
              <w:top w:val="nil"/>
              <w:left w:val="nil"/>
              <w:bottom w:val="nil"/>
              <w:right w:val="nil"/>
            </w:tcBorders>
            <w:shd w:val="clear" w:color="auto" w:fill="auto"/>
            <w:noWrap/>
            <w:vAlign w:val="center"/>
            <w:hideMark/>
          </w:tcPr>
          <w:p w14:paraId="63C46D6D"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r>
      <w:tr w:rsidR="00455938" w:rsidRPr="00455938" w14:paraId="46FA562B" w14:textId="77777777" w:rsidTr="000C38AB">
        <w:trPr>
          <w:trHeight w:val="304"/>
        </w:trPr>
        <w:tc>
          <w:tcPr>
            <w:tcW w:w="3246" w:type="dxa"/>
            <w:tcBorders>
              <w:top w:val="nil"/>
              <w:left w:val="nil"/>
              <w:bottom w:val="nil"/>
              <w:right w:val="nil"/>
            </w:tcBorders>
            <w:shd w:val="clear" w:color="auto" w:fill="auto"/>
            <w:noWrap/>
            <w:vAlign w:val="center"/>
            <w:hideMark/>
          </w:tcPr>
          <w:p w14:paraId="7786954B"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Reference: prison (n=7932)</w:t>
            </w:r>
          </w:p>
        </w:tc>
        <w:tc>
          <w:tcPr>
            <w:tcW w:w="1650" w:type="dxa"/>
            <w:tcBorders>
              <w:top w:val="nil"/>
              <w:left w:val="nil"/>
              <w:bottom w:val="nil"/>
              <w:right w:val="nil"/>
            </w:tcBorders>
            <w:shd w:val="clear" w:color="auto" w:fill="auto"/>
            <w:noWrap/>
            <w:vAlign w:val="center"/>
            <w:hideMark/>
          </w:tcPr>
          <w:p w14:paraId="011A63C6"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p>
        </w:tc>
        <w:tc>
          <w:tcPr>
            <w:tcW w:w="1596" w:type="dxa"/>
            <w:tcBorders>
              <w:top w:val="nil"/>
              <w:left w:val="nil"/>
              <w:bottom w:val="nil"/>
              <w:right w:val="nil"/>
            </w:tcBorders>
            <w:shd w:val="clear" w:color="auto" w:fill="auto"/>
            <w:noWrap/>
            <w:vAlign w:val="center"/>
            <w:hideMark/>
          </w:tcPr>
          <w:p w14:paraId="6C7255CE"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685" w:type="dxa"/>
            <w:tcBorders>
              <w:top w:val="nil"/>
              <w:left w:val="nil"/>
              <w:bottom w:val="nil"/>
              <w:right w:val="nil"/>
            </w:tcBorders>
            <w:shd w:val="clear" w:color="auto" w:fill="auto"/>
            <w:noWrap/>
            <w:vAlign w:val="center"/>
            <w:hideMark/>
          </w:tcPr>
          <w:p w14:paraId="7952A67C"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808" w:type="dxa"/>
            <w:tcBorders>
              <w:top w:val="nil"/>
              <w:left w:val="nil"/>
              <w:bottom w:val="nil"/>
              <w:right w:val="nil"/>
            </w:tcBorders>
            <w:shd w:val="clear" w:color="auto" w:fill="auto"/>
            <w:noWrap/>
            <w:vAlign w:val="center"/>
            <w:hideMark/>
          </w:tcPr>
          <w:p w14:paraId="72C9E8F1"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r>
      <w:tr w:rsidR="00455938" w:rsidRPr="00455938" w14:paraId="7DC301DF" w14:textId="77777777" w:rsidTr="000C38AB">
        <w:trPr>
          <w:trHeight w:val="304"/>
        </w:trPr>
        <w:tc>
          <w:tcPr>
            <w:tcW w:w="3246" w:type="dxa"/>
            <w:tcBorders>
              <w:top w:val="nil"/>
              <w:left w:val="nil"/>
              <w:bottom w:val="nil"/>
              <w:right w:val="nil"/>
            </w:tcBorders>
            <w:shd w:val="clear" w:color="auto" w:fill="auto"/>
            <w:noWrap/>
            <w:vAlign w:val="center"/>
            <w:hideMark/>
          </w:tcPr>
          <w:p w14:paraId="0CC889C3"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Probation (n=2432)</w:t>
            </w:r>
          </w:p>
        </w:tc>
        <w:tc>
          <w:tcPr>
            <w:tcW w:w="1650" w:type="dxa"/>
            <w:tcBorders>
              <w:top w:val="nil"/>
              <w:left w:val="nil"/>
              <w:bottom w:val="nil"/>
              <w:right w:val="nil"/>
            </w:tcBorders>
            <w:shd w:val="clear" w:color="auto" w:fill="auto"/>
            <w:noWrap/>
            <w:vAlign w:val="center"/>
            <w:hideMark/>
          </w:tcPr>
          <w:p w14:paraId="0459C507"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1.25 (1.04-1.50)</w:t>
            </w:r>
          </w:p>
        </w:tc>
        <w:tc>
          <w:tcPr>
            <w:tcW w:w="1596" w:type="dxa"/>
            <w:tcBorders>
              <w:top w:val="nil"/>
              <w:left w:val="nil"/>
              <w:bottom w:val="nil"/>
              <w:right w:val="nil"/>
            </w:tcBorders>
            <w:shd w:val="clear" w:color="auto" w:fill="auto"/>
            <w:noWrap/>
            <w:vAlign w:val="center"/>
            <w:hideMark/>
          </w:tcPr>
          <w:p w14:paraId="02E84017"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1.22 (0.98-1.51)</w:t>
            </w:r>
          </w:p>
        </w:tc>
        <w:tc>
          <w:tcPr>
            <w:tcW w:w="1685" w:type="dxa"/>
            <w:tcBorders>
              <w:top w:val="nil"/>
              <w:left w:val="nil"/>
              <w:bottom w:val="nil"/>
              <w:right w:val="nil"/>
            </w:tcBorders>
            <w:shd w:val="clear" w:color="auto" w:fill="auto"/>
            <w:noWrap/>
            <w:vAlign w:val="center"/>
            <w:hideMark/>
          </w:tcPr>
          <w:p w14:paraId="22EF5BB8"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1.37 (1.20-1.56)</w:t>
            </w:r>
          </w:p>
        </w:tc>
        <w:tc>
          <w:tcPr>
            <w:tcW w:w="1808" w:type="dxa"/>
            <w:tcBorders>
              <w:top w:val="nil"/>
              <w:left w:val="nil"/>
              <w:bottom w:val="nil"/>
              <w:right w:val="nil"/>
            </w:tcBorders>
            <w:shd w:val="clear" w:color="auto" w:fill="auto"/>
            <w:noWrap/>
            <w:vAlign w:val="center"/>
            <w:hideMark/>
          </w:tcPr>
          <w:p w14:paraId="539E5F83"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2.35 (2.12-2.60)</w:t>
            </w:r>
          </w:p>
        </w:tc>
      </w:tr>
      <w:tr w:rsidR="00455938" w:rsidRPr="00455938" w14:paraId="5777C817" w14:textId="77777777" w:rsidTr="000C38AB">
        <w:trPr>
          <w:trHeight w:val="304"/>
        </w:trPr>
        <w:tc>
          <w:tcPr>
            <w:tcW w:w="3246" w:type="dxa"/>
            <w:tcBorders>
              <w:top w:val="nil"/>
              <w:left w:val="nil"/>
              <w:bottom w:val="nil"/>
              <w:right w:val="nil"/>
            </w:tcBorders>
            <w:shd w:val="clear" w:color="auto" w:fill="auto"/>
            <w:noWrap/>
            <w:vAlign w:val="center"/>
            <w:hideMark/>
          </w:tcPr>
          <w:p w14:paraId="3D2BCDAF"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Contract treatment (n=5479)</w:t>
            </w:r>
          </w:p>
        </w:tc>
        <w:tc>
          <w:tcPr>
            <w:tcW w:w="1650" w:type="dxa"/>
            <w:tcBorders>
              <w:top w:val="nil"/>
              <w:left w:val="nil"/>
              <w:bottom w:val="nil"/>
              <w:right w:val="nil"/>
            </w:tcBorders>
            <w:shd w:val="clear" w:color="auto" w:fill="auto"/>
            <w:noWrap/>
            <w:vAlign w:val="center"/>
            <w:hideMark/>
          </w:tcPr>
          <w:p w14:paraId="547E8E36"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0.99 (0.85-1.15)</w:t>
            </w:r>
          </w:p>
        </w:tc>
        <w:tc>
          <w:tcPr>
            <w:tcW w:w="1596" w:type="dxa"/>
            <w:tcBorders>
              <w:top w:val="nil"/>
              <w:left w:val="nil"/>
              <w:bottom w:val="nil"/>
              <w:right w:val="nil"/>
            </w:tcBorders>
            <w:shd w:val="clear" w:color="auto" w:fill="auto"/>
            <w:noWrap/>
            <w:vAlign w:val="center"/>
            <w:hideMark/>
          </w:tcPr>
          <w:p w14:paraId="16228D14"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0.96 (0.80-1.14)</w:t>
            </w:r>
          </w:p>
        </w:tc>
        <w:tc>
          <w:tcPr>
            <w:tcW w:w="1685" w:type="dxa"/>
            <w:tcBorders>
              <w:top w:val="nil"/>
              <w:left w:val="nil"/>
              <w:bottom w:val="nil"/>
              <w:right w:val="nil"/>
            </w:tcBorders>
            <w:shd w:val="clear" w:color="auto" w:fill="auto"/>
            <w:noWrap/>
            <w:vAlign w:val="center"/>
            <w:hideMark/>
          </w:tcPr>
          <w:p w14:paraId="468AFB7A"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1.05 (0.94-1.18)</w:t>
            </w:r>
          </w:p>
        </w:tc>
        <w:tc>
          <w:tcPr>
            <w:tcW w:w="1808" w:type="dxa"/>
            <w:tcBorders>
              <w:top w:val="nil"/>
              <w:left w:val="nil"/>
              <w:bottom w:val="nil"/>
              <w:right w:val="nil"/>
            </w:tcBorders>
            <w:shd w:val="clear" w:color="auto" w:fill="auto"/>
            <w:noWrap/>
            <w:vAlign w:val="center"/>
            <w:hideMark/>
          </w:tcPr>
          <w:p w14:paraId="5CDE4E89"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1.22 (1.13-1.31)</w:t>
            </w:r>
          </w:p>
        </w:tc>
      </w:tr>
      <w:tr w:rsidR="00455938" w:rsidRPr="00455938" w14:paraId="47AA0E3C" w14:textId="77777777" w:rsidTr="000C38AB">
        <w:trPr>
          <w:trHeight w:val="304"/>
        </w:trPr>
        <w:tc>
          <w:tcPr>
            <w:tcW w:w="6493" w:type="dxa"/>
            <w:gridSpan w:val="3"/>
            <w:tcBorders>
              <w:top w:val="nil"/>
              <w:left w:val="nil"/>
              <w:bottom w:val="nil"/>
              <w:right w:val="nil"/>
            </w:tcBorders>
            <w:shd w:val="clear" w:color="auto" w:fill="auto"/>
            <w:noWrap/>
            <w:vAlign w:val="center"/>
            <w:hideMark/>
          </w:tcPr>
          <w:p w14:paraId="294410E5"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r w:rsidRPr="00455938">
              <w:rPr>
                <w:rFonts w:ascii="Arial" w:eastAsia="Times New Roman" w:hAnsi="Arial" w:cs="Arial"/>
                <w:b/>
                <w:bCs/>
                <w:color w:val="000000"/>
                <w:kern w:val="0"/>
                <w:sz w:val="18"/>
                <w:szCs w:val="18"/>
                <w14:ligatures w14:val="none"/>
              </w:rPr>
              <w:t>Adjusted for age, year, substance use, employment, and housing</w:t>
            </w:r>
          </w:p>
        </w:tc>
        <w:tc>
          <w:tcPr>
            <w:tcW w:w="1685" w:type="dxa"/>
            <w:tcBorders>
              <w:top w:val="nil"/>
              <w:left w:val="nil"/>
              <w:bottom w:val="nil"/>
              <w:right w:val="nil"/>
            </w:tcBorders>
            <w:shd w:val="clear" w:color="auto" w:fill="auto"/>
            <w:noWrap/>
            <w:vAlign w:val="center"/>
            <w:hideMark/>
          </w:tcPr>
          <w:p w14:paraId="3348E24E"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p>
        </w:tc>
        <w:tc>
          <w:tcPr>
            <w:tcW w:w="1808" w:type="dxa"/>
            <w:tcBorders>
              <w:top w:val="nil"/>
              <w:left w:val="nil"/>
              <w:bottom w:val="nil"/>
              <w:right w:val="nil"/>
            </w:tcBorders>
            <w:shd w:val="clear" w:color="auto" w:fill="auto"/>
            <w:noWrap/>
            <w:vAlign w:val="center"/>
            <w:hideMark/>
          </w:tcPr>
          <w:p w14:paraId="0E1E9E42"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r>
      <w:tr w:rsidR="00455938" w:rsidRPr="00455938" w14:paraId="18C72B2D" w14:textId="77777777" w:rsidTr="000C38AB">
        <w:trPr>
          <w:trHeight w:val="304"/>
        </w:trPr>
        <w:tc>
          <w:tcPr>
            <w:tcW w:w="3246" w:type="dxa"/>
            <w:tcBorders>
              <w:top w:val="nil"/>
              <w:left w:val="nil"/>
              <w:bottom w:val="nil"/>
              <w:right w:val="nil"/>
            </w:tcBorders>
            <w:shd w:val="clear" w:color="auto" w:fill="auto"/>
            <w:noWrap/>
            <w:vAlign w:val="center"/>
            <w:hideMark/>
          </w:tcPr>
          <w:p w14:paraId="61F0FFD7"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Reference: prison (n=5663)</w:t>
            </w:r>
          </w:p>
        </w:tc>
        <w:tc>
          <w:tcPr>
            <w:tcW w:w="1650" w:type="dxa"/>
            <w:tcBorders>
              <w:top w:val="nil"/>
              <w:left w:val="nil"/>
              <w:bottom w:val="nil"/>
              <w:right w:val="nil"/>
            </w:tcBorders>
            <w:shd w:val="clear" w:color="auto" w:fill="auto"/>
            <w:noWrap/>
            <w:vAlign w:val="center"/>
            <w:hideMark/>
          </w:tcPr>
          <w:p w14:paraId="7593D875"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p>
        </w:tc>
        <w:tc>
          <w:tcPr>
            <w:tcW w:w="1596" w:type="dxa"/>
            <w:tcBorders>
              <w:top w:val="nil"/>
              <w:left w:val="nil"/>
              <w:bottom w:val="nil"/>
              <w:right w:val="nil"/>
            </w:tcBorders>
            <w:shd w:val="clear" w:color="auto" w:fill="auto"/>
            <w:noWrap/>
            <w:vAlign w:val="center"/>
            <w:hideMark/>
          </w:tcPr>
          <w:p w14:paraId="43E3FC49"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685" w:type="dxa"/>
            <w:tcBorders>
              <w:top w:val="nil"/>
              <w:left w:val="nil"/>
              <w:bottom w:val="nil"/>
              <w:right w:val="nil"/>
            </w:tcBorders>
            <w:shd w:val="clear" w:color="auto" w:fill="auto"/>
            <w:noWrap/>
            <w:vAlign w:val="center"/>
            <w:hideMark/>
          </w:tcPr>
          <w:p w14:paraId="1C52590F"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808" w:type="dxa"/>
            <w:tcBorders>
              <w:top w:val="nil"/>
              <w:left w:val="nil"/>
              <w:bottom w:val="nil"/>
              <w:right w:val="nil"/>
            </w:tcBorders>
            <w:shd w:val="clear" w:color="auto" w:fill="auto"/>
            <w:noWrap/>
            <w:vAlign w:val="center"/>
            <w:hideMark/>
          </w:tcPr>
          <w:p w14:paraId="1E2F5471"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r>
      <w:tr w:rsidR="00455938" w:rsidRPr="00455938" w14:paraId="4DBD0501" w14:textId="77777777" w:rsidTr="000C38AB">
        <w:trPr>
          <w:trHeight w:val="304"/>
        </w:trPr>
        <w:tc>
          <w:tcPr>
            <w:tcW w:w="3246" w:type="dxa"/>
            <w:tcBorders>
              <w:top w:val="nil"/>
              <w:left w:val="nil"/>
              <w:bottom w:val="nil"/>
              <w:right w:val="nil"/>
            </w:tcBorders>
            <w:shd w:val="clear" w:color="auto" w:fill="auto"/>
            <w:noWrap/>
            <w:vAlign w:val="center"/>
            <w:hideMark/>
          </w:tcPr>
          <w:p w14:paraId="2BD012B3"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Probation (n=1882)</w:t>
            </w:r>
          </w:p>
        </w:tc>
        <w:tc>
          <w:tcPr>
            <w:tcW w:w="1650" w:type="dxa"/>
            <w:tcBorders>
              <w:top w:val="nil"/>
              <w:left w:val="nil"/>
              <w:bottom w:val="nil"/>
              <w:right w:val="nil"/>
            </w:tcBorders>
            <w:shd w:val="clear" w:color="auto" w:fill="auto"/>
            <w:noWrap/>
            <w:vAlign w:val="center"/>
            <w:hideMark/>
          </w:tcPr>
          <w:p w14:paraId="686A1D17"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1.27 (1.00-1.61)</w:t>
            </w:r>
          </w:p>
        </w:tc>
        <w:tc>
          <w:tcPr>
            <w:tcW w:w="1596" w:type="dxa"/>
            <w:tcBorders>
              <w:top w:val="nil"/>
              <w:left w:val="nil"/>
              <w:bottom w:val="nil"/>
              <w:right w:val="nil"/>
            </w:tcBorders>
            <w:shd w:val="clear" w:color="auto" w:fill="auto"/>
            <w:noWrap/>
            <w:vAlign w:val="center"/>
            <w:hideMark/>
          </w:tcPr>
          <w:p w14:paraId="49EAE0CF"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1.31 (0.98-0.73)</w:t>
            </w:r>
          </w:p>
        </w:tc>
        <w:tc>
          <w:tcPr>
            <w:tcW w:w="1685" w:type="dxa"/>
            <w:tcBorders>
              <w:top w:val="nil"/>
              <w:left w:val="nil"/>
              <w:bottom w:val="nil"/>
              <w:right w:val="nil"/>
            </w:tcBorders>
            <w:shd w:val="clear" w:color="auto" w:fill="auto"/>
            <w:noWrap/>
            <w:vAlign w:val="center"/>
            <w:hideMark/>
          </w:tcPr>
          <w:p w14:paraId="52BF3CCA"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1.36 (1.16-1.61)</w:t>
            </w:r>
          </w:p>
        </w:tc>
        <w:tc>
          <w:tcPr>
            <w:tcW w:w="1808" w:type="dxa"/>
            <w:tcBorders>
              <w:top w:val="nil"/>
              <w:left w:val="nil"/>
              <w:bottom w:val="nil"/>
              <w:right w:val="nil"/>
            </w:tcBorders>
            <w:shd w:val="clear" w:color="auto" w:fill="auto"/>
            <w:noWrap/>
            <w:vAlign w:val="center"/>
            <w:hideMark/>
          </w:tcPr>
          <w:p w14:paraId="0D8BF830"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2.69 (2.36-3.07)</w:t>
            </w:r>
          </w:p>
        </w:tc>
      </w:tr>
      <w:tr w:rsidR="00455938" w:rsidRPr="00455938" w14:paraId="1B18EBEE" w14:textId="77777777" w:rsidTr="000C38AB">
        <w:trPr>
          <w:trHeight w:val="304"/>
        </w:trPr>
        <w:tc>
          <w:tcPr>
            <w:tcW w:w="3246" w:type="dxa"/>
            <w:tcBorders>
              <w:top w:val="nil"/>
              <w:left w:val="nil"/>
              <w:bottom w:val="nil"/>
              <w:right w:val="nil"/>
            </w:tcBorders>
            <w:shd w:val="clear" w:color="auto" w:fill="auto"/>
            <w:noWrap/>
            <w:vAlign w:val="center"/>
            <w:hideMark/>
          </w:tcPr>
          <w:p w14:paraId="6775E0B6"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Contract treatment (n=4084)</w:t>
            </w:r>
          </w:p>
        </w:tc>
        <w:tc>
          <w:tcPr>
            <w:tcW w:w="1650" w:type="dxa"/>
            <w:tcBorders>
              <w:top w:val="nil"/>
              <w:left w:val="nil"/>
              <w:bottom w:val="nil"/>
              <w:right w:val="nil"/>
            </w:tcBorders>
            <w:shd w:val="clear" w:color="auto" w:fill="auto"/>
            <w:noWrap/>
            <w:vAlign w:val="center"/>
            <w:hideMark/>
          </w:tcPr>
          <w:p w14:paraId="303A8ECB"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1.08 (0.89-1.31)</w:t>
            </w:r>
          </w:p>
        </w:tc>
        <w:tc>
          <w:tcPr>
            <w:tcW w:w="1596" w:type="dxa"/>
            <w:tcBorders>
              <w:top w:val="nil"/>
              <w:left w:val="nil"/>
              <w:bottom w:val="nil"/>
              <w:right w:val="nil"/>
            </w:tcBorders>
            <w:shd w:val="clear" w:color="auto" w:fill="auto"/>
            <w:noWrap/>
            <w:vAlign w:val="center"/>
            <w:hideMark/>
          </w:tcPr>
          <w:p w14:paraId="5184D212"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1.05 (0.83-1.33)</w:t>
            </w:r>
          </w:p>
        </w:tc>
        <w:tc>
          <w:tcPr>
            <w:tcW w:w="1685" w:type="dxa"/>
            <w:tcBorders>
              <w:top w:val="nil"/>
              <w:left w:val="nil"/>
              <w:bottom w:val="nil"/>
              <w:right w:val="nil"/>
            </w:tcBorders>
            <w:shd w:val="clear" w:color="auto" w:fill="auto"/>
            <w:noWrap/>
            <w:vAlign w:val="center"/>
            <w:hideMark/>
          </w:tcPr>
          <w:p w14:paraId="6F7BCB96"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1.07 (0.92-1.24)</w:t>
            </w:r>
          </w:p>
        </w:tc>
        <w:tc>
          <w:tcPr>
            <w:tcW w:w="1808" w:type="dxa"/>
            <w:tcBorders>
              <w:top w:val="nil"/>
              <w:left w:val="nil"/>
              <w:bottom w:val="nil"/>
              <w:right w:val="nil"/>
            </w:tcBorders>
            <w:shd w:val="clear" w:color="auto" w:fill="auto"/>
            <w:noWrap/>
            <w:vAlign w:val="center"/>
            <w:hideMark/>
          </w:tcPr>
          <w:p w14:paraId="7B3E2B88"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1.35 (1.23-1.49)</w:t>
            </w:r>
          </w:p>
        </w:tc>
      </w:tr>
      <w:tr w:rsidR="00455938" w:rsidRPr="00455938" w14:paraId="16B81094" w14:textId="77777777" w:rsidTr="000C38AB">
        <w:trPr>
          <w:trHeight w:val="304"/>
        </w:trPr>
        <w:tc>
          <w:tcPr>
            <w:tcW w:w="8178" w:type="dxa"/>
            <w:gridSpan w:val="4"/>
            <w:tcBorders>
              <w:top w:val="nil"/>
              <w:left w:val="nil"/>
              <w:bottom w:val="nil"/>
              <w:right w:val="nil"/>
            </w:tcBorders>
            <w:shd w:val="clear" w:color="auto" w:fill="auto"/>
            <w:noWrap/>
            <w:vAlign w:val="center"/>
            <w:hideMark/>
          </w:tcPr>
          <w:p w14:paraId="261FD61D"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r w:rsidRPr="00455938">
              <w:rPr>
                <w:rFonts w:ascii="Arial" w:eastAsia="Times New Roman" w:hAnsi="Arial" w:cs="Arial"/>
                <w:b/>
                <w:bCs/>
                <w:color w:val="000000"/>
                <w:kern w:val="0"/>
                <w:sz w:val="18"/>
                <w:szCs w:val="18"/>
                <w14:ligatures w14:val="none"/>
              </w:rPr>
              <w:t>Adjusted for age, year, substance use, employment, housing, and recidivism risk</w:t>
            </w:r>
          </w:p>
        </w:tc>
        <w:tc>
          <w:tcPr>
            <w:tcW w:w="1808" w:type="dxa"/>
            <w:tcBorders>
              <w:top w:val="nil"/>
              <w:left w:val="nil"/>
              <w:bottom w:val="nil"/>
              <w:right w:val="nil"/>
            </w:tcBorders>
            <w:shd w:val="clear" w:color="auto" w:fill="auto"/>
            <w:noWrap/>
            <w:vAlign w:val="center"/>
            <w:hideMark/>
          </w:tcPr>
          <w:p w14:paraId="2E65E968" w14:textId="77777777" w:rsidR="00455938" w:rsidRPr="00455938" w:rsidRDefault="00455938" w:rsidP="00455938">
            <w:pPr>
              <w:spacing w:after="0" w:line="240" w:lineRule="auto"/>
              <w:rPr>
                <w:rFonts w:ascii="Arial" w:eastAsia="Times New Roman" w:hAnsi="Arial" w:cs="Arial"/>
                <w:b/>
                <w:bCs/>
                <w:color w:val="000000"/>
                <w:kern w:val="0"/>
                <w:sz w:val="18"/>
                <w:szCs w:val="18"/>
                <w14:ligatures w14:val="none"/>
              </w:rPr>
            </w:pPr>
          </w:p>
        </w:tc>
      </w:tr>
      <w:tr w:rsidR="00455938" w:rsidRPr="00455938" w14:paraId="68C8B36E" w14:textId="77777777" w:rsidTr="000C38AB">
        <w:trPr>
          <w:trHeight w:val="304"/>
        </w:trPr>
        <w:tc>
          <w:tcPr>
            <w:tcW w:w="3246" w:type="dxa"/>
            <w:tcBorders>
              <w:top w:val="nil"/>
              <w:left w:val="nil"/>
              <w:bottom w:val="nil"/>
              <w:right w:val="nil"/>
            </w:tcBorders>
            <w:shd w:val="clear" w:color="auto" w:fill="auto"/>
            <w:noWrap/>
            <w:vAlign w:val="center"/>
            <w:hideMark/>
          </w:tcPr>
          <w:p w14:paraId="2E60B06B"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Reference: prison (n=4319)</w:t>
            </w:r>
          </w:p>
        </w:tc>
        <w:tc>
          <w:tcPr>
            <w:tcW w:w="1650" w:type="dxa"/>
            <w:tcBorders>
              <w:top w:val="nil"/>
              <w:left w:val="nil"/>
              <w:bottom w:val="nil"/>
              <w:right w:val="nil"/>
            </w:tcBorders>
            <w:shd w:val="clear" w:color="auto" w:fill="auto"/>
            <w:noWrap/>
            <w:vAlign w:val="center"/>
            <w:hideMark/>
          </w:tcPr>
          <w:p w14:paraId="4E5CCA9E"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p>
        </w:tc>
        <w:tc>
          <w:tcPr>
            <w:tcW w:w="1596" w:type="dxa"/>
            <w:tcBorders>
              <w:top w:val="nil"/>
              <w:left w:val="nil"/>
              <w:bottom w:val="nil"/>
              <w:right w:val="nil"/>
            </w:tcBorders>
            <w:shd w:val="clear" w:color="auto" w:fill="auto"/>
            <w:noWrap/>
            <w:vAlign w:val="center"/>
            <w:hideMark/>
          </w:tcPr>
          <w:p w14:paraId="58D5EFC1"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685" w:type="dxa"/>
            <w:tcBorders>
              <w:top w:val="nil"/>
              <w:left w:val="nil"/>
              <w:bottom w:val="nil"/>
              <w:right w:val="nil"/>
            </w:tcBorders>
            <w:shd w:val="clear" w:color="auto" w:fill="auto"/>
            <w:noWrap/>
            <w:vAlign w:val="center"/>
            <w:hideMark/>
          </w:tcPr>
          <w:p w14:paraId="225BAF95"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c>
          <w:tcPr>
            <w:tcW w:w="1808" w:type="dxa"/>
            <w:tcBorders>
              <w:top w:val="nil"/>
              <w:left w:val="nil"/>
              <w:bottom w:val="nil"/>
              <w:right w:val="nil"/>
            </w:tcBorders>
            <w:shd w:val="clear" w:color="auto" w:fill="auto"/>
            <w:noWrap/>
            <w:vAlign w:val="center"/>
            <w:hideMark/>
          </w:tcPr>
          <w:p w14:paraId="326BB342" w14:textId="77777777" w:rsidR="00455938" w:rsidRPr="00455938" w:rsidRDefault="00455938" w:rsidP="00455938">
            <w:pPr>
              <w:spacing w:after="0" w:line="240" w:lineRule="auto"/>
              <w:rPr>
                <w:rFonts w:ascii="Arial" w:eastAsia="Times New Roman" w:hAnsi="Arial" w:cs="Arial"/>
                <w:kern w:val="0"/>
                <w:sz w:val="18"/>
                <w:szCs w:val="18"/>
                <w14:ligatures w14:val="none"/>
              </w:rPr>
            </w:pPr>
          </w:p>
        </w:tc>
      </w:tr>
      <w:tr w:rsidR="00455938" w:rsidRPr="00455938" w14:paraId="4C6B3D06" w14:textId="77777777" w:rsidTr="000C38AB">
        <w:trPr>
          <w:trHeight w:val="304"/>
        </w:trPr>
        <w:tc>
          <w:tcPr>
            <w:tcW w:w="3246" w:type="dxa"/>
            <w:tcBorders>
              <w:top w:val="nil"/>
              <w:left w:val="nil"/>
              <w:bottom w:val="nil"/>
              <w:right w:val="nil"/>
            </w:tcBorders>
            <w:shd w:val="clear" w:color="auto" w:fill="auto"/>
            <w:noWrap/>
            <w:vAlign w:val="center"/>
            <w:hideMark/>
          </w:tcPr>
          <w:p w14:paraId="76987599"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Probation (n=1417)</w:t>
            </w:r>
          </w:p>
        </w:tc>
        <w:tc>
          <w:tcPr>
            <w:tcW w:w="1650" w:type="dxa"/>
            <w:tcBorders>
              <w:top w:val="nil"/>
              <w:left w:val="nil"/>
              <w:bottom w:val="nil"/>
              <w:right w:val="nil"/>
            </w:tcBorders>
            <w:shd w:val="clear" w:color="auto" w:fill="auto"/>
            <w:noWrap/>
            <w:vAlign w:val="center"/>
            <w:hideMark/>
          </w:tcPr>
          <w:p w14:paraId="51E46B56"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1.56 (1.15-2.12)</w:t>
            </w:r>
          </w:p>
        </w:tc>
        <w:tc>
          <w:tcPr>
            <w:tcW w:w="1596" w:type="dxa"/>
            <w:tcBorders>
              <w:top w:val="nil"/>
              <w:left w:val="nil"/>
              <w:bottom w:val="nil"/>
              <w:right w:val="nil"/>
            </w:tcBorders>
            <w:shd w:val="clear" w:color="auto" w:fill="auto"/>
            <w:noWrap/>
            <w:vAlign w:val="center"/>
            <w:hideMark/>
          </w:tcPr>
          <w:p w14:paraId="42F6ACB7"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1.17 (0.80-1.70)</w:t>
            </w:r>
          </w:p>
        </w:tc>
        <w:tc>
          <w:tcPr>
            <w:tcW w:w="1685" w:type="dxa"/>
            <w:tcBorders>
              <w:top w:val="nil"/>
              <w:left w:val="nil"/>
              <w:bottom w:val="nil"/>
              <w:right w:val="nil"/>
            </w:tcBorders>
            <w:shd w:val="clear" w:color="auto" w:fill="auto"/>
            <w:noWrap/>
            <w:vAlign w:val="center"/>
            <w:hideMark/>
          </w:tcPr>
          <w:p w14:paraId="0C4CC698"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1.32 (1.06-1.65)</w:t>
            </w:r>
          </w:p>
        </w:tc>
        <w:tc>
          <w:tcPr>
            <w:tcW w:w="1808" w:type="dxa"/>
            <w:tcBorders>
              <w:top w:val="nil"/>
              <w:left w:val="nil"/>
              <w:bottom w:val="nil"/>
              <w:right w:val="nil"/>
            </w:tcBorders>
            <w:shd w:val="clear" w:color="auto" w:fill="auto"/>
            <w:noWrap/>
            <w:vAlign w:val="center"/>
            <w:hideMark/>
          </w:tcPr>
          <w:p w14:paraId="786B6E16"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2.79 (2.36-3.01)</w:t>
            </w:r>
          </w:p>
        </w:tc>
      </w:tr>
      <w:tr w:rsidR="00455938" w:rsidRPr="00455938" w14:paraId="6843E8BE" w14:textId="77777777" w:rsidTr="000C38AB">
        <w:trPr>
          <w:trHeight w:val="304"/>
        </w:trPr>
        <w:tc>
          <w:tcPr>
            <w:tcW w:w="3246" w:type="dxa"/>
            <w:tcBorders>
              <w:top w:val="nil"/>
              <w:left w:val="nil"/>
              <w:bottom w:val="single" w:sz="4" w:space="0" w:color="auto"/>
              <w:right w:val="nil"/>
            </w:tcBorders>
            <w:shd w:val="clear" w:color="auto" w:fill="auto"/>
            <w:noWrap/>
            <w:vAlign w:val="center"/>
            <w:hideMark/>
          </w:tcPr>
          <w:p w14:paraId="4910F2E9" w14:textId="77777777" w:rsidR="00455938" w:rsidRPr="00455938" w:rsidRDefault="00455938" w:rsidP="00455938">
            <w:pPr>
              <w:spacing w:after="0" w:line="240" w:lineRule="auto"/>
              <w:ind w:firstLineChars="100" w:firstLine="180"/>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Contract treatment (n=2660)</w:t>
            </w:r>
          </w:p>
        </w:tc>
        <w:tc>
          <w:tcPr>
            <w:tcW w:w="1650" w:type="dxa"/>
            <w:tcBorders>
              <w:top w:val="nil"/>
              <w:left w:val="nil"/>
              <w:bottom w:val="single" w:sz="4" w:space="0" w:color="auto"/>
              <w:right w:val="nil"/>
            </w:tcBorders>
            <w:shd w:val="clear" w:color="auto" w:fill="auto"/>
            <w:noWrap/>
            <w:vAlign w:val="center"/>
            <w:hideMark/>
          </w:tcPr>
          <w:p w14:paraId="2A43A56B"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1.07 (0.83-1.39)</w:t>
            </w:r>
          </w:p>
        </w:tc>
        <w:tc>
          <w:tcPr>
            <w:tcW w:w="1596" w:type="dxa"/>
            <w:tcBorders>
              <w:top w:val="nil"/>
              <w:left w:val="nil"/>
              <w:bottom w:val="single" w:sz="4" w:space="0" w:color="auto"/>
              <w:right w:val="nil"/>
            </w:tcBorders>
            <w:shd w:val="clear" w:color="auto" w:fill="auto"/>
            <w:noWrap/>
            <w:vAlign w:val="center"/>
            <w:hideMark/>
          </w:tcPr>
          <w:p w14:paraId="002DCC5F"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1.00 (0.73-1.37)</w:t>
            </w:r>
          </w:p>
        </w:tc>
        <w:tc>
          <w:tcPr>
            <w:tcW w:w="1685" w:type="dxa"/>
            <w:tcBorders>
              <w:top w:val="nil"/>
              <w:left w:val="nil"/>
              <w:bottom w:val="single" w:sz="4" w:space="0" w:color="auto"/>
              <w:right w:val="nil"/>
            </w:tcBorders>
            <w:shd w:val="clear" w:color="auto" w:fill="auto"/>
            <w:noWrap/>
            <w:vAlign w:val="center"/>
            <w:hideMark/>
          </w:tcPr>
          <w:p w14:paraId="78060B76"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1.08 (0.89-1.32)</w:t>
            </w:r>
          </w:p>
        </w:tc>
        <w:tc>
          <w:tcPr>
            <w:tcW w:w="1808" w:type="dxa"/>
            <w:tcBorders>
              <w:top w:val="nil"/>
              <w:left w:val="nil"/>
              <w:bottom w:val="single" w:sz="4" w:space="0" w:color="auto"/>
              <w:right w:val="nil"/>
            </w:tcBorders>
            <w:shd w:val="clear" w:color="auto" w:fill="auto"/>
            <w:noWrap/>
            <w:vAlign w:val="center"/>
            <w:hideMark/>
          </w:tcPr>
          <w:p w14:paraId="1AF29B7E" w14:textId="77777777" w:rsidR="00455938" w:rsidRPr="00455938" w:rsidRDefault="00455938" w:rsidP="00455938">
            <w:pPr>
              <w:spacing w:after="0" w:line="240" w:lineRule="auto"/>
              <w:rPr>
                <w:rFonts w:ascii="Arial" w:eastAsia="Times New Roman" w:hAnsi="Arial" w:cs="Arial"/>
                <w:color w:val="000000"/>
                <w:kern w:val="0"/>
                <w:sz w:val="18"/>
                <w:szCs w:val="18"/>
                <w14:ligatures w14:val="none"/>
              </w:rPr>
            </w:pPr>
            <w:r w:rsidRPr="00455938">
              <w:rPr>
                <w:rFonts w:ascii="Arial" w:eastAsia="Times New Roman" w:hAnsi="Arial" w:cs="Arial"/>
                <w:color w:val="000000"/>
                <w:kern w:val="0"/>
                <w:sz w:val="18"/>
                <w:szCs w:val="18"/>
                <w14:ligatures w14:val="none"/>
              </w:rPr>
              <w:t>1.30 (1.14-1.48)</w:t>
            </w:r>
          </w:p>
        </w:tc>
      </w:tr>
    </w:tbl>
    <w:p w14:paraId="5EC349C1" w14:textId="77777777" w:rsidR="00423070" w:rsidRDefault="00423070" w:rsidP="00423070">
      <w:pPr>
        <w:rPr>
          <w:rFonts w:ascii="Times New Roman" w:hAnsi="Times New Roman" w:cs="Times New Roman"/>
          <w:b/>
          <w:bCs/>
          <w:sz w:val="20"/>
          <w:szCs w:val="20"/>
        </w:rPr>
      </w:pPr>
    </w:p>
    <w:p w14:paraId="6096803B" w14:textId="77777777" w:rsidR="00802BF2" w:rsidRDefault="00802BF2">
      <w:pPr>
        <w:rPr>
          <w:rFonts w:ascii="Times New Roman" w:hAnsi="Times New Roman" w:cs="Times New Roman"/>
          <w:b/>
          <w:bCs/>
          <w:sz w:val="20"/>
          <w:szCs w:val="20"/>
        </w:rPr>
        <w:sectPr w:rsidR="00802BF2">
          <w:pgSz w:w="12240" w:h="15840"/>
          <w:pgMar w:top="1417" w:right="1417" w:bottom="1417" w:left="1417" w:header="708" w:footer="708" w:gutter="0"/>
          <w:cols w:space="708"/>
          <w:docGrid w:linePitch="360"/>
        </w:sectPr>
      </w:pPr>
    </w:p>
    <w:p w14:paraId="09B90C7C" w14:textId="6D897BF2" w:rsidR="00AF1E8F" w:rsidRDefault="002825C2">
      <w:pPr>
        <w:rPr>
          <w:rFonts w:ascii="Times New Roman" w:hAnsi="Times New Roman" w:cs="Times New Roman"/>
          <w:b/>
          <w:bCs/>
          <w:sz w:val="20"/>
          <w:szCs w:val="20"/>
        </w:rPr>
      </w:pPr>
      <w:r>
        <w:rPr>
          <w:noProof/>
        </w:rPr>
        <w:lastRenderedPageBreak/>
        <w:drawing>
          <wp:inline distT="0" distB="0" distL="0" distR="0" wp14:anchorId="4E64F13E" wp14:editId="154FD79E">
            <wp:extent cx="5972810" cy="4322984"/>
            <wp:effectExtent l="0" t="0" r="0" b="1905"/>
            <wp:docPr id="2" name="Picture 2" descr="A group of graphs showing different types of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graphs showing different types of health&#10;&#10;Description automatically generated"/>
                    <pic:cNvPicPr/>
                  </pic:nvPicPr>
                  <pic:blipFill>
                    <a:blip r:embed="rId10"/>
                    <a:stretch>
                      <a:fillRect/>
                    </a:stretch>
                  </pic:blipFill>
                  <pic:spPr>
                    <a:xfrm>
                      <a:off x="0" y="0"/>
                      <a:ext cx="5972810" cy="4322984"/>
                    </a:xfrm>
                    <a:prstGeom prst="rect">
                      <a:avLst/>
                    </a:prstGeom>
                  </pic:spPr>
                </pic:pic>
              </a:graphicData>
            </a:graphic>
          </wp:inline>
        </w:drawing>
      </w:r>
    </w:p>
    <w:p w14:paraId="744F4F33" w14:textId="77777777" w:rsidR="002825C2" w:rsidRDefault="002825C2">
      <w:pPr>
        <w:rPr>
          <w:rFonts w:ascii="Times New Roman" w:hAnsi="Times New Roman" w:cs="Times New Roman"/>
          <w:b/>
          <w:bCs/>
          <w:sz w:val="20"/>
          <w:szCs w:val="20"/>
        </w:rPr>
      </w:pPr>
    </w:p>
    <w:p w14:paraId="164334F4" w14:textId="04200A20" w:rsidR="00E2168A" w:rsidRPr="00E2168A" w:rsidRDefault="00E2168A" w:rsidP="00E2168A">
      <w:pPr>
        <w:pStyle w:val="SMHeading"/>
        <w:rPr>
          <w:sz w:val="20"/>
          <w:szCs w:val="20"/>
        </w:rPr>
      </w:pPr>
      <w:r w:rsidRPr="00E2168A">
        <w:rPr>
          <w:sz w:val="20"/>
          <w:szCs w:val="20"/>
        </w:rPr>
        <w:t>Figure S3. Difference-in-differences sensitivity analysis with time-varying treatment.</w:t>
      </w:r>
      <w:r w:rsidRPr="00E2168A">
        <w:rPr>
          <w:b w:val="0"/>
          <w:sz w:val="20"/>
          <w:szCs w:val="20"/>
        </w:rPr>
        <w:t xml:space="preserve"> Figure shows event study coefficients and their 95% confidence intervals, representing the average treatment effect on the treated (ATT) over the follow-up. ATTs for medical outcomes represent effects in percentage points. ATT for crime represents the effect in the number of charges/suspicions by the police. X-axis represents relative time to period (quarter year) where treatment first changes (time 0).</w:t>
      </w:r>
    </w:p>
    <w:p w14:paraId="50708B83" w14:textId="77777777" w:rsidR="002825C2" w:rsidRDefault="002825C2">
      <w:pPr>
        <w:rPr>
          <w:rFonts w:ascii="Times New Roman" w:hAnsi="Times New Roman" w:cs="Times New Roman"/>
          <w:b/>
          <w:bCs/>
          <w:sz w:val="20"/>
          <w:szCs w:val="20"/>
        </w:rPr>
      </w:pPr>
    </w:p>
    <w:p w14:paraId="3F54F926" w14:textId="77777777" w:rsidR="004510CF" w:rsidRDefault="004510CF">
      <w:pPr>
        <w:rPr>
          <w:rFonts w:ascii="Times New Roman" w:hAnsi="Times New Roman" w:cs="Times New Roman"/>
          <w:b/>
          <w:bCs/>
          <w:sz w:val="20"/>
          <w:szCs w:val="20"/>
        </w:rPr>
        <w:sectPr w:rsidR="004510CF">
          <w:pgSz w:w="12240" w:h="15840"/>
          <w:pgMar w:top="1417" w:right="1417" w:bottom="1417" w:left="1417" w:header="708" w:footer="708" w:gutter="0"/>
          <w:cols w:space="708"/>
          <w:docGrid w:linePitch="360"/>
        </w:sectPr>
      </w:pPr>
    </w:p>
    <w:p w14:paraId="39E704B1" w14:textId="1C11423C" w:rsidR="004510CF" w:rsidRDefault="004510CF" w:rsidP="004510CF">
      <w:pPr>
        <w:rPr>
          <w:rFonts w:ascii="Times New Roman" w:hAnsi="Times New Roman" w:cs="Times New Roman"/>
          <w:b/>
          <w:bCs/>
          <w:sz w:val="20"/>
          <w:szCs w:val="20"/>
        </w:rPr>
      </w:pPr>
      <w:r w:rsidRPr="003C1558">
        <w:rPr>
          <w:rFonts w:ascii="Times New Roman" w:hAnsi="Times New Roman" w:cs="Times New Roman"/>
          <w:b/>
          <w:bCs/>
          <w:sz w:val="20"/>
          <w:szCs w:val="20"/>
        </w:rPr>
        <w:lastRenderedPageBreak/>
        <w:t>Table S1</w:t>
      </w:r>
      <w:r w:rsidR="005B2EC9">
        <w:rPr>
          <w:rFonts w:ascii="Times New Roman" w:hAnsi="Times New Roman" w:cs="Times New Roman"/>
          <w:b/>
          <w:bCs/>
          <w:sz w:val="20"/>
          <w:szCs w:val="20"/>
        </w:rPr>
        <w:t>1</w:t>
      </w:r>
      <w:r w:rsidRPr="003C1558">
        <w:rPr>
          <w:rFonts w:ascii="Times New Roman" w:hAnsi="Times New Roman" w:cs="Times New Roman"/>
          <w:b/>
          <w:bCs/>
          <w:sz w:val="20"/>
          <w:szCs w:val="20"/>
        </w:rPr>
        <w:t xml:space="preserve">. </w:t>
      </w:r>
      <w:r w:rsidRPr="004510CF">
        <w:rPr>
          <w:rFonts w:ascii="Times New Roman" w:hAnsi="Times New Roman" w:cs="Times New Roman"/>
          <w:sz w:val="20"/>
          <w:szCs w:val="20"/>
        </w:rPr>
        <w:t>Comparison of difference-in-differences treatment effects from the linear model with logit and Poisson models</w:t>
      </w:r>
    </w:p>
    <w:tbl>
      <w:tblPr>
        <w:tblW w:w="5358" w:type="pct"/>
        <w:tblLook w:val="04A0" w:firstRow="1" w:lastRow="0" w:firstColumn="1" w:lastColumn="0" w:noHBand="0" w:noVBand="1"/>
      </w:tblPr>
      <w:tblGrid>
        <w:gridCol w:w="1702"/>
        <w:gridCol w:w="1734"/>
        <w:gridCol w:w="1734"/>
        <w:gridCol w:w="1734"/>
        <w:gridCol w:w="1734"/>
        <w:gridCol w:w="1784"/>
        <w:gridCol w:w="1784"/>
        <w:gridCol w:w="1731"/>
      </w:tblGrid>
      <w:tr w:rsidR="003640C9" w:rsidRPr="003640C9" w14:paraId="64B516C6" w14:textId="77777777" w:rsidTr="000C38AB">
        <w:trPr>
          <w:trHeight w:val="315"/>
        </w:trPr>
        <w:tc>
          <w:tcPr>
            <w:tcW w:w="611" w:type="pct"/>
            <w:tcBorders>
              <w:top w:val="single" w:sz="4" w:space="0" w:color="auto"/>
              <w:left w:val="nil"/>
              <w:bottom w:val="single" w:sz="4" w:space="0" w:color="auto"/>
              <w:right w:val="nil"/>
            </w:tcBorders>
            <w:shd w:val="clear" w:color="auto" w:fill="auto"/>
            <w:noWrap/>
            <w:vAlign w:val="center"/>
            <w:hideMark/>
          </w:tcPr>
          <w:p w14:paraId="022B0823"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Outcome</w:t>
            </w:r>
          </w:p>
        </w:tc>
        <w:tc>
          <w:tcPr>
            <w:tcW w:w="622" w:type="pct"/>
            <w:tcBorders>
              <w:top w:val="single" w:sz="4" w:space="0" w:color="auto"/>
              <w:left w:val="nil"/>
              <w:bottom w:val="single" w:sz="4" w:space="0" w:color="auto"/>
              <w:right w:val="nil"/>
            </w:tcBorders>
            <w:shd w:val="clear" w:color="auto" w:fill="auto"/>
            <w:noWrap/>
            <w:vAlign w:val="center"/>
            <w:hideMark/>
          </w:tcPr>
          <w:p w14:paraId="47E3D745"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t0</w:t>
            </w:r>
          </w:p>
        </w:tc>
        <w:tc>
          <w:tcPr>
            <w:tcW w:w="622" w:type="pct"/>
            <w:tcBorders>
              <w:top w:val="single" w:sz="4" w:space="0" w:color="auto"/>
              <w:left w:val="nil"/>
              <w:bottom w:val="single" w:sz="4" w:space="0" w:color="auto"/>
              <w:right w:val="nil"/>
            </w:tcBorders>
            <w:shd w:val="clear" w:color="auto" w:fill="auto"/>
            <w:noWrap/>
            <w:vAlign w:val="center"/>
            <w:hideMark/>
          </w:tcPr>
          <w:p w14:paraId="0AC6408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t1</w:t>
            </w:r>
          </w:p>
        </w:tc>
        <w:tc>
          <w:tcPr>
            <w:tcW w:w="622" w:type="pct"/>
            <w:tcBorders>
              <w:top w:val="single" w:sz="4" w:space="0" w:color="auto"/>
              <w:left w:val="nil"/>
              <w:bottom w:val="single" w:sz="4" w:space="0" w:color="auto"/>
              <w:right w:val="nil"/>
            </w:tcBorders>
            <w:shd w:val="clear" w:color="auto" w:fill="auto"/>
            <w:noWrap/>
            <w:vAlign w:val="center"/>
            <w:hideMark/>
          </w:tcPr>
          <w:p w14:paraId="72A5FF9C"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t2</w:t>
            </w:r>
          </w:p>
        </w:tc>
        <w:tc>
          <w:tcPr>
            <w:tcW w:w="622" w:type="pct"/>
            <w:tcBorders>
              <w:top w:val="single" w:sz="4" w:space="0" w:color="auto"/>
              <w:left w:val="nil"/>
              <w:bottom w:val="single" w:sz="4" w:space="0" w:color="auto"/>
              <w:right w:val="nil"/>
            </w:tcBorders>
            <w:shd w:val="clear" w:color="auto" w:fill="auto"/>
            <w:noWrap/>
            <w:vAlign w:val="center"/>
            <w:hideMark/>
          </w:tcPr>
          <w:p w14:paraId="654C06F2"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t3</w:t>
            </w:r>
          </w:p>
        </w:tc>
        <w:tc>
          <w:tcPr>
            <w:tcW w:w="640" w:type="pct"/>
            <w:tcBorders>
              <w:top w:val="single" w:sz="4" w:space="0" w:color="auto"/>
              <w:left w:val="nil"/>
              <w:bottom w:val="single" w:sz="4" w:space="0" w:color="auto"/>
              <w:right w:val="nil"/>
            </w:tcBorders>
            <w:shd w:val="clear" w:color="auto" w:fill="auto"/>
            <w:noWrap/>
            <w:vAlign w:val="center"/>
            <w:hideMark/>
          </w:tcPr>
          <w:p w14:paraId="30B354BF"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t4</w:t>
            </w:r>
          </w:p>
        </w:tc>
        <w:tc>
          <w:tcPr>
            <w:tcW w:w="640" w:type="pct"/>
            <w:tcBorders>
              <w:top w:val="single" w:sz="4" w:space="0" w:color="auto"/>
              <w:left w:val="nil"/>
              <w:bottom w:val="single" w:sz="4" w:space="0" w:color="auto"/>
              <w:right w:val="nil"/>
            </w:tcBorders>
            <w:shd w:val="clear" w:color="auto" w:fill="auto"/>
            <w:noWrap/>
            <w:vAlign w:val="center"/>
            <w:hideMark/>
          </w:tcPr>
          <w:p w14:paraId="6AC6ED44"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t5</w:t>
            </w:r>
          </w:p>
        </w:tc>
        <w:tc>
          <w:tcPr>
            <w:tcW w:w="621" w:type="pct"/>
            <w:tcBorders>
              <w:top w:val="single" w:sz="4" w:space="0" w:color="auto"/>
              <w:left w:val="nil"/>
              <w:bottom w:val="single" w:sz="4" w:space="0" w:color="auto"/>
              <w:right w:val="nil"/>
            </w:tcBorders>
            <w:shd w:val="clear" w:color="auto" w:fill="auto"/>
            <w:noWrap/>
            <w:vAlign w:val="center"/>
            <w:hideMark/>
          </w:tcPr>
          <w:p w14:paraId="6C89274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t6</w:t>
            </w:r>
          </w:p>
        </w:tc>
      </w:tr>
      <w:tr w:rsidR="003640C9" w:rsidRPr="003640C9" w14:paraId="31CE2756" w14:textId="77777777" w:rsidTr="000C38AB">
        <w:trPr>
          <w:trHeight w:val="315"/>
        </w:trPr>
        <w:tc>
          <w:tcPr>
            <w:tcW w:w="611" w:type="pct"/>
            <w:tcBorders>
              <w:top w:val="nil"/>
              <w:left w:val="nil"/>
              <w:bottom w:val="nil"/>
              <w:right w:val="nil"/>
            </w:tcBorders>
            <w:shd w:val="clear" w:color="auto" w:fill="auto"/>
            <w:noWrap/>
            <w:vAlign w:val="center"/>
            <w:hideMark/>
          </w:tcPr>
          <w:p w14:paraId="1237A27E"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Substance misuse</w:t>
            </w:r>
          </w:p>
        </w:tc>
        <w:tc>
          <w:tcPr>
            <w:tcW w:w="622" w:type="pct"/>
            <w:tcBorders>
              <w:top w:val="nil"/>
              <w:left w:val="nil"/>
              <w:bottom w:val="nil"/>
              <w:right w:val="nil"/>
            </w:tcBorders>
            <w:shd w:val="clear" w:color="auto" w:fill="auto"/>
            <w:noWrap/>
            <w:vAlign w:val="center"/>
            <w:hideMark/>
          </w:tcPr>
          <w:p w14:paraId="7B61793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p>
        </w:tc>
        <w:tc>
          <w:tcPr>
            <w:tcW w:w="622" w:type="pct"/>
            <w:tcBorders>
              <w:top w:val="nil"/>
              <w:left w:val="nil"/>
              <w:bottom w:val="nil"/>
              <w:right w:val="nil"/>
            </w:tcBorders>
            <w:shd w:val="clear" w:color="auto" w:fill="auto"/>
            <w:noWrap/>
            <w:vAlign w:val="center"/>
            <w:hideMark/>
          </w:tcPr>
          <w:p w14:paraId="65740AB8"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2FCC29A9"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4666F2B0"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76792FE9"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22300604"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1" w:type="pct"/>
            <w:tcBorders>
              <w:top w:val="nil"/>
              <w:left w:val="nil"/>
              <w:bottom w:val="nil"/>
              <w:right w:val="nil"/>
            </w:tcBorders>
            <w:shd w:val="clear" w:color="auto" w:fill="auto"/>
            <w:noWrap/>
            <w:vAlign w:val="center"/>
            <w:hideMark/>
          </w:tcPr>
          <w:p w14:paraId="27639169"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r>
      <w:tr w:rsidR="003640C9" w:rsidRPr="003640C9" w14:paraId="019CEE4D" w14:textId="77777777" w:rsidTr="000C38AB">
        <w:trPr>
          <w:trHeight w:val="315"/>
        </w:trPr>
        <w:tc>
          <w:tcPr>
            <w:tcW w:w="611" w:type="pct"/>
            <w:tcBorders>
              <w:top w:val="nil"/>
              <w:left w:val="nil"/>
              <w:bottom w:val="nil"/>
              <w:right w:val="nil"/>
            </w:tcBorders>
            <w:shd w:val="clear" w:color="auto" w:fill="auto"/>
            <w:noWrap/>
            <w:vAlign w:val="center"/>
            <w:hideMark/>
          </w:tcPr>
          <w:p w14:paraId="4CC7DEF1"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Linear</w:t>
            </w:r>
          </w:p>
        </w:tc>
        <w:tc>
          <w:tcPr>
            <w:tcW w:w="622" w:type="pct"/>
            <w:tcBorders>
              <w:top w:val="nil"/>
              <w:left w:val="nil"/>
              <w:bottom w:val="nil"/>
              <w:right w:val="nil"/>
            </w:tcBorders>
            <w:shd w:val="clear" w:color="auto" w:fill="auto"/>
            <w:noWrap/>
            <w:vAlign w:val="center"/>
            <w:hideMark/>
          </w:tcPr>
          <w:p w14:paraId="2AC08F15"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-.026 (-.031, -.021)</w:t>
            </w:r>
          </w:p>
        </w:tc>
        <w:tc>
          <w:tcPr>
            <w:tcW w:w="622" w:type="pct"/>
            <w:tcBorders>
              <w:top w:val="nil"/>
              <w:left w:val="nil"/>
              <w:bottom w:val="nil"/>
              <w:right w:val="nil"/>
            </w:tcBorders>
            <w:shd w:val="clear" w:color="auto" w:fill="auto"/>
            <w:noWrap/>
            <w:vAlign w:val="center"/>
            <w:hideMark/>
          </w:tcPr>
          <w:p w14:paraId="383DCFB4"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-.050 (-.058, -.041)</w:t>
            </w:r>
          </w:p>
        </w:tc>
        <w:tc>
          <w:tcPr>
            <w:tcW w:w="622" w:type="pct"/>
            <w:tcBorders>
              <w:top w:val="nil"/>
              <w:left w:val="nil"/>
              <w:bottom w:val="nil"/>
              <w:right w:val="nil"/>
            </w:tcBorders>
            <w:shd w:val="clear" w:color="auto" w:fill="auto"/>
            <w:noWrap/>
            <w:vAlign w:val="center"/>
            <w:hideMark/>
          </w:tcPr>
          <w:p w14:paraId="3655F34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-.062 (-.072, -.050)</w:t>
            </w:r>
          </w:p>
        </w:tc>
        <w:tc>
          <w:tcPr>
            <w:tcW w:w="622" w:type="pct"/>
            <w:tcBorders>
              <w:top w:val="nil"/>
              <w:left w:val="nil"/>
              <w:bottom w:val="nil"/>
              <w:right w:val="nil"/>
            </w:tcBorders>
            <w:shd w:val="clear" w:color="auto" w:fill="auto"/>
            <w:noWrap/>
            <w:vAlign w:val="center"/>
            <w:hideMark/>
          </w:tcPr>
          <w:p w14:paraId="1A6297D4"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-.075 (-.091, -.059)</w:t>
            </w:r>
          </w:p>
        </w:tc>
        <w:tc>
          <w:tcPr>
            <w:tcW w:w="640" w:type="pct"/>
            <w:tcBorders>
              <w:top w:val="nil"/>
              <w:left w:val="nil"/>
              <w:bottom w:val="nil"/>
              <w:right w:val="nil"/>
            </w:tcBorders>
            <w:shd w:val="clear" w:color="auto" w:fill="auto"/>
            <w:noWrap/>
            <w:vAlign w:val="center"/>
            <w:hideMark/>
          </w:tcPr>
          <w:p w14:paraId="536759DC"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-.086 (-.108, -.065)</w:t>
            </w:r>
          </w:p>
        </w:tc>
        <w:tc>
          <w:tcPr>
            <w:tcW w:w="640" w:type="pct"/>
            <w:tcBorders>
              <w:top w:val="nil"/>
              <w:left w:val="nil"/>
              <w:bottom w:val="nil"/>
              <w:right w:val="nil"/>
            </w:tcBorders>
            <w:shd w:val="clear" w:color="auto" w:fill="auto"/>
            <w:noWrap/>
            <w:vAlign w:val="center"/>
            <w:hideMark/>
          </w:tcPr>
          <w:p w14:paraId="3EEF2F74"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-.104 (-.131, -.078)</w:t>
            </w:r>
          </w:p>
        </w:tc>
        <w:tc>
          <w:tcPr>
            <w:tcW w:w="621" w:type="pct"/>
            <w:tcBorders>
              <w:top w:val="nil"/>
              <w:left w:val="nil"/>
              <w:bottom w:val="nil"/>
              <w:right w:val="nil"/>
            </w:tcBorders>
            <w:shd w:val="clear" w:color="auto" w:fill="auto"/>
            <w:noWrap/>
            <w:vAlign w:val="center"/>
            <w:hideMark/>
          </w:tcPr>
          <w:p w14:paraId="78FC4982"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-.124 (-.157, -.090)</w:t>
            </w:r>
          </w:p>
        </w:tc>
      </w:tr>
      <w:tr w:rsidR="003640C9" w:rsidRPr="003640C9" w14:paraId="45A05D20" w14:textId="77777777" w:rsidTr="000C38AB">
        <w:trPr>
          <w:trHeight w:val="315"/>
        </w:trPr>
        <w:tc>
          <w:tcPr>
            <w:tcW w:w="611" w:type="pct"/>
            <w:tcBorders>
              <w:top w:val="nil"/>
              <w:left w:val="nil"/>
              <w:bottom w:val="nil"/>
              <w:right w:val="nil"/>
            </w:tcBorders>
            <w:shd w:val="clear" w:color="auto" w:fill="auto"/>
            <w:noWrap/>
            <w:vAlign w:val="center"/>
            <w:hideMark/>
          </w:tcPr>
          <w:p w14:paraId="7C6EAD00"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Logit</w:t>
            </w:r>
          </w:p>
        </w:tc>
        <w:tc>
          <w:tcPr>
            <w:tcW w:w="622" w:type="pct"/>
            <w:tcBorders>
              <w:top w:val="nil"/>
              <w:left w:val="nil"/>
              <w:bottom w:val="nil"/>
              <w:right w:val="nil"/>
            </w:tcBorders>
            <w:shd w:val="clear" w:color="auto" w:fill="auto"/>
            <w:noWrap/>
            <w:vAlign w:val="center"/>
            <w:hideMark/>
          </w:tcPr>
          <w:p w14:paraId="3CEFDF93"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 xml:space="preserve">-.024 (-.028, -.020) </w:t>
            </w:r>
          </w:p>
        </w:tc>
        <w:tc>
          <w:tcPr>
            <w:tcW w:w="622" w:type="pct"/>
            <w:tcBorders>
              <w:top w:val="nil"/>
              <w:left w:val="nil"/>
              <w:bottom w:val="nil"/>
              <w:right w:val="nil"/>
            </w:tcBorders>
            <w:shd w:val="clear" w:color="auto" w:fill="auto"/>
            <w:noWrap/>
            <w:vAlign w:val="center"/>
            <w:hideMark/>
          </w:tcPr>
          <w:p w14:paraId="5960D21C"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-.047 (-.051, -.044)</w:t>
            </w:r>
          </w:p>
        </w:tc>
        <w:tc>
          <w:tcPr>
            <w:tcW w:w="622" w:type="pct"/>
            <w:tcBorders>
              <w:top w:val="nil"/>
              <w:left w:val="nil"/>
              <w:bottom w:val="nil"/>
              <w:right w:val="nil"/>
            </w:tcBorders>
            <w:shd w:val="clear" w:color="auto" w:fill="auto"/>
            <w:noWrap/>
            <w:vAlign w:val="center"/>
            <w:hideMark/>
          </w:tcPr>
          <w:p w14:paraId="72694F7D"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-.060 (-.063, -.056)</w:t>
            </w:r>
          </w:p>
        </w:tc>
        <w:tc>
          <w:tcPr>
            <w:tcW w:w="622" w:type="pct"/>
            <w:tcBorders>
              <w:top w:val="nil"/>
              <w:left w:val="nil"/>
              <w:bottom w:val="nil"/>
              <w:right w:val="nil"/>
            </w:tcBorders>
            <w:shd w:val="clear" w:color="auto" w:fill="auto"/>
            <w:noWrap/>
            <w:vAlign w:val="center"/>
            <w:hideMark/>
          </w:tcPr>
          <w:p w14:paraId="4D1B6E03"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-.074 (-.078, -.071)</w:t>
            </w:r>
          </w:p>
        </w:tc>
        <w:tc>
          <w:tcPr>
            <w:tcW w:w="640" w:type="pct"/>
            <w:tcBorders>
              <w:top w:val="nil"/>
              <w:left w:val="nil"/>
              <w:bottom w:val="nil"/>
              <w:right w:val="nil"/>
            </w:tcBorders>
            <w:shd w:val="clear" w:color="auto" w:fill="auto"/>
            <w:noWrap/>
            <w:vAlign w:val="center"/>
            <w:hideMark/>
          </w:tcPr>
          <w:p w14:paraId="30584FD1"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-.085 (-.090, -.081)</w:t>
            </w:r>
          </w:p>
        </w:tc>
        <w:tc>
          <w:tcPr>
            <w:tcW w:w="640" w:type="pct"/>
            <w:tcBorders>
              <w:top w:val="nil"/>
              <w:left w:val="nil"/>
              <w:bottom w:val="nil"/>
              <w:right w:val="nil"/>
            </w:tcBorders>
            <w:shd w:val="clear" w:color="auto" w:fill="auto"/>
            <w:noWrap/>
            <w:vAlign w:val="center"/>
            <w:hideMark/>
          </w:tcPr>
          <w:p w14:paraId="46FADFE3"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-.103 (-.108, -.096)</w:t>
            </w:r>
          </w:p>
        </w:tc>
        <w:tc>
          <w:tcPr>
            <w:tcW w:w="621" w:type="pct"/>
            <w:tcBorders>
              <w:top w:val="nil"/>
              <w:left w:val="nil"/>
              <w:bottom w:val="nil"/>
              <w:right w:val="nil"/>
            </w:tcBorders>
            <w:shd w:val="clear" w:color="auto" w:fill="auto"/>
            <w:noWrap/>
            <w:vAlign w:val="center"/>
            <w:hideMark/>
          </w:tcPr>
          <w:p w14:paraId="216BF4F0"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-.122 (-.128, -.117)</w:t>
            </w:r>
          </w:p>
        </w:tc>
      </w:tr>
      <w:tr w:rsidR="003640C9" w:rsidRPr="003640C9" w14:paraId="15BD8CE6" w14:textId="77777777" w:rsidTr="000C38AB">
        <w:trPr>
          <w:trHeight w:val="315"/>
        </w:trPr>
        <w:tc>
          <w:tcPr>
            <w:tcW w:w="611" w:type="pct"/>
            <w:tcBorders>
              <w:top w:val="nil"/>
              <w:left w:val="nil"/>
              <w:bottom w:val="nil"/>
              <w:right w:val="nil"/>
            </w:tcBorders>
            <w:shd w:val="clear" w:color="auto" w:fill="auto"/>
            <w:noWrap/>
            <w:vAlign w:val="center"/>
            <w:hideMark/>
          </w:tcPr>
          <w:p w14:paraId="3421687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Mental health</w:t>
            </w:r>
          </w:p>
        </w:tc>
        <w:tc>
          <w:tcPr>
            <w:tcW w:w="622" w:type="pct"/>
            <w:tcBorders>
              <w:top w:val="nil"/>
              <w:left w:val="nil"/>
              <w:bottom w:val="nil"/>
              <w:right w:val="nil"/>
            </w:tcBorders>
            <w:shd w:val="clear" w:color="auto" w:fill="auto"/>
            <w:noWrap/>
            <w:vAlign w:val="center"/>
            <w:hideMark/>
          </w:tcPr>
          <w:p w14:paraId="00B1A741"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p>
        </w:tc>
        <w:tc>
          <w:tcPr>
            <w:tcW w:w="622" w:type="pct"/>
            <w:tcBorders>
              <w:top w:val="nil"/>
              <w:left w:val="nil"/>
              <w:bottom w:val="nil"/>
              <w:right w:val="nil"/>
            </w:tcBorders>
            <w:shd w:val="clear" w:color="auto" w:fill="auto"/>
            <w:noWrap/>
            <w:vAlign w:val="center"/>
            <w:hideMark/>
          </w:tcPr>
          <w:p w14:paraId="3A6A0C0E"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115D4BB5"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432E1CCB"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5B1380DF"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1643BEC9"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1" w:type="pct"/>
            <w:tcBorders>
              <w:top w:val="nil"/>
              <w:left w:val="nil"/>
              <w:bottom w:val="nil"/>
              <w:right w:val="nil"/>
            </w:tcBorders>
            <w:shd w:val="clear" w:color="auto" w:fill="auto"/>
            <w:noWrap/>
            <w:vAlign w:val="center"/>
            <w:hideMark/>
          </w:tcPr>
          <w:p w14:paraId="3FFADB58"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r>
      <w:tr w:rsidR="003640C9" w:rsidRPr="003640C9" w14:paraId="2E6144A4" w14:textId="77777777" w:rsidTr="000C38AB">
        <w:trPr>
          <w:trHeight w:val="315"/>
        </w:trPr>
        <w:tc>
          <w:tcPr>
            <w:tcW w:w="611" w:type="pct"/>
            <w:tcBorders>
              <w:top w:val="nil"/>
              <w:left w:val="nil"/>
              <w:bottom w:val="nil"/>
              <w:right w:val="nil"/>
            </w:tcBorders>
            <w:shd w:val="clear" w:color="auto" w:fill="auto"/>
            <w:noWrap/>
            <w:vAlign w:val="center"/>
            <w:hideMark/>
          </w:tcPr>
          <w:p w14:paraId="23D30370"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Linear</w:t>
            </w:r>
          </w:p>
        </w:tc>
        <w:tc>
          <w:tcPr>
            <w:tcW w:w="622" w:type="pct"/>
            <w:tcBorders>
              <w:top w:val="nil"/>
              <w:left w:val="nil"/>
              <w:bottom w:val="nil"/>
              <w:right w:val="nil"/>
            </w:tcBorders>
            <w:shd w:val="clear" w:color="auto" w:fill="auto"/>
            <w:noWrap/>
            <w:vAlign w:val="center"/>
            <w:hideMark/>
          </w:tcPr>
          <w:p w14:paraId="713795C8"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-.018 (-.021, -.013)</w:t>
            </w:r>
          </w:p>
        </w:tc>
        <w:tc>
          <w:tcPr>
            <w:tcW w:w="622" w:type="pct"/>
            <w:tcBorders>
              <w:top w:val="nil"/>
              <w:left w:val="nil"/>
              <w:bottom w:val="nil"/>
              <w:right w:val="nil"/>
            </w:tcBorders>
            <w:shd w:val="clear" w:color="auto" w:fill="auto"/>
            <w:noWrap/>
            <w:vAlign w:val="center"/>
            <w:hideMark/>
          </w:tcPr>
          <w:p w14:paraId="7C7A1F6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-.034 (-.042, -.026)</w:t>
            </w:r>
          </w:p>
        </w:tc>
        <w:tc>
          <w:tcPr>
            <w:tcW w:w="622" w:type="pct"/>
            <w:tcBorders>
              <w:top w:val="nil"/>
              <w:left w:val="nil"/>
              <w:bottom w:val="nil"/>
              <w:right w:val="nil"/>
            </w:tcBorders>
            <w:shd w:val="clear" w:color="auto" w:fill="auto"/>
            <w:noWrap/>
            <w:vAlign w:val="center"/>
            <w:hideMark/>
          </w:tcPr>
          <w:p w14:paraId="74139518"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-.039 (-.049, -.029)</w:t>
            </w:r>
          </w:p>
        </w:tc>
        <w:tc>
          <w:tcPr>
            <w:tcW w:w="622" w:type="pct"/>
            <w:tcBorders>
              <w:top w:val="nil"/>
              <w:left w:val="nil"/>
              <w:bottom w:val="nil"/>
              <w:right w:val="nil"/>
            </w:tcBorders>
            <w:shd w:val="clear" w:color="auto" w:fill="auto"/>
            <w:noWrap/>
            <w:vAlign w:val="center"/>
            <w:hideMark/>
          </w:tcPr>
          <w:p w14:paraId="2E4BC277"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-.053 (-.069, -.038)</w:t>
            </w:r>
          </w:p>
        </w:tc>
        <w:tc>
          <w:tcPr>
            <w:tcW w:w="640" w:type="pct"/>
            <w:tcBorders>
              <w:top w:val="nil"/>
              <w:left w:val="nil"/>
              <w:bottom w:val="nil"/>
              <w:right w:val="nil"/>
            </w:tcBorders>
            <w:shd w:val="clear" w:color="auto" w:fill="auto"/>
            <w:noWrap/>
            <w:vAlign w:val="center"/>
            <w:hideMark/>
          </w:tcPr>
          <w:p w14:paraId="2B7015BD"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-.060 (-.079, -.041)</w:t>
            </w:r>
          </w:p>
        </w:tc>
        <w:tc>
          <w:tcPr>
            <w:tcW w:w="640" w:type="pct"/>
            <w:tcBorders>
              <w:top w:val="nil"/>
              <w:left w:val="nil"/>
              <w:bottom w:val="nil"/>
              <w:right w:val="nil"/>
            </w:tcBorders>
            <w:shd w:val="clear" w:color="auto" w:fill="auto"/>
            <w:noWrap/>
            <w:vAlign w:val="center"/>
            <w:hideMark/>
          </w:tcPr>
          <w:p w14:paraId="05FECA95"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-.072 (-.097, -.047)</w:t>
            </w:r>
          </w:p>
        </w:tc>
        <w:tc>
          <w:tcPr>
            <w:tcW w:w="621" w:type="pct"/>
            <w:tcBorders>
              <w:top w:val="nil"/>
              <w:left w:val="nil"/>
              <w:bottom w:val="nil"/>
              <w:right w:val="nil"/>
            </w:tcBorders>
            <w:shd w:val="clear" w:color="auto" w:fill="auto"/>
            <w:noWrap/>
            <w:vAlign w:val="center"/>
            <w:hideMark/>
          </w:tcPr>
          <w:p w14:paraId="1AAE5E38"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-.086 (-.117, -.056)</w:t>
            </w:r>
          </w:p>
        </w:tc>
      </w:tr>
      <w:tr w:rsidR="003640C9" w:rsidRPr="003640C9" w14:paraId="5F5C2662" w14:textId="77777777" w:rsidTr="000C38AB">
        <w:trPr>
          <w:trHeight w:val="315"/>
        </w:trPr>
        <w:tc>
          <w:tcPr>
            <w:tcW w:w="611" w:type="pct"/>
            <w:tcBorders>
              <w:top w:val="nil"/>
              <w:left w:val="nil"/>
              <w:bottom w:val="nil"/>
              <w:right w:val="nil"/>
            </w:tcBorders>
            <w:shd w:val="clear" w:color="auto" w:fill="auto"/>
            <w:noWrap/>
            <w:vAlign w:val="center"/>
            <w:hideMark/>
          </w:tcPr>
          <w:p w14:paraId="64930731"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Logit</w:t>
            </w:r>
          </w:p>
        </w:tc>
        <w:tc>
          <w:tcPr>
            <w:tcW w:w="622" w:type="pct"/>
            <w:tcBorders>
              <w:top w:val="nil"/>
              <w:left w:val="nil"/>
              <w:bottom w:val="nil"/>
              <w:right w:val="nil"/>
            </w:tcBorders>
            <w:shd w:val="clear" w:color="auto" w:fill="auto"/>
            <w:noWrap/>
            <w:vAlign w:val="center"/>
            <w:hideMark/>
          </w:tcPr>
          <w:p w14:paraId="7787C4CE"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-.017 (-.021, -.014)</w:t>
            </w:r>
          </w:p>
        </w:tc>
        <w:tc>
          <w:tcPr>
            <w:tcW w:w="622" w:type="pct"/>
            <w:tcBorders>
              <w:top w:val="nil"/>
              <w:left w:val="nil"/>
              <w:bottom w:val="nil"/>
              <w:right w:val="nil"/>
            </w:tcBorders>
            <w:shd w:val="clear" w:color="auto" w:fill="auto"/>
            <w:noWrap/>
            <w:vAlign w:val="center"/>
            <w:hideMark/>
          </w:tcPr>
          <w:p w14:paraId="2E960328"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-.033 (-.036, -.030)</w:t>
            </w:r>
          </w:p>
        </w:tc>
        <w:tc>
          <w:tcPr>
            <w:tcW w:w="622" w:type="pct"/>
            <w:tcBorders>
              <w:top w:val="nil"/>
              <w:left w:val="nil"/>
              <w:bottom w:val="nil"/>
              <w:right w:val="nil"/>
            </w:tcBorders>
            <w:shd w:val="clear" w:color="auto" w:fill="auto"/>
            <w:noWrap/>
            <w:vAlign w:val="center"/>
            <w:hideMark/>
          </w:tcPr>
          <w:p w14:paraId="4C03D3CC"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-.037 (-.041, -.034)</w:t>
            </w:r>
          </w:p>
        </w:tc>
        <w:tc>
          <w:tcPr>
            <w:tcW w:w="622" w:type="pct"/>
            <w:tcBorders>
              <w:top w:val="nil"/>
              <w:left w:val="nil"/>
              <w:bottom w:val="nil"/>
              <w:right w:val="nil"/>
            </w:tcBorders>
            <w:shd w:val="clear" w:color="auto" w:fill="auto"/>
            <w:noWrap/>
            <w:vAlign w:val="center"/>
            <w:hideMark/>
          </w:tcPr>
          <w:p w14:paraId="49E110C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 xml:space="preserve">-.053 (-.056, -.050) </w:t>
            </w:r>
          </w:p>
        </w:tc>
        <w:tc>
          <w:tcPr>
            <w:tcW w:w="640" w:type="pct"/>
            <w:tcBorders>
              <w:top w:val="nil"/>
              <w:left w:val="nil"/>
              <w:bottom w:val="nil"/>
              <w:right w:val="nil"/>
            </w:tcBorders>
            <w:shd w:val="clear" w:color="auto" w:fill="auto"/>
            <w:noWrap/>
            <w:vAlign w:val="center"/>
            <w:hideMark/>
          </w:tcPr>
          <w:p w14:paraId="5A4D69B3"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-.060 (-.064, -.056)</w:t>
            </w:r>
          </w:p>
        </w:tc>
        <w:tc>
          <w:tcPr>
            <w:tcW w:w="640" w:type="pct"/>
            <w:tcBorders>
              <w:top w:val="nil"/>
              <w:left w:val="nil"/>
              <w:bottom w:val="nil"/>
              <w:right w:val="nil"/>
            </w:tcBorders>
            <w:shd w:val="clear" w:color="auto" w:fill="auto"/>
            <w:noWrap/>
            <w:vAlign w:val="center"/>
            <w:hideMark/>
          </w:tcPr>
          <w:p w14:paraId="66DCD5D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-.071 (-.075, -.066)</w:t>
            </w:r>
          </w:p>
        </w:tc>
        <w:tc>
          <w:tcPr>
            <w:tcW w:w="621" w:type="pct"/>
            <w:tcBorders>
              <w:top w:val="nil"/>
              <w:left w:val="nil"/>
              <w:bottom w:val="nil"/>
              <w:right w:val="nil"/>
            </w:tcBorders>
            <w:shd w:val="clear" w:color="auto" w:fill="auto"/>
            <w:noWrap/>
            <w:vAlign w:val="center"/>
            <w:hideMark/>
          </w:tcPr>
          <w:p w14:paraId="41045C77"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-.087 (-.091, -.082)</w:t>
            </w:r>
          </w:p>
        </w:tc>
      </w:tr>
      <w:tr w:rsidR="003640C9" w:rsidRPr="003640C9" w14:paraId="0E15D841" w14:textId="77777777" w:rsidTr="000C38AB">
        <w:trPr>
          <w:trHeight w:val="315"/>
        </w:trPr>
        <w:tc>
          <w:tcPr>
            <w:tcW w:w="611" w:type="pct"/>
            <w:tcBorders>
              <w:top w:val="nil"/>
              <w:left w:val="nil"/>
              <w:bottom w:val="nil"/>
              <w:right w:val="nil"/>
            </w:tcBorders>
            <w:shd w:val="clear" w:color="auto" w:fill="auto"/>
            <w:noWrap/>
            <w:vAlign w:val="center"/>
            <w:hideMark/>
          </w:tcPr>
          <w:p w14:paraId="6D395FAE"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Somatic health</w:t>
            </w:r>
          </w:p>
        </w:tc>
        <w:tc>
          <w:tcPr>
            <w:tcW w:w="622" w:type="pct"/>
            <w:tcBorders>
              <w:top w:val="nil"/>
              <w:left w:val="nil"/>
              <w:bottom w:val="nil"/>
              <w:right w:val="nil"/>
            </w:tcBorders>
            <w:shd w:val="clear" w:color="auto" w:fill="auto"/>
            <w:noWrap/>
            <w:vAlign w:val="center"/>
            <w:hideMark/>
          </w:tcPr>
          <w:p w14:paraId="4D188D7F"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p>
        </w:tc>
        <w:tc>
          <w:tcPr>
            <w:tcW w:w="622" w:type="pct"/>
            <w:tcBorders>
              <w:top w:val="nil"/>
              <w:left w:val="nil"/>
              <w:bottom w:val="nil"/>
              <w:right w:val="nil"/>
            </w:tcBorders>
            <w:shd w:val="clear" w:color="auto" w:fill="auto"/>
            <w:noWrap/>
            <w:vAlign w:val="center"/>
            <w:hideMark/>
          </w:tcPr>
          <w:p w14:paraId="41F92192"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0D89AF1D"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760FB38A"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5367A453"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4A17F345"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1" w:type="pct"/>
            <w:tcBorders>
              <w:top w:val="nil"/>
              <w:left w:val="nil"/>
              <w:bottom w:val="nil"/>
              <w:right w:val="nil"/>
            </w:tcBorders>
            <w:shd w:val="clear" w:color="auto" w:fill="auto"/>
            <w:noWrap/>
            <w:vAlign w:val="center"/>
            <w:hideMark/>
          </w:tcPr>
          <w:p w14:paraId="13DC8638"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r>
      <w:tr w:rsidR="003640C9" w:rsidRPr="003640C9" w14:paraId="0C05D979" w14:textId="77777777" w:rsidTr="000C38AB">
        <w:trPr>
          <w:trHeight w:val="315"/>
        </w:trPr>
        <w:tc>
          <w:tcPr>
            <w:tcW w:w="611" w:type="pct"/>
            <w:tcBorders>
              <w:top w:val="nil"/>
              <w:left w:val="nil"/>
              <w:bottom w:val="nil"/>
              <w:right w:val="nil"/>
            </w:tcBorders>
            <w:shd w:val="clear" w:color="auto" w:fill="auto"/>
            <w:noWrap/>
            <w:vAlign w:val="center"/>
            <w:hideMark/>
          </w:tcPr>
          <w:p w14:paraId="7715FB25"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Linear</w:t>
            </w:r>
          </w:p>
        </w:tc>
        <w:tc>
          <w:tcPr>
            <w:tcW w:w="622" w:type="pct"/>
            <w:tcBorders>
              <w:top w:val="nil"/>
              <w:left w:val="nil"/>
              <w:bottom w:val="nil"/>
              <w:right w:val="nil"/>
            </w:tcBorders>
            <w:shd w:val="clear" w:color="auto" w:fill="auto"/>
            <w:noWrap/>
            <w:vAlign w:val="center"/>
            <w:hideMark/>
          </w:tcPr>
          <w:p w14:paraId="2150A9DD"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-.039 (-.047, -.031)</w:t>
            </w:r>
          </w:p>
        </w:tc>
        <w:tc>
          <w:tcPr>
            <w:tcW w:w="622" w:type="pct"/>
            <w:tcBorders>
              <w:top w:val="nil"/>
              <w:left w:val="nil"/>
              <w:bottom w:val="nil"/>
              <w:right w:val="nil"/>
            </w:tcBorders>
            <w:shd w:val="clear" w:color="auto" w:fill="auto"/>
            <w:noWrap/>
            <w:vAlign w:val="center"/>
            <w:hideMark/>
          </w:tcPr>
          <w:p w14:paraId="2E913AA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-.067 (-.077, -.057)</w:t>
            </w:r>
          </w:p>
        </w:tc>
        <w:tc>
          <w:tcPr>
            <w:tcW w:w="622" w:type="pct"/>
            <w:tcBorders>
              <w:top w:val="nil"/>
              <w:left w:val="nil"/>
              <w:bottom w:val="nil"/>
              <w:right w:val="nil"/>
            </w:tcBorders>
            <w:shd w:val="clear" w:color="auto" w:fill="auto"/>
            <w:noWrap/>
            <w:vAlign w:val="center"/>
            <w:hideMark/>
          </w:tcPr>
          <w:p w14:paraId="148421CA"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-.080 (-.093, -.066)</w:t>
            </w:r>
          </w:p>
        </w:tc>
        <w:tc>
          <w:tcPr>
            <w:tcW w:w="622" w:type="pct"/>
            <w:tcBorders>
              <w:top w:val="nil"/>
              <w:left w:val="nil"/>
              <w:bottom w:val="nil"/>
              <w:right w:val="nil"/>
            </w:tcBorders>
            <w:shd w:val="clear" w:color="auto" w:fill="auto"/>
            <w:noWrap/>
            <w:vAlign w:val="center"/>
            <w:hideMark/>
          </w:tcPr>
          <w:p w14:paraId="2C11054C"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-.097 (-.115, -.078)</w:t>
            </w:r>
          </w:p>
        </w:tc>
        <w:tc>
          <w:tcPr>
            <w:tcW w:w="640" w:type="pct"/>
            <w:tcBorders>
              <w:top w:val="nil"/>
              <w:left w:val="nil"/>
              <w:bottom w:val="nil"/>
              <w:right w:val="nil"/>
            </w:tcBorders>
            <w:shd w:val="clear" w:color="auto" w:fill="auto"/>
            <w:noWrap/>
            <w:vAlign w:val="center"/>
            <w:hideMark/>
          </w:tcPr>
          <w:p w14:paraId="2404EFF4"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-.114, (-.138, -.091)</w:t>
            </w:r>
          </w:p>
        </w:tc>
        <w:tc>
          <w:tcPr>
            <w:tcW w:w="640" w:type="pct"/>
            <w:tcBorders>
              <w:top w:val="nil"/>
              <w:left w:val="nil"/>
              <w:bottom w:val="nil"/>
              <w:right w:val="nil"/>
            </w:tcBorders>
            <w:shd w:val="clear" w:color="auto" w:fill="auto"/>
            <w:noWrap/>
            <w:vAlign w:val="center"/>
            <w:hideMark/>
          </w:tcPr>
          <w:p w14:paraId="6C763815"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-.135, (-.168, -.103)</w:t>
            </w:r>
          </w:p>
        </w:tc>
        <w:tc>
          <w:tcPr>
            <w:tcW w:w="621" w:type="pct"/>
            <w:tcBorders>
              <w:top w:val="nil"/>
              <w:left w:val="nil"/>
              <w:bottom w:val="nil"/>
              <w:right w:val="nil"/>
            </w:tcBorders>
            <w:shd w:val="clear" w:color="auto" w:fill="auto"/>
            <w:noWrap/>
            <w:vAlign w:val="center"/>
            <w:hideMark/>
          </w:tcPr>
          <w:p w14:paraId="0E5272AC"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-.160 (-.200, -.120)</w:t>
            </w:r>
          </w:p>
        </w:tc>
      </w:tr>
      <w:tr w:rsidR="003640C9" w:rsidRPr="003640C9" w14:paraId="7A36E14F" w14:textId="77777777" w:rsidTr="000C38AB">
        <w:trPr>
          <w:trHeight w:val="315"/>
        </w:trPr>
        <w:tc>
          <w:tcPr>
            <w:tcW w:w="611" w:type="pct"/>
            <w:tcBorders>
              <w:top w:val="nil"/>
              <w:left w:val="nil"/>
              <w:bottom w:val="nil"/>
              <w:right w:val="nil"/>
            </w:tcBorders>
            <w:shd w:val="clear" w:color="auto" w:fill="auto"/>
            <w:noWrap/>
            <w:vAlign w:val="center"/>
            <w:hideMark/>
          </w:tcPr>
          <w:p w14:paraId="5774B825"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Logit</w:t>
            </w:r>
          </w:p>
        </w:tc>
        <w:tc>
          <w:tcPr>
            <w:tcW w:w="622" w:type="pct"/>
            <w:tcBorders>
              <w:top w:val="nil"/>
              <w:left w:val="nil"/>
              <w:bottom w:val="nil"/>
              <w:right w:val="nil"/>
            </w:tcBorders>
            <w:shd w:val="clear" w:color="auto" w:fill="auto"/>
            <w:noWrap/>
            <w:vAlign w:val="center"/>
            <w:hideMark/>
          </w:tcPr>
          <w:p w14:paraId="33C93E55"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-.037 (-.043, -.032)</w:t>
            </w:r>
          </w:p>
        </w:tc>
        <w:tc>
          <w:tcPr>
            <w:tcW w:w="622" w:type="pct"/>
            <w:tcBorders>
              <w:top w:val="nil"/>
              <w:left w:val="nil"/>
              <w:bottom w:val="nil"/>
              <w:right w:val="nil"/>
            </w:tcBorders>
            <w:shd w:val="clear" w:color="auto" w:fill="auto"/>
            <w:noWrap/>
            <w:vAlign w:val="center"/>
            <w:hideMark/>
          </w:tcPr>
          <w:p w14:paraId="4A690304"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-.066 (-.071, -.061)</w:t>
            </w:r>
          </w:p>
        </w:tc>
        <w:tc>
          <w:tcPr>
            <w:tcW w:w="622" w:type="pct"/>
            <w:tcBorders>
              <w:top w:val="nil"/>
              <w:left w:val="nil"/>
              <w:bottom w:val="nil"/>
              <w:right w:val="nil"/>
            </w:tcBorders>
            <w:shd w:val="clear" w:color="auto" w:fill="auto"/>
            <w:noWrap/>
            <w:vAlign w:val="center"/>
            <w:hideMark/>
          </w:tcPr>
          <w:p w14:paraId="39A59CE0"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-.080 (-.085, -.074)</w:t>
            </w:r>
          </w:p>
        </w:tc>
        <w:tc>
          <w:tcPr>
            <w:tcW w:w="622" w:type="pct"/>
            <w:tcBorders>
              <w:top w:val="nil"/>
              <w:left w:val="nil"/>
              <w:bottom w:val="nil"/>
              <w:right w:val="nil"/>
            </w:tcBorders>
            <w:shd w:val="clear" w:color="auto" w:fill="auto"/>
            <w:noWrap/>
            <w:vAlign w:val="center"/>
            <w:hideMark/>
          </w:tcPr>
          <w:p w14:paraId="218010D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-.096 (-.102, -.090)</w:t>
            </w:r>
          </w:p>
        </w:tc>
        <w:tc>
          <w:tcPr>
            <w:tcW w:w="640" w:type="pct"/>
            <w:tcBorders>
              <w:top w:val="nil"/>
              <w:left w:val="nil"/>
              <w:bottom w:val="nil"/>
              <w:right w:val="nil"/>
            </w:tcBorders>
            <w:shd w:val="clear" w:color="auto" w:fill="auto"/>
            <w:noWrap/>
            <w:vAlign w:val="center"/>
            <w:hideMark/>
          </w:tcPr>
          <w:p w14:paraId="491315A5"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-.109 (-.116, -.103)</w:t>
            </w:r>
          </w:p>
        </w:tc>
        <w:tc>
          <w:tcPr>
            <w:tcW w:w="640" w:type="pct"/>
            <w:tcBorders>
              <w:top w:val="nil"/>
              <w:left w:val="nil"/>
              <w:bottom w:val="nil"/>
              <w:right w:val="nil"/>
            </w:tcBorders>
            <w:shd w:val="clear" w:color="auto" w:fill="auto"/>
            <w:noWrap/>
            <w:vAlign w:val="center"/>
            <w:hideMark/>
          </w:tcPr>
          <w:p w14:paraId="7C32395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-.130 (-.137, -.122)</w:t>
            </w:r>
          </w:p>
        </w:tc>
        <w:tc>
          <w:tcPr>
            <w:tcW w:w="621" w:type="pct"/>
            <w:tcBorders>
              <w:top w:val="nil"/>
              <w:left w:val="nil"/>
              <w:bottom w:val="nil"/>
              <w:right w:val="nil"/>
            </w:tcBorders>
            <w:shd w:val="clear" w:color="auto" w:fill="auto"/>
            <w:noWrap/>
            <w:vAlign w:val="center"/>
            <w:hideMark/>
          </w:tcPr>
          <w:p w14:paraId="2DCF0671"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-.155 (-.162, -.147)</w:t>
            </w:r>
          </w:p>
        </w:tc>
      </w:tr>
      <w:tr w:rsidR="003640C9" w:rsidRPr="003640C9" w14:paraId="57FE18D2" w14:textId="77777777" w:rsidTr="000C38AB">
        <w:trPr>
          <w:trHeight w:val="315"/>
        </w:trPr>
        <w:tc>
          <w:tcPr>
            <w:tcW w:w="611" w:type="pct"/>
            <w:tcBorders>
              <w:top w:val="nil"/>
              <w:left w:val="nil"/>
              <w:bottom w:val="nil"/>
              <w:right w:val="nil"/>
            </w:tcBorders>
            <w:shd w:val="clear" w:color="auto" w:fill="auto"/>
            <w:noWrap/>
            <w:vAlign w:val="center"/>
            <w:hideMark/>
          </w:tcPr>
          <w:p w14:paraId="266E7FBF"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Crime</w:t>
            </w:r>
          </w:p>
        </w:tc>
        <w:tc>
          <w:tcPr>
            <w:tcW w:w="622" w:type="pct"/>
            <w:tcBorders>
              <w:top w:val="nil"/>
              <w:left w:val="nil"/>
              <w:bottom w:val="nil"/>
              <w:right w:val="nil"/>
            </w:tcBorders>
            <w:shd w:val="clear" w:color="auto" w:fill="auto"/>
            <w:noWrap/>
            <w:vAlign w:val="center"/>
            <w:hideMark/>
          </w:tcPr>
          <w:p w14:paraId="7827998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p>
        </w:tc>
        <w:tc>
          <w:tcPr>
            <w:tcW w:w="622" w:type="pct"/>
            <w:tcBorders>
              <w:top w:val="nil"/>
              <w:left w:val="nil"/>
              <w:bottom w:val="nil"/>
              <w:right w:val="nil"/>
            </w:tcBorders>
            <w:shd w:val="clear" w:color="auto" w:fill="auto"/>
            <w:noWrap/>
            <w:vAlign w:val="center"/>
            <w:hideMark/>
          </w:tcPr>
          <w:p w14:paraId="2239B366"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1AA42480"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2" w:type="pct"/>
            <w:tcBorders>
              <w:top w:val="nil"/>
              <w:left w:val="nil"/>
              <w:bottom w:val="nil"/>
              <w:right w:val="nil"/>
            </w:tcBorders>
            <w:shd w:val="clear" w:color="auto" w:fill="auto"/>
            <w:noWrap/>
            <w:vAlign w:val="center"/>
            <w:hideMark/>
          </w:tcPr>
          <w:p w14:paraId="2619112D"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2AB4BA8C"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40" w:type="pct"/>
            <w:tcBorders>
              <w:top w:val="nil"/>
              <w:left w:val="nil"/>
              <w:bottom w:val="nil"/>
              <w:right w:val="nil"/>
            </w:tcBorders>
            <w:shd w:val="clear" w:color="auto" w:fill="auto"/>
            <w:noWrap/>
            <w:vAlign w:val="center"/>
            <w:hideMark/>
          </w:tcPr>
          <w:p w14:paraId="72656679"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c>
          <w:tcPr>
            <w:tcW w:w="621" w:type="pct"/>
            <w:tcBorders>
              <w:top w:val="nil"/>
              <w:left w:val="nil"/>
              <w:bottom w:val="nil"/>
              <w:right w:val="nil"/>
            </w:tcBorders>
            <w:shd w:val="clear" w:color="auto" w:fill="auto"/>
            <w:noWrap/>
            <w:vAlign w:val="center"/>
            <w:hideMark/>
          </w:tcPr>
          <w:p w14:paraId="37191317" w14:textId="77777777" w:rsidR="003640C9" w:rsidRPr="003640C9" w:rsidRDefault="003640C9" w:rsidP="003640C9">
            <w:pPr>
              <w:spacing w:after="0" w:line="240" w:lineRule="auto"/>
              <w:rPr>
                <w:rFonts w:ascii="Times New Roman" w:eastAsia="Times New Roman" w:hAnsi="Times New Roman" w:cs="Times New Roman"/>
                <w:kern w:val="0"/>
                <w:sz w:val="18"/>
                <w:szCs w:val="18"/>
                <w14:ligatures w14:val="none"/>
              </w:rPr>
            </w:pPr>
          </w:p>
        </w:tc>
      </w:tr>
      <w:tr w:rsidR="003640C9" w:rsidRPr="003640C9" w14:paraId="6E565DA3" w14:textId="77777777" w:rsidTr="000C38AB">
        <w:trPr>
          <w:trHeight w:val="315"/>
        </w:trPr>
        <w:tc>
          <w:tcPr>
            <w:tcW w:w="611" w:type="pct"/>
            <w:tcBorders>
              <w:top w:val="nil"/>
              <w:left w:val="nil"/>
              <w:bottom w:val="nil"/>
              <w:right w:val="nil"/>
            </w:tcBorders>
            <w:shd w:val="clear" w:color="auto" w:fill="auto"/>
            <w:noWrap/>
            <w:vAlign w:val="center"/>
            <w:hideMark/>
          </w:tcPr>
          <w:p w14:paraId="4A0B045C"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Linear</w:t>
            </w:r>
          </w:p>
        </w:tc>
        <w:tc>
          <w:tcPr>
            <w:tcW w:w="622" w:type="pct"/>
            <w:tcBorders>
              <w:top w:val="nil"/>
              <w:left w:val="nil"/>
              <w:bottom w:val="nil"/>
              <w:right w:val="nil"/>
            </w:tcBorders>
            <w:shd w:val="clear" w:color="auto" w:fill="auto"/>
            <w:noWrap/>
            <w:vAlign w:val="center"/>
            <w:hideMark/>
          </w:tcPr>
          <w:p w14:paraId="23B30F9F"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-1.04 (-1.11, -.974)</w:t>
            </w:r>
          </w:p>
        </w:tc>
        <w:tc>
          <w:tcPr>
            <w:tcW w:w="622" w:type="pct"/>
            <w:tcBorders>
              <w:top w:val="nil"/>
              <w:left w:val="nil"/>
              <w:bottom w:val="nil"/>
              <w:right w:val="nil"/>
            </w:tcBorders>
            <w:shd w:val="clear" w:color="auto" w:fill="auto"/>
            <w:noWrap/>
            <w:vAlign w:val="center"/>
            <w:hideMark/>
          </w:tcPr>
          <w:p w14:paraId="276B0434"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-2.01 (-2.10, -1.93)</w:t>
            </w:r>
          </w:p>
        </w:tc>
        <w:tc>
          <w:tcPr>
            <w:tcW w:w="622" w:type="pct"/>
            <w:tcBorders>
              <w:top w:val="nil"/>
              <w:left w:val="nil"/>
              <w:bottom w:val="nil"/>
              <w:right w:val="nil"/>
            </w:tcBorders>
            <w:shd w:val="clear" w:color="auto" w:fill="auto"/>
            <w:noWrap/>
            <w:vAlign w:val="center"/>
            <w:hideMark/>
          </w:tcPr>
          <w:p w14:paraId="4F8D16A2"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-2.45 (-2.57, -2.33)</w:t>
            </w:r>
          </w:p>
        </w:tc>
        <w:tc>
          <w:tcPr>
            <w:tcW w:w="622" w:type="pct"/>
            <w:tcBorders>
              <w:top w:val="nil"/>
              <w:left w:val="nil"/>
              <w:bottom w:val="nil"/>
              <w:right w:val="nil"/>
            </w:tcBorders>
            <w:shd w:val="clear" w:color="auto" w:fill="auto"/>
            <w:noWrap/>
            <w:vAlign w:val="center"/>
            <w:hideMark/>
          </w:tcPr>
          <w:p w14:paraId="72AA133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-3.01 (-3.17, -2.86)</w:t>
            </w:r>
          </w:p>
        </w:tc>
        <w:tc>
          <w:tcPr>
            <w:tcW w:w="640" w:type="pct"/>
            <w:tcBorders>
              <w:top w:val="nil"/>
              <w:left w:val="nil"/>
              <w:bottom w:val="nil"/>
              <w:right w:val="nil"/>
            </w:tcBorders>
            <w:shd w:val="clear" w:color="auto" w:fill="auto"/>
            <w:noWrap/>
            <w:vAlign w:val="center"/>
            <w:hideMark/>
          </w:tcPr>
          <w:p w14:paraId="01B071C3"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-3.70 (-3.89, -3.50)</w:t>
            </w:r>
          </w:p>
        </w:tc>
        <w:tc>
          <w:tcPr>
            <w:tcW w:w="640" w:type="pct"/>
            <w:tcBorders>
              <w:top w:val="nil"/>
              <w:left w:val="nil"/>
              <w:bottom w:val="nil"/>
              <w:right w:val="nil"/>
            </w:tcBorders>
            <w:shd w:val="clear" w:color="auto" w:fill="auto"/>
            <w:noWrap/>
            <w:vAlign w:val="center"/>
            <w:hideMark/>
          </w:tcPr>
          <w:p w14:paraId="690909A6"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-4.49 (-4.74, -2.24)</w:t>
            </w:r>
          </w:p>
        </w:tc>
        <w:tc>
          <w:tcPr>
            <w:tcW w:w="621" w:type="pct"/>
            <w:tcBorders>
              <w:top w:val="nil"/>
              <w:left w:val="nil"/>
              <w:bottom w:val="nil"/>
              <w:right w:val="nil"/>
            </w:tcBorders>
            <w:shd w:val="clear" w:color="auto" w:fill="auto"/>
            <w:noWrap/>
            <w:vAlign w:val="center"/>
            <w:hideMark/>
          </w:tcPr>
          <w:p w14:paraId="1AC40DE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-5.42 (-5.72, -5.11)</w:t>
            </w:r>
          </w:p>
        </w:tc>
      </w:tr>
      <w:tr w:rsidR="003640C9" w:rsidRPr="003640C9" w14:paraId="1F46FD94" w14:textId="77777777" w:rsidTr="000C38AB">
        <w:trPr>
          <w:trHeight w:val="315"/>
        </w:trPr>
        <w:tc>
          <w:tcPr>
            <w:tcW w:w="611" w:type="pct"/>
            <w:tcBorders>
              <w:top w:val="nil"/>
              <w:left w:val="nil"/>
              <w:bottom w:val="single" w:sz="4" w:space="0" w:color="auto"/>
              <w:right w:val="nil"/>
            </w:tcBorders>
            <w:shd w:val="clear" w:color="auto" w:fill="auto"/>
            <w:noWrap/>
            <w:vAlign w:val="center"/>
            <w:hideMark/>
          </w:tcPr>
          <w:p w14:paraId="025326B0" w14:textId="77777777" w:rsidR="003640C9" w:rsidRPr="003640C9" w:rsidRDefault="003640C9" w:rsidP="003640C9">
            <w:pPr>
              <w:spacing w:after="0" w:line="240" w:lineRule="auto"/>
              <w:ind w:firstLineChars="100" w:firstLine="180"/>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Poisson</w:t>
            </w:r>
          </w:p>
        </w:tc>
        <w:tc>
          <w:tcPr>
            <w:tcW w:w="622" w:type="pct"/>
            <w:tcBorders>
              <w:top w:val="nil"/>
              <w:left w:val="nil"/>
              <w:bottom w:val="single" w:sz="4" w:space="0" w:color="auto"/>
              <w:right w:val="nil"/>
            </w:tcBorders>
            <w:shd w:val="clear" w:color="auto" w:fill="auto"/>
            <w:noWrap/>
            <w:vAlign w:val="center"/>
            <w:hideMark/>
          </w:tcPr>
          <w:p w14:paraId="4AFFD3C7"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-.753 (-.788, -.719)</w:t>
            </w:r>
          </w:p>
        </w:tc>
        <w:tc>
          <w:tcPr>
            <w:tcW w:w="622" w:type="pct"/>
            <w:tcBorders>
              <w:top w:val="nil"/>
              <w:left w:val="nil"/>
              <w:bottom w:val="single" w:sz="4" w:space="0" w:color="auto"/>
              <w:right w:val="nil"/>
            </w:tcBorders>
            <w:shd w:val="clear" w:color="auto" w:fill="auto"/>
            <w:noWrap/>
            <w:vAlign w:val="center"/>
            <w:hideMark/>
          </w:tcPr>
          <w:p w14:paraId="536C48B8"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-1.63 (-1.65, -1.60)</w:t>
            </w:r>
          </w:p>
        </w:tc>
        <w:tc>
          <w:tcPr>
            <w:tcW w:w="622" w:type="pct"/>
            <w:tcBorders>
              <w:top w:val="nil"/>
              <w:left w:val="nil"/>
              <w:bottom w:val="single" w:sz="4" w:space="0" w:color="auto"/>
              <w:right w:val="nil"/>
            </w:tcBorders>
            <w:shd w:val="clear" w:color="auto" w:fill="auto"/>
            <w:noWrap/>
            <w:vAlign w:val="center"/>
            <w:hideMark/>
          </w:tcPr>
          <w:p w14:paraId="7C2E9A00"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-2.03 (-2.06, -2.00)</w:t>
            </w:r>
          </w:p>
        </w:tc>
        <w:tc>
          <w:tcPr>
            <w:tcW w:w="622" w:type="pct"/>
            <w:tcBorders>
              <w:top w:val="nil"/>
              <w:left w:val="nil"/>
              <w:bottom w:val="single" w:sz="4" w:space="0" w:color="auto"/>
              <w:right w:val="nil"/>
            </w:tcBorders>
            <w:shd w:val="clear" w:color="auto" w:fill="auto"/>
            <w:noWrap/>
            <w:vAlign w:val="center"/>
            <w:hideMark/>
          </w:tcPr>
          <w:p w14:paraId="22D6E611"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-2.55 (-2.58, -2.52)</w:t>
            </w:r>
          </w:p>
        </w:tc>
        <w:tc>
          <w:tcPr>
            <w:tcW w:w="640" w:type="pct"/>
            <w:tcBorders>
              <w:top w:val="nil"/>
              <w:left w:val="nil"/>
              <w:bottom w:val="single" w:sz="4" w:space="0" w:color="auto"/>
              <w:right w:val="nil"/>
            </w:tcBorders>
            <w:shd w:val="clear" w:color="auto" w:fill="auto"/>
            <w:noWrap/>
            <w:vAlign w:val="center"/>
            <w:hideMark/>
          </w:tcPr>
          <w:p w14:paraId="2944DB97"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-3.18 (-3.21, -3.15)</w:t>
            </w:r>
          </w:p>
        </w:tc>
        <w:tc>
          <w:tcPr>
            <w:tcW w:w="640" w:type="pct"/>
            <w:tcBorders>
              <w:top w:val="nil"/>
              <w:left w:val="nil"/>
              <w:bottom w:val="single" w:sz="4" w:space="0" w:color="auto"/>
              <w:right w:val="nil"/>
            </w:tcBorders>
            <w:shd w:val="clear" w:color="auto" w:fill="auto"/>
            <w:noWrap/>
            <w:vAlign w:val="center"/>
            <w:hideMark/>
          </w:tcPr>
          <w:p w14:paraId="51A8F949"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-3.95 (-3.98, -3.92)</w:t>
            </w:r>
          </w:p>
        </w:tc>
        <w:tc>
          <w:tcPr>
            <w:tcW w:w="621" w:type="pct"/>
            <w:tcBorders>
              <w:top w:val="nil"/>
              <w:left w:val="nil"/>
              <w:bottom w:val="single" w:sz="4" w:space="0" w:color="auto"/>
              <w:right w:val="nil"/>
            </w:tcBorders>
            <w:shd w:val="clear" w:color="auto" w:fill="auto"/>
            <w:noWrap/>
            <w:vAlign w:val="center"/>
            <w:hideMark/>
          </w:tcPr>
          <w:p w14:paraId="5A703FA8" w14:textId="77777777" w:rsidR="003640C9" w:rsidRPr="003640C9" w:rsidRDefault="003640C9" w:rsidP="003640C9">
            <w:pPr>
              <w:spacing w:after="0" w:line="240" w:lineRule="auto"/>
              <w:rPr>
                <w:rFonts w:ascii="Arial" w:eastAsia="Times New Roman" w:hAnsi="Arial" w:cs="Arial"/>
                <w:color w:val="000000"/>
                <w:kern w:val="0"/>
                <w:sz w:val="18"/>
                <w:szCs w:val="18"/>
                <w14:ligatures w14:val="none"/>
              </w:rPr>
            </w:pPr>
            <w:r w:rsidRPr="003640C9">
              <w:rPr>
                <w:rFonts w:ascii="Arial" w:eastAsia="Times New Roman" w:hAnsi="Arial" w:cs="Arial"/>
                <w:color w:val="000000"/>
                <w:kern w:val="0"/>
                <w:sz w:val="18"/>
                <w:szCs w:val="18"/>
                <w14:ligatures w14:val="none"/>
              </w:rPr>
              <w:t>-4.86 (-4.89, -4.83)</w:t>
            </w:r>
          </w:p>
        </w:tc>
      </w:tr>
    </w:tbl>
    <w:p w14:paraId="3B61A7D5" w14:textId="77777777" w:rsidR="004510CF" w:rsidRDefault="004510CF">
      <w:pPr>
        <w:rPr>
          <w:rFonts w:ascii="Times New Roman" w:hAnsi="Times New Roman" w:cs="Times New Roman"/>
          <w:b/>
          <w:bCs/>
          <w:sz w:val="20"/>
          <w:szCs w:val="20"/>
        </w:rPr>
      </w:pPr>
    </w:p>
    <w:p w14:paraId="479688D2" w14:textId="77777777" w:rsidR="00485D2B" w:rsidRDefault="00485D2B">
      <w:pPr>
        <w:rPr>
          <w:rFonts w:ascii="Times New Roman" w:hAnsi="Times New Roman" w:cs="Times New Roman"/>
          <w:b/>
          <w:bCs/>
          <w:sz w:val="20"/>
          <w:szCs w:val="20"/>
        </w:rPr>
        <w:sectPr w:rsidR="00485D2B" w:rsidSect="004510CF">
          <w:pgSz w:w="15840" w:h="12240" w:orient="landscape"/>
          <w:pgMar w:top="1417" w:right="1417" w:bottom="1417" w:left="1417" w:header="708" w:footer="708" w:gutter="0"/>
          <w:cols w:space="708"/>
          <w:docGrid w:linePitch="360"/>
        </w:sectPr>
      </w:pPr>
    </w:p>
    <w:p w14:paraId="6DFCB125" w14:textId="522703EE" w:rsidR="0052224B" w:rsidRDefault="006C1487">
      <w:pPr>
        <w:rPr>
          <w:rFonts w:ascii="Times New Roman" w:hAnsi="Times New Roman" w:cs="Times New Roman"/>
          <w:b/>
          <w:bCs/>
          <w:sz w:val="20"/>
          <w:szCs w:val="20"/>
        </w:rPr>
      </w:pPr>
      <w:r>
        <w:rPr>
          <w:noProof/>
        </w:rPr>
        <w:lastRenderedPageBreak/>
        <w:drawing>
          <wp:inline distT="0" distB="0" distL="0" distR="0" wp14:anchorId="3DCEA185" wp14:editId="3B173FE9">
            <wp:extent cx="5970151" cy="4356000"/>
            <wp:effectExtent l="0" t="0" r="0" b="6985"/>
            <wp:docPr id="10" name="Picture 10" descr="A group of graphs showing different types of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graphs showing different types of health&#10;&#10;Description automatically generated"/>
                    <pic:cNvPicPr/>
                  </pic:nvPicPr>
                  <pic:blipFill>
                    <a:blip r:embed="rId11"/>
                    <a:stretch>
                      <a:fillRect/>
                    </a:stretch>
                  </pic:blipFill>
                  <pic:spPr>
                    <a:xfrm>
                      <a:off x="0" y="0"/>
                      <a:ext cx="5970151" cy="4356000"/>
                    </a:xfrm>
                    <a:prstGeom prst="rect">
                      <a:avLst/>
                    </a:prstGeom>
                  </pic:spPr>
                </pic:pic>
              </a:graphicData>
            </a:graphic>
          </wp:inline>
        </w:drawing>
      </w:r>
    </w:p>
    <w:p w14:paraId="25A45CCC" w14:textId="77777777" w:rsidR="0052224B" w:rsidRDefault="0052224B">
      <w:pPr>
        <w:rPr>
          <w:rFonts w:ascii="Times New Roman" w:hAnsi="Times New Roman" w:cs="Times New Roman"/>
          <w:b/>
          <w:bCs/>
          <w:sz w:val="20"/>
          <w:szCs w:val="20"/>
        </w:rPr>
      </w:pPr>
    </w:p>
    <w:p w14:paraId="743C092E" w14:textId="77777777" w:rsidR="0052224B" w:rsidRDefault="0052224B">
      <w:pPr>
        <w:rPr>
          <w:rFonts w:ascii="Times New Roman" w:hAnsi="Times New Roman" w:cs="Times New Roman"/>
          <w:b/>
          <w:bCs/>
          <w:sz w:val="20"/>
          <w:szCs w:val="20"/>
        </w:rPr>
      </w:pPr>
    </w:p>
    <w:p w14:paraId="430A3000" w14:textId="2D88CD63" w:rsidR="003640C9" w:rsidRDefault="00485D2B">
      <w:pPr>
        <w:rPr>
          <w:rFonts w:ascii="Times New Roman" w:hAnsi="Times New Roman" w:cs="Times New Roman"/>
          <w:sz w:val="20"/>
          <w:szCs w:val="20"/>
        </w:rPr>
      </w:pPr>
      <w:r w:rsidRPr="00485D2B">
        <w:rPr>
          <w:rFonts w:ascii="Times New Roman" w:hAnsi="Times New Roman" w:cs="Times New Roman"/>
          <w:b/>
          <w:bCs/>
          <w:sz w:val="20"/>
          <w:szCs w:val="20"/>
        </w:rPr>
        <w:t>Fig</w:t>
      </w:r>
      <w:r>
        <w:rPr>
          <w:rFonts w:ascii="Times New Roman" w:hAnsi="Times New Roman" w:cs="Times New Roman"/>
          <w:b/>
          <w:bCs/>
          <w:sz w:val="20"/>
          <w:szCs w:val="20"/>
        </w:rPr>
        <w:t>ure</w:t>
      </w:r>
      <w:r w:rsidRPr="00485D2B">
        <w:rPr>
          <w:rFonts w:ascii="Times New Roman" w:hAnsi="Times New Roman" w:cs="Times New Roman"/>
          <w:b/>
          <w:bCs/>
          <w:sz w:val="20"/>
          <w:szCs w:val="20"/>
        </w:rPr>
        <w:t xml:space="preserve"> S</w:t>
      </w:r>
      <w:r>
        <w:rPr>
          <w:rFonts w:ascii="Times New Roman" w:hAnsi="Times New Roman" w:cs="Times New Roman"/>
          <w:b/>
          <w:bCs/>
          <w:sz w:val="20"/>
          <w:szCs w:val="20"/>
        </w:rPr>
        <w:t>4</w:t>
      </w:r>
      <w:r w:rsidRPr="00485D2B">
        <w:rPr>
          <w:rFonts w:ascii="Times New Roman" w:hAnsi="Times New Roman" w:cs="Times New Roman"/>
          <w:b/>
          <w:bCs/>
          <w:sz w:val="20"/>
          <w:szCs w:val="20"/>
        </w:rPr>
        <w:t xml:space="preserve">. </w:t>
      </w:r>
      <w:r>
        <w:rPr>
          <w:rFonts w:ascii="Times New Roman" w:hAnsi="Times New Roman" w:cs="Times New Roman"/>
          <w:b/>
          <w:bCs/>
          <w:sz w:val="20"/>
          <w:szCs w:val="20"/>
        </w:rPr>
        <w:t>Difference-in-differences s</w:t>
      </w:r>
      <w:r w:rsidRPr="00485D2B">
        <w:rPr>
          <w:rFonts w:ascii="Times New Roman" w:hAnsi="Times New Roman" w:cs="Times New Roman"/>
          <w:b/>
          <w:bCs/>
          <w:sz w:val="20"/>
          <w:szCs w:val="20"/>
        </w:rPr>
        <w:t>ensitivity analysis with cohort restricted to sanctions starting in 2003 and individuals without any prison or probation time in the pre-treatment period.</w:t>
      </w:r>
      <w:r>
        <w:rPr>
          <w:rFonts w:ascii="Times New Roman" w:hAnsi="Times New Roman" w:cs="Times New Roman"/>
          <w:b/>
          <w:bCs/>
          <w:sz w:val="20"/>
          <w:szCs w:val="20"/>
        </w:rPr>
        <w:t xml:space="preserve"> </w:t>
      </w:r>
      <w:r w:rsidR="0052224B" w:rsidRPr="0052224B">
        <w:rPr>
          <w:rFonts w:ascii="Times New Roman" w:hAnsi="Times New Roman" w:cs="Times New Roman"/>
          <w:sz w:val="20"/>
          <w:szCs w:val="20"/>
        </w:rPr>
        <w:t>Figure shows event study coefficients and their 95% confidence intervals, representing the average treatment effect on the treated (ATT) over the follow-up. ATTs for medical outcomes represent effects in percentage points. ATT for crime represents the effect in the number of charges/suspicions by the police. X-axis represents relative time to period (quarter year) where treatment first changes (time 0).</w:t>
      </w:r>
    </w:p>
    <w:p w14:paraId="0EA8E559" w14:textId="77777777" w:rsidR="003A2E9A" w:rsidRDefault="003A2E9A">
      <w:pPr>
        <w:rPr>
          <w:rFonts w:ascii="Times New Roman" w:hAnsi="Times New Roman" w:cs="Times New Roman"/>
          <w:sz w:val="20"/>
          <w:szCs w:val="20"/>
        </w:rPr>
      </w:pPr>
    </w:p>
    <w:p w14:paraId="1FE0671A" w14:textId="77777777" w:rsidR="003A2E9A" w:rsidRDefault="003A2E9A">
      <w:pPr>
        <w:rPr>
          <w:rFonts w:ascii="Times New Roman" w:hAnsi="Times New Roman" w:cs="Times New Roman"/>
          <w:b/>
          <w:bCs/>
          <w:sz w:val="20"/>
          <w:szCs w:val="20"/>
        </w:rPr>
        <w:sectPr w:rsidR="003A2E9A" w:rsidSect="00485D2B">
          <w:pgSz w:w="12240" w:h="15840"/>
          <w:pgMar w:top="1417" w:right="1417" w:bottom="1417" w:left="1417" w:header="708" w:footer="708" w:gutter="0"/>
          <w:cols w:space="708"/>
          <w:docGrid w:linePitch="360"/>
        </w:sectPr>
      </w:pPr>
    </w:p>
    <w:p w14:paraId="48AB1110" w14:textId="2C24C202" w:rsidR="00A24E8E" w:rsidRDefault="00566D19" w:rsidP="00A24E8E">
      <w:pPr>
        <w:rPr>
          <w:rFonts w:ascii="Times New Roman" w:hAnsi="Times New Roman" w:cs="Times New Roman"/>
          <w:b/>
          <w:bCs/>
          <w:sz w:val="20"/>
          <w:szCs w:val="20"/>
        </w:rPr>
      </w:pPr>
      <w:r>
        <w:rPr>
          <w:noProof/>
          <w:lang w:val="fi-FI" w:eastAsia="fi-FI"/>
        </w:rPr>
        <w:lastRenderedPageBreak/>
        <w:drawing>
          <wp:inline distT="0" distB="0" distL="0" distR="0" wp14:anchorId="1933A12B" wp14:editId="6CBAAB50">
            <wp:extent cx="5486400" cy="3889477"/>
            <wp:effectExtent l="0" t="0" r="0" b="0"/>
            <wp:docPr id="5" name="Picture 5" descr="A group of graphs showing time peri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graphs showing time period&#10;&#10;Description automatically generated"/>
                    <pic:cNvPicPr/>
                  </pic:nvPicPr>
                  <pic:blipFill>
                    <a:blip r:embed="rId12"/>
                    <a:stretch>
                      <a:fillRect/>
                    </a:stretch>
                  </pic:blipFill>
                  <pic:spPr>
                    <a:xfrm>
                      <a:off x="0" y="0"/>
                      <a:ext cx="5486400" cy="3889477"/>
                    </a:xfrm>
                    <a:prstGeom prst="rect">
                      <a:avLst/>
                    </a:prstGeom>
                  </pic:spPr>
                </pic:pic>
              </a:graphicData>
            </a:graphic>
          </wp:inline>
        </w:drawing>
      </w:r>
    </w:p>
    <w:p w14:paraId="3A85843F" w14:textId="77777777" w:rsidR="00A24E8E" w:rsidRDefault="00A24E8E" w:rsidP="00A24E8E">
      <w:pPr>
        <w:rPr>
          <w:rFonts w:ascii="Times New Roman" w:hAnsi="Times New Roman" w:cs="Times New Roman"/>
          <w:b/>
          <w:bCs/>
          <w:sz w:val="20"/>
          <w:szCs w:val="20"/>
        </w:rPr>
      </w:pPr>
    </w:p>
    <w:p w14:paraId="5C54F404" w14:textId="65BA636F" w:rsidR="00A24E8E" w:rsidRPr="00A24E8E" w:rsidRDefault="003A2E9A" w:rsidP="00A24E8E">
      <w:pPr>
        <w:rPr>
          <w:rFonts w:ascii="Times New Roman" w:hAnsi="Times New Roman" w:cs="Times New Roman"/>
          <w:b/>
          <w:bCs/>
          <w:sz w:val="20"/>
          <w:szCs w:val="20"/>
        </w:rPr>
      </w:pPr>
      <w:r w:rsidRPr="005462BA">
        <w:rPr>
          <w:rFonts w:ascii="Times New Roman" w:hAnsi="Times New Roman" w:cs="Times New Roman"/>
          <w:b/>
          <w:bCs/>
          <w:sz w:val="20"/>
          <w:szCs w:val="20"/>
        </w:rPr>
        <w:t>Fig</w:t>
      </w:r>
      <w:r>
        <w:rPr>
          <w:rFonts w:ascii="Times New Roman" w:hAnsi="Times New Roman" w:cs="Times New Roman"/>
          <w:b/>
          <w:bCs/>
          <w:sz w:val="20"/>
          <w:szCs w:val="20"/>
        </w:rPr>
        <w:t>ure</w:t>
      </w:r>
      <w:r w:rsidRPr="005462BA">
        <w:rPr>
          <w:rFonts w:ascii="Times New Roman" w:hAnsi="Times New Roman" w:cs="Times New Roman"/>
          <w:b/>
          <w:bCs/>
          <w:sz w:val="20"/>
          <w:szCs w:val="20"/>
        </w:rPr>
        <w:t xml:space="preserve"> S</w:t>
      </w:r>
      <w:r>
        <w:rPr>
          <w:rFonts w:ascii="Times New Roman" w:hAnsi="Times New Roman" w:cs="Times New Roman"/>
          <w:b/>
          <w:bCs/>
          <w:sz w:val="20"/>
          <w:szCs w:val="20"/>
        </w:rPr>
        <w:t>5</w:t>
      </w:r>
      <w:r w:rsidRPr="005462BA">
        <w:rPr>
          <w:rFonts w:ascii="Times New Roman" w:hAnsi="Times New Roman" w:cs="Times New Roman"/>
          <w:b/>
          <w:bCs/>
          <w:sz w:val="20"/>
          <w:szCs w:val="20"/>
        </w:rPr>
        <w:t>. Robust inference sensitivity analysis for substance misuse</w:t>
      </w:r>
      <w:r w:rsidR="00A24E8E">
        <w:rPr>
          <w:rFonts w:ascii="Times New Roman" w:hAnsi="Times New Roman" w:cs="Times New Roman"/>
          <w:b/>
          <w:bCs/>
          <w:sz w:val="20"/>
          <w:szCs w:val="20"/>
        </w:rPr>
        <w:t xml:space="preserve">. </w:t>
      </w:r>
      <w:r w:rsidR="00A24E8E" w:rsidRPr="00A24E8E">
        <w:rPr>
          <w:rFonts w:ascii="Times New Roman" w:hAnsi="Times New Roman" w:cs="Times New Roman"/>
          <w:sz w:val="20"/>
          <w:szCs w:val="20"/>
        </w:rPr>
        <w:t xml:space="preserve">Figure shows robust confidence intervals of event study coefficients at t0, t2, and t4 calculated for different values of M. The breakdown value was 0.01 for t2, and 0.005 for t4. </w:t>
      </w:r>
    </w:p>
    <w:p w14:paraId="6B03C913" w14:textId="77777777" w:rsidR="00566D19" w:rsidRDefault="00566D19" w:rsidP="003A2E9A">
      <w:pPr>
        <w:rPr>
          <w:rFonts w:ascii="Times New Roman" w:hAnsi="Times New Roman" w:cs="Times New Roman"/>
          <w:b/>
          <w:bCs/>
          <w:sz w:val="20"/>
          <w:szCs w:val="20"/>
        </w:rPr>
        <w:sectPr w:rsidR="00566D19" w:rsidSect="00485D2B">
          <w:pgSz w:w="12240" w:h="15840"/>
          <w:pgMar w:top="1417" w:right="1417" w:bottom="1417" w:left="1417" w:header="708" w:footer="708" w:gutter="0"/>
          <w:cols w:space="708"/>
          <w:docGrid w:linePitch="360"/>
        </w:sectPr>
      </w:pPr>
    </w:p>
    <w:p w14:paraId="6BAA04D3" w14:textId="0408FE37" w:rsidR="00F13F21" w:rsidRDefault="00B16CEF" w:rsidP="003A2E9A">
      <w:pPr>
        <w:rPr>
          <w:rFonts w:ascii="Times New Roman" w:hAnsi="Times New Roman" w:cs="Times New Roman"/>
          <w:b/>
          <w:bCs/>
          <w:sz w:val="20"/>
          <w:szCs w:val="20"/>
        </w:rPr>
      </w:pPr>
      <w:r>
        <w:rPr>
          <w:noProof/>
          <w:lang w:val="fi-FI" w:eastAsia="fi-FI"/>
        </w:rPr>
        <w:lastRenderedPageBreak/>
        <w:drawing>
          <wp:inline distT="0" distB="0" distL="0" distR="0" wp14:anchorId="680D3F3F" wp14:editId="5F4047B9">
            <wp:extent cx="5486400" cy="3950571"/>
            <wp:effectExtent l="0" t="0" r="0" b="0"/>
            <wp:docPr id="8" name="Picture 8" descr="A group of graphs showing time peri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graphs showing time period&#10;&#10;Description automatically generated"/>
                    <pic:cNvPicPr/>
                  </pic:nvPicPr>
                  <pic:blipFill>
                    <a:blip r:embed="rId13"/>
                    <a:stretch>
                      <a:fillRect/>
                    </a:stretch>
                  </pic:blipFill>
                  <pic:spPr>
                    <a:xfrm>
                      <a:off x="0" y="0"/>
                      <a:ext cx="5486400" cy="3950571"/>
                    </a:xfrm>
                    <a:prstGeom prst="rect">
                      <a:avLst/>
                    </a:prstGeom>
                  </pic:spPr>
                </pic:pic>
              </a:graphicData>
            </a:graphic>
          </wp:inline>
        </w:drawing>
      </w:r>
    </w:p>
    <w:p w14:paraId="205FAEBA" w14:textId="77777777" w:rsidR="00F13F21" w:rsidRDefault="00F13F21" w:rsidP="003A2E9A">
      <w:pPr>
        <w:rPr>
          <w:rFonts w:ascii="Times New Roman" w:hAnsi="Times New Roman" w:cs="Times New Roman"/>
          <w:b/>
          <w:bCs/>
          <w:sz w:val="20"/>
          <w:szCs w:val="20"/>
        </w:rPr>
      </w:pPr>
    </w:p>
    <w:p w14:paraId="7EE01B72" w14:textId="7487FF72" w:rsidR="003A2E9A" w:rsidRDefault="00F13F21" w:rsidP="003A2E9A">
      <w:pPr>
        <w:rPr>
          <w:rFonts w:ascii="Times New Roman" w:hAnsi="Times New Roman" w:cs="Times New Roman"/>
          <w:b/>
          <w:bCs/>
          <w:sz w:val="20"/>
          <w:szCs w:val="20"/>
        </w:rPr>
      </w:pPr>
      <w:r w:rsidRPr="00F13F21">
        <w:rPr>
          <w:rFonts w:ascii="Times New Roman" w:hAnsi="Times New Roman" w:cs="Times New Roman"/>
          <w:b/>
          <w:bCs/>
          <w:sz w:val="20"/>
          <w:szCs w:val="20"/>
        </w:rPr>
        <w:t>Fi</w:t>
      </w:r>
      <w:r>
        <w:rPr>
          <w:rFonts w:ascii="Times New Roman" w:hAnsi="Times New Roman" w:cs="Times New Roman"/>
          <w:b/>
          <w:bCs/>
          <w:sz w:val="20"/>
          <w:szCs w:val="20"/>
        </w:rPr>
        <w:t>gure</w:t>
      </w:r>
      <w:r w:rsidRPr="00F13F21">
        <w:rPr>
          <w:rFonts w:ascii="Times New Roman" w:hAnsi="Times New Roman" w:cs="Times New Roman"/>
          <w:b/>
          <w:bCs/>
          <w:sz w:val="20"/>
          <w:szCs w:val="20"/>
        </w:rPr>
        <w:t xml:space="preserve"> S</w:t>
      </w:r>
      <w:r>
        <w:rPr>
          <w:rFonts w:ascii="Times New Roman" w:hAnsi="Times New Roman" w:cs="Times New Roman"/>
          <w:b/>
          <w:bCs/>
          <w:sz w:val="20"/>
          <w:szCs w:val="20"/>
        </w:rPr>
        <w:t>6</w:t>
      </w:r>
      <w:r w:rsidRPr="00F13F21">
        <w:rPr>
          <w:rFonts w:ascii="Times New Roman" w:hAnsi="Times New Roman" w:cs="Times New Roman"/>
          <w:b/>
          <w:bCs/>
          <w:sz w:val="20"/>
          <w:szCs w:val="20"/>
        </w:rPr>
        <w:t xml:space="preserve">. Robust inference sensitivity analysis for mental health. </w:t>
      </w:r>
      <w:r w:rsidRPr="00F13F21">
        <w:rPr>
          <w:rFonts w:ascii="Times New Roman" w:hAnsi="Times New Roman" w:cs="Times New Roman"/>
          <w:sz w:val="20"/>
          <w:szCs w:val="20"/>
        </w:rPr>
        <w:t>Figure shows robust confidence intervals of event study coefficients at t0, t2, and t4 calculated for different values of M. The breakdown value was 0.015 for t0, and 0.005 for both t2 and t4.</w:t>
      </w:r>
    </w:p>
    <w:p w14:paraId="0B3D5100" w14:textId="77777777" w:rsidR="006A7DDE" w:rsidRDefault="006A7DDE">
      <w:pPr>
        <w:rPr>
          <w:rFonts w:ascii="Times New Roman" w:hAnsi="Times New Roman" w:cs="Times New Roman"/>
          <w:b/>
          <w:bCs/>
          <w:sz w:val="20"/>
          <w:szCs w:val="20"/>
        </w:rPr>
        <w:sectPr w:rsidR="006A7DDE" w:rsidSect="00485D2B">
          <w:pgSz w:w="12240" w:h="15840"/>
          <w:pgMar w:top="1417" w:right="1417" w:bottom="1417" w:left="1417" w:header="708" w:footer="708" w:gutter="0"/>
          <w:cols w:space="708"/>
          <w:docGrid w:linePitch="360"/>
        </w:sectPr>
      </w:pPr>
    </w:p>
    <w:p w14:paraId="138239A7" w14:textId="625F42B5" w:rsidR="009E2F99" w:rsidRDefault="00647F34">
      <w:pPr>
        <w:rPr>
          <w:rFonts w:ascii="Times New Roman" w:hAnsi="Times New Roman" w:cs="Times New Roman"/>
          <w:b/>
          <w:bCs/>
          <w:sz w:val="20"/>
          <w:szCs w:val="20"/>
        </w:rPr>
      </w:pPr>
      <w:r>
        <w:rPr>
          <w:noProof/>
          <w:lang w:val="fi-FI" w:eastAsia="fi-FI"/>
        </w:rPr>
        <w:lastRenderedPageBreak/>
        <w:drawing>
          <wp:inline distT="0" distB="0" distL="0" distR="0" wp14:anchorId="7B8EFA42" wp14:editId="3723B462">
            <wp:extent cx="5486400" cy="3860442"/>
            <wp:effectExtent l="0" t="0" r="0" b="6985"/>
            <wp:docPr id="14" name="Picture 14" descr="A group of graphs showing time peri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graphs showing time period&#10;&#10;Description automatically generated with medium confidence"/>
                    <pic:cNvPicPr/>
                  </pic:nvPicPr>
                  <pic:blipFill>
                    <a:blip r:embed="rId14"/>
                    <a:stretch>
                      <a:fillRect/>
                    </a:stretch>
                  </pic:blipFill>
                  <pic:spPr>
                    <a:xfrm>
                      <a:off x="0" y="0"/>
                      <a:ext cx="5486400" cy="3860442"/>
                    </a:xfrm>
                    <a:prstGeom prst="rect">
                      <a:avLst/>
                    </a:prstGeom>
                  </pic:spPr>
                </pic:pic>
              </a:graphicData>
            </a:graphic>
          </wp:inline>
        </w:drawing>
      </w:r>
    </w:p>
    <w:p w14:paraId="62A64636" w14:textId="46610824" w:rsidR="003A2E9A" w:rsidRDefault="0066631C">
      <w:pPr>
        <w:rPr>
          <w:rFonts w:ascii="Times New Roman" w:hAnsi="Times New Roman" w:cs="Times New Roman"/>
          <w:sz w:val="20"/>
          <w:szCs w:val="20"/>
        </w:rPr>
      </w:pPr>
      <w:r w:rsidRPr="0066631C">
        <w:rPr>
          <w:rFonts w:ascii="Times New Roman" w:hAnsi="Times New Roman" w:cs="Times New Roman"/>
          <w:b/>
          <w:bCs/>
          <w:sz w:val="20"/>
          <w:szCs w:val="20"/>
        </w:rPr>
        <w:t>Fig</w:t>
      </w:r>
      <w:r>
        <w:rPr>
          <w:rFonts w:ascii="Times New Roman" w:hAnsi="Times New Roman" w:cs="Times New Roman"/>
          <w:b/>
          <w:bCs/>
          <w:sz w:val="20"/>
          <w:szCs w:val="20"/>
        </w:rPr>
        <w:t xml:space="preserve">ure </w:t>
      </w:r>
      <w:r w:rsidRPr="0066631C">
        <w:rPr>
          <w:rFonts w:ascii="Times New Roman" w:hAnsi="Times New Roman" w:cs="Times New Roman"/>
          <w:b/>
          <w:bCs/>
          <w:sz w:val="20"/>
          <w:szCs w:val="20"/>
        </w:rPr>
        <w:t>S</w:t>
      </w:r>
      <w:r>
        <w:rPr>
          <w:rFonts w:ascii="Times New Roman" w:hAnsi="Times New Roman" w:cs="Times New Roman"/>
          <w:b/>
          <w:bCs/>
          <w:sz w:val="20"/>
          <w:szCs w:val="20"/>
        </w:rPr>
        <w:t>7</w:t>
      </w:r>
      <w:r w:rsidRPr="0066631C">
        <w:rPr>
          <w:rFonts w:ascii="Times New Roman" w:hAnsi="Times New Roman" w:cs="Times New Roman"/>
          <w:b/>
          <w:bCs/>
          <w:sz w:val="20"/>
          <w:szCs w:val="20"/>
        </w:rPr>
        <w:t xml:space="preserve">. Robust inference sensitivity analysis for somatic health. </w:t>
      </w:r>
      <w:r w:rsidRPr="009E2F99">
        <w:rPr>
          <w:rFonts w:ascii="Times New Roman" w:hAnsi="Times New Roman" w:cs="Times New Roman"/>
          <w:sz w:val="20"/>
          <w:szCs w:val="20"/>
        </w:rPr>
        <w:t>Figure shows robust confidence intervals of event study coefficients at t0, t2, and t4 calculated for different values of M. The breakdown value was 0.0125 for t2, and 0.0075 for t4.</w:t>
      </w:r>
    </w:p>
    <w:p w14:paraId="1336CD0A" w14:textId="77777777" w:rsidR="00647F34" w:rsidRDefault="00647F34">
      <w:pPr>
        <w:rPr>
          <w:rFonts w:ascii="Times New Roman" w:hAnsi="Times New Roman" w:cs="Times New Roman"/>
          <w:sz w:val="20"/>
          <w:szCs w:val="20"/>
        </w:rPr>
      </w:pPr>
    </w:p>
    <w:p w14:paraId="66E7CC2F" w14:textId="77777777" w:rsidR="00647F34" w:rsidRDefault="00647F34">
      <w:pPr>
        <w:rPr>
          <w:rFonts w:ascii="Times New Roman" w:hAnsi="Times New Roman" w:cs="Times New Roman"/>
          <w:sz w:val="20"/>
          <w:szCs w:val="20"/>
        </w:rPr>
        <w:sectPr w:rsidR="00647F34" w:rsidSect="00485D2B">
          <w:pgSz w:w="12240" w:h="15840"/>
          <w:pgMar w:top="1417" w:right="1417" w:bottom="1417" w:left="1417" w:header="708" w:footer="708" w:gutter="0"/>
          <w:cols w:space="708"/>
          <w:docGrid w:linePitch="360"/>
        </w:sectPr>
      </w:pPr>
    </w:p>
    <w:p w14:paraId="3ECCCA81" w14:textId="7367CF1F" w:rsidR="0025139F" w:rsidRDefault="00511262">
      <w:pPr>
        <w:rPr>
          <w:rFonts w:ascii="Times New Roman" w:hAnsi="Times New Roman" w:cs="Times New Roman"/>
          <w:b/>
          <w:bCs/>
          <w:sz w:val="20"/>
          <w:szCs w:val="20"/>
        </w:rPr>
      </w:pPr>
      <w:r>
        <w:rPr>
          <w:noProof/>
          <w:lang w:val="fi-FI" w:eastAsia="fi-FI"/>
        </w:rPr>
        <w:lastRenderedPageBreak/>
        <w:drawing>
          <wp:inline distT="0" distB="0" distL="0" distR="0" wp14:anchorId="7081BE6C" wp14:editId="3C733BE2">
            <wp:extent cx="5486400" cy="4007538"/>
            <wp:effectExtent l="0" t="0" r="0" b="0"/>
            <wp:docPr id="6" name="Picture 6" descr="A group of graph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graphs with numbers&#10;&#10;Description automatically generated with medium confidence"/>
                    <pic:cNvPicPr/>
                  </pic:nvPicPr>
                  <pic:blipFill>
                    <a:blip r:embed="rId15"/>
                    <a:stretch>
                      <a:fillRect/>
                    </a:stretch>
                  </pic:blipFill>
                  <pic:spPr>
                    <a:xfrm>
                      <a:off x="0" y="0"/>
                      <a:ext cx="5486400" cy="4007538"/>
                    </a:xfrm>
                    <a:prstGeom prst="rect">
                      <a:avLst/>
                    </a:prstGeom>
                  </pic:spPr>
                </pic:pic>
              </a:graphicData>
            </a:graphic>
          </wp:inline>
        </w:drawing>
      </w:r>
    </w:p>
    <w:p w14:paraId="70125828" w14:textId="77777777" w:rsidR="0025139F" w:rsidRDefault="0025139F">
      <w:pPr>
        <w:rPr>
          <w:rFonts w:ascii="Times New Roman" w:hAnsi="Times New Roman" w:cs="Times New Roman"/>
          <w:b/>
          <w:bCs/>
          <w:sz w:val="20"/>
          <w:szCs w:val="20"/>
        </w:rPr>
      </w:pPr>
    </w:p>
    <w:p w14:paraId="086248E6" w14:textId="51817FD8" w:rsidR="00647F34" w:rsidRPr="009E2F99" w:rsidRDefault="0025139F">
      <w:pPr>
        <w:rPr>
          <w:rFonts w:ascii="Times New Roman" w:hAnsi="Times New Roman" w:cs="Times New Roman"/>
          <w:sz w:val="20"/>
          <w:szCs w:val="20"/>
        </w:rPr>
      </w:pPr>
      <w:r w:rsidRPr="0025139F">
        <w:rPr>
          <w:rFonts w:ascii="Times New Roman" w:hAnsi="Times New Roman" w:cs="Times New Roman"/>
          <w:b/>
          <w:bCs/>
          <w:sz w:val="20"/>
          <w:szCs w:val="20"/>
        </w:rPr>
        <w:t>Figure S8. Robust inference sensitivity analysis for crime.</w:t>
      </w:r>
      <w:r w:rsidRPr="0025139F">
        <w:rPr>
          <w:rFonts w:ascii="Times New Roman" w:hAnsi="Times New Roman" w:cs="Times New Roman"/>
          <w:sz w:val="20"/>
          <w:szCs w:val="20"/>
        </w:rPr>
        <w:t xml:space="preserve"> Figure shows robust confidence intervals of event study coefficients at t0, t2, and t4 calculated for different values of M. The breakdown value was 1 for t0, 0.5 for t2, and 0.25 for t4.</w:t>
      </w:r>
    </w:p>
    <w:sectPr w:rsidR="00647F34" w:rsidRPr="009E2F99" w:rsidSect="00485D2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5439A" w14:textId="77777777" w:rsidR="005A2778" w:rsidRDefault="005A2778" w:rsidP="005A2778">
      <w:pPr>
        <w:spacing w:after="0" w:line="240" w:lineRule="auto"/>
      </w:pPr>
      <w:r>
        <w:separator/>
      </w:r>
    </w:p>
  </w:endnote>
  <w:endnote w:type="continuationSeparator" w:id="0">
    <w:p w14:paraId="32B846EE" w14:textId="77777777" w:rsidR="005A2778" w:rsidRDefault="005A2778" w:rsidP="005A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66495148"/>
      <w:docPartObj>
        <w:docPartGallery w:val="Page Numbers (Bottom of Page)"/>
        <w:docPartUnique/>
      </w:docPartObj>
    </w:sdtPr>
    <w:sdtEndPr>
      <w:rPr>
        <w:noProof/>
      </w:rPr>
    </w:sdtEndPr>
    <w:sdtContent>
      <w:p w14:paraId="2575BE68" w14:textId="42A8C918" w:rsidR="005A2778" w:rsidRPr="006E1DE6" w:rsidRDefault="005A2778">
        <w:pPr>
          <w:pStyle w:val="Footer"/>
          <w:jc w:val="right"/>
          <w:rPr>
            <w:rFonts w:ascii="Times New Roman" w:hAnsi="Times New Roman" w:cs="Times New Roman"/>
          </w:rPr>
        </w:pPr>
        <w:r w:rsidRPr="006E1DE6">
          <w:rPr>
            <w:rFonts w:ascii="Times New Roman" w:hAnsi="Times New Roman" w:cs="Times New Roman"/>
          </w:rPr>
          <w:fldChar w:fldCharType="begin"/>
        </w:r>
        <w:r w:rsidRPr="006E1DE6">
          <w:rPr>
            <w:rFonts w:ascii="Times New Roman" w:hAnsi="Times New Roman" w:cs="Times New Roman"/>
          </w:rPr>
          <w:instrText xml:space="preserve"> PAGE   \* MERGEFORMAT </w:instrText>
        </w:r>
        <w:r w:rsidRPr="006E1DE6">
          <w:rPr>
            <w:rFonts w:ascii="Times New Roman" w:hAnsi="Times New Roman" w:cs="Times New Roman"/>
          </w:rPr>
          <w:fldChar w:fldCharType="separate"/>
        </w:r>
        <w:r w:rsidRPr="006E1DE6">
          <w:rPr>
            <w:rFonts w:ascii="Times New Roman" w:hAnsi="Times New Roman" w:cs="Times New Roman"/>
            <w:noProof/>
          </w:rPr>
          <w:t>2</w:t>
        </w:r>
        <w:r w:rsidRPr="006E1DE6">
          <w:rPr>
            <w:rFonts w:ascii="Times New Roman" w:hAnsi="Times New Roman" w:cs="Times New Roman"/>
            <w:noProof/>
          </w:rPr>
          <w:fldChar w:fldCharType="end"/>
        </w:r>
      </w:p>
    </w:sdtContent>
  </w:sdt>
  <w:p w14:paraId="70902DA2" w14:textId="77777777" w:rsidR="005A2778" w:rsidRDefault="005A2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2E490" w14:textId="77777777" w:rsidR="005A2778" w:rsidRDefault="005A2778" w:rsidP="005A2778">
      <w:pPr>
        <w:spacing w:after="0" w:line="240" w:lineRule="auto"/>
      </w:pPr>
      <w:r>
        <w:separator/>
      </w:r>
    </w:p>
  </w:footnote>
  <w:footnote w:type="continuationSeparator" w:id="0">
    <w:p w14:paraId="59841EBB" w14:textId="77777777" w:rsidR="005A2778" w:rsidRDefault="005A2778" w:rsidP="005A2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80102"/>
    <w:multiLevelType w:val="hybridMultilevel"/>
    <w:tmpl w:val="17B84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597C85"/>
    <w:multiLevelType w:val="hybridMultilevel"/>
    <w:tmpl w:val="25A6D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901005">
    <w:abstractNumId w:val="0"/>
  </w:num>
  <w:num w:numId="2" w16cid:durableId="713431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E8"/>
    <w:rsid w:val="000157FC"/>
    <w:rsid w:val="00074F2D"/>
    <w:rsid w:val="00076714"/>
    <w:rsid w:val="000D620E"/>
    <w:rsid w:val="000E6D00"/>
    <w:rsid w:val="000F001F"/>
    <w:rsid w:val="000F1615"/>
    <w:rsid w:val="000F2BD4"/>
    <w:rsid w:val="001300E9"/>
    <w:rsid w:val="00135DC5"/>
    <w:rsid w:val="0018358B"/>
    <w:rsid w:val="001874BB"/>
    <w:rsid w:val="001B2DA1"/>
    <w:rsid w:val="002202E8"/>
    <w:rsid w:val="00247FAE"/>
    <w:rsid w:val="0025139F"/>
    <w:rsid w:val="002825C2"/>
    <w:rsid w:val="002966DC"/>
    <w:rsid w:val="002B01E8"/>
    <w:rsid w:val="0032469C"/>
    <w:rsid w:val="00337DD4"/>
    <w:rsid w:val="003640C9"/>
    <w:rsid w:val="003A2E9A"/>
    <w:rsid w:val="003C0579"/>
    <w:rsid w:val="003C1558"/>
    <w:rsid w:val="003E4DC7"/>
    <w:rsid w:val="00420794"/>
    <w:rsid w:val="00423070"/>
    <w:rsid w:val="00434E97"/>
    <w:rsid w:val="004510CF"/>
    <w:rsid w:val="00455938"/>
    <w:rsid w:val="00475E80"/>
    <w:rsid w:val="00477A3C"/>
    <w:rsid w:val="00485D2B"/>
    <w:rsid w:val="004B042A"/>
    <w:rsid w:val="004E4B7E"/>
    <w:rsid w:val="004F2D3B"/>
    <w:rsid w:val="004F75BD"/>
    <w:rsid w:val="004F77D0"/>
    <w:rsid w:val="0050120C"/>
    <w:rsid w:val="005013CE"/>
    <w:rsid w:val="00511262"/>
    <w:rsid w:val="0052224B"/>
    <w:rsid w:val="00530FC2"/>
    <w:rsid w:val="005357C2"/>
    <w:rsid w:val="005462BA"/>
    <w:rsid w:val="00546832"/>
    <w:rsid w:val="00566D19"/>
    <w:rsid w:val="005A2778"/>
    <w:rsid w:val="005B2EC9"/>
    <w:rsid w:val="0061735E"/>
    <w:rsid w:val="0062614D"/>
    <w:rsid w:val="00647F34"/>
    <w:rsid w:val="0066631C"/>
    <w:rsid w:val="006668C1"/>
    <w:rsid w:val="006827F6"/>
    <w:rsid w:val="006A5938"/>
    <w:rsid w:val="006A7DDE"/>
    <w:rsid w:val="006C1487"/>
    <w:rsid w:val="006C2740"/>
    <w:rsid w:val="006E1DE6"/>
    <w:rsid w:val="006E4C38"/>
    <w:rsid w:val="00700E38"/>
    <w:rsid w:val="00802BF2"/>
    <w:rsid w:val="00820C3E"/>
    <w:rsid w:val="00831B2C"/>
    <w:rsid w:val="008902AF"/>
    <w:rsid w:val="00891DDA"/>
    <w:rsid w:val="00917884"/>
    <w:rsid w:val="00932B19"/>
    <w:rsid w:val="00940710"/>
    <w:rsid w:val="009865E2"/>
    <w:rsid w:val="00987460"/>
    <w:rsid w:val="009C679C"/>
    <w:rsid w:val="009E2F99"/>
    <w:rsid w:val="00A24E8E"/>
    <w:rsid w:val="00A47855"/>
    <w:rsid w:val="00A91095"/>
    <w:rsid w:val="00AA797A"/>
    <w:rsid w:val="00AB102F"/>
    <w:rsid w:val="00AC3D88"/>
    <w:rsid w:val="00AF1E8F"/>
    <w:rsid w:val="00B00D4A"/>
    <w:rsid w:val="00B16CEF"/>
    <w:rsid w:val="00B65CBC"/>
    <w:rsid w:val="00BC0799"/>
    <w:rsid w:val="00C30698"/>
    <w:rsid w:val="00C51699"/>
    <w:rsid w:val="00C815E1"/>
    <w:rsid w:val="00C948B6"/>
    <w:rsid w:val="00CA4816"/>
    <w:rsid w:val="00CB748A"/>
    <w:rsid w:val="00CE5F94"/>
    <w:rsid w:val="00D4047F"/>
    <w:rsid w:val="00D71D5E"/>
    <w:rsid w:val="00D86B25"/>
    <w:rsid w:val="00D87D75"/>
    <w:rsid w:val="00DA009F"/>
    <w:rsid w:val="00DB1C63"/>
    <w:rsid w:val="00DE46A3"/>
    <w:rsid w:val="00E2168A"/>
    <w:rsid w:val="00E52DD6"/>
    <w:rsid w:val="00E709B0"/>
    <w:rsid w:val="00E72EF7"/>
    <w:rsid w:val="00EF39B5"/>
    <w:rsid w:val="00F12E4A"/>
    <w:rsid w:val="00F13F21"/>
    <w:rsid w:val="00F65024"/>
    <w:rsid w:val="00F943FB"/>
    <w:rsid w:val="00FA18BD"/>
    <w:rsid w:val="00FA4D41"/>
    <w:rsid w:val="00FB2D24"/>
    <w:rsid w:val="00FC733E"/>
    <w:rsid w:val="00FE01B5"/>
    <w:rsid w:val="00FE1963"/>
    <w:rsid w:val="00FE6EA1"/>
    <w:rsid w:val="00FF1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ECFE"/>
  <w15:chartTrackingRefBased/>
  <w15:docId w15:val="{0B5ACF2B-D1E8-4A32-9DAC-46740BBF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67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778"/>
    <w:pPr>
      <w:tabs>
        <w:tab w:val="center" w:pos="4703"/>
        <w:tab w:val="right" w:pos="9406"/>
      </w:tabs>
      <w:spacing w:after="0" w:line="240" w:lineRule="auto"/>
    </w:pPr>
  </w:style>
  <w:style w:type="character" w:customStyle="1" w:styleId="HeaderChar">
    <w:name w:val="Header Char"/>
    <w:basedOn w:val="DefaultParagraphFont"/>
    <w:link w:val="Header"/>
    <w:uiPriority w:val="99"/>
    <w:rsid w:val="005A2778"/>
  </w:style>
  <w:style w:type="paragraph" w:styleId="Footer">
    <w:name w:val="footer"/>
    <w:basedOn w:val="Normal"/>
    <w:link w:val="FooterChar"/>
    <w:uiPriority w:val="99"/>
    <w:unhideWhenUsed/>
    <w:rsid w:val="005A2778"/>
    <w:pPr>
      <w:tabs>
        <w:tab w:val="center" w:pos="4703"/>
        <w:tab w:val="right" w:pos="9406"/>
      </w:tabs>
      <w:spacing w:after="0" w:line="240" w:lineRule="auto"/>
    </w:pPr>
  </w:style>
  <w:style w:type="character" w:customStyle="1" w:styleId="FooterChar">
    <w:name w:val="Footer Char"/>
    <w:basedOn w:val="DefaultParagraphFont"/>
    <w:link w:val="Footer"/>
    <w:uiPriority w:val="99"/>
    <w:rsid w:val="005A2778"/>
  </w:style>
  <w:style w:type="paragraph" w:styleId="ListParagraph">
    <w:name w:val="List Paragraph"/>
    <w:basedOn w:val="Normal"/>
    <w:uiPriority w:val="34"/>
    <w:qFormat/>
    <w:rsid w:val="005013CE"/>
    <w:pPr>
      <w:ind w:left="720"/>
      <w:contextualSpacing/>
    </w:pPr>
  </w:style>
  <w:style w:type="paragraph" w:customStyle="1" w:styleId="SMHeading">
    <w:name w:val="SM Heading"/>
    <w:basedOn w:val="Heading1"/>
    <w:qFormat/>
    <w:rsid w:val="009C679C"/>
    <w:pPr>
      <w:keepLines w:val="0"/>
      <w:spacing w:after="60" w:line="240" w:lineRule="auto"/>
    </w:pPr>
    <w:rPr>
      <w:rFonts w:ascii="Times New Roman" w:eastAsia="Times New Roman" w:hAnsi="Times New Roman" w:cs="Times New Roman"/>
      <w:b/>
      <w:bCs/>
      <w:color w:val="auto"/>
      <w:kern w:val="32"/>
      <w:sz w:val="24"/>
      <w:szCs w:val="24"/>
      <w14:ligatures w14:val="none"/>
    </w:rPr>
  </w:style>
  <w:style w:type="character" w:customStyle="1" w:styleId="Heading1Char">
    <w:name w:val="Heading 1 Char"/>
    <w:basedOn w:val="DefaultParagraphFont"/>
    <w:link w:val="Heading1"/>
    <w:uiPriority w:val="9"/>
    <w:rsid w:val="009C679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24</Pages>
  <Words>4095</Words>
  <Characters>23342</Characters>
  <Application>Microsoft Office Word</Application>
  <DocSecurity>0</DocSecurity>
  <Lines>194</Lines>
  <Paragraphs>54</Paragraphs>
  <ScaleCrop>false</ScaleCrop>
  <Company>Karolinska Institutet</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Suvi Maria Virtanen</dc:creator>
  <cp:keywords/>
  <dc:description/>
  <cp:lastModifiedBy>Suvi Maria Virtanen</cp:lastModifiedBy>
  <cp:revision>117</cp:revision>
  <dcterms:created xsi:type="dcterms:W3CDTF">2024-01-08T14:43:00Z</dcterms:created>
  <dcterms:modified xsi:type="dcterms:W3CDTF">2024-03-21T12:46:00Z</dcterms:modified>
</cp:coreProperties>
</file>