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B9E9E" w14:textId="581E5F8A" w:rsidR="0001532F" w:rsidRPr="003A06D1" w:rsidRDefault="00BD0FE3" w:rsidP="0001532F">
      <w:pPr>
        <w:pStyle w:val="KeinLeerraum"/>
        <w:spacing w:line="480" w:lineRule="auto"/>
        <w:jc w:val="both"/>
      </w:pPr>
      <w:r>
        <w:rPr>
          <w:b/>
        </w:rPr>
        <w:t>Supplementary Material 5</w:t>
      </w:r>
      <w:bookmarkStart w:id="0" w:name="_GoBack"/>
      <w:bookmarkEnd w:id="0"/>
      <w:r w:rsidR="0001532F">
        <w:rPr>
          <w:b/>
        </w:rPr>
        <w:t xml:space="preserve">. </w:t>
      </w:r>
      <w:r w:rsidR="0001532F" w:rsidRPr="003A06D1">
        <w:t>Assessment of safety</w:t>
      </w:r>
    </w:p>
    <w:p w14:paraId="6760E0CC" w14:textId="77777777" w:rsidR="0001532F" w:rsidRPr="00214B5F" w:rsidRDefault="0001532F" w:rsidP="0001532F">
      <w:pPr>
        <w:pStyle w:val="KeinLeerraum"/>
        <w:spacing w:line="480" w:lineRule="auto"/>
        <w:jc w:val="both"/>
      </w:pPr>
      <w:r>
        <w:t xml:space="preserve">Device deficiencies, Adverse Events (AEs), and Serious Adverse Events (SAEs) </w:t>
      </w:r>
      <w:r>
        <w:rPr>
          <w:rFonts w:cstheme="minorHAnsi"/>
          <w:lang w:eastAsia="nl-NL"/>
        </w:rPr>
        <w:t xml:space="preserve">will be monitored and documented throughout the study period in line with a safety manual based on the EU Medical Device Regulation (MDR 2017/745). In case of occurrence, SAEs will be reported by the sponsor of the clinical investigation (i.e., the CIMH), to the relevant </w:t>
      </w:r>
      <w:r>
        <w:t>regulatory authority (i.e., the F</w:t>
      </w:r>
      <w:r w:rsidRPr="009474A6">
        <w:t xml:space="preserve">ederal </w:t>
      </w:r>
      <w:r>
        <w:t>A</w:t>
      </w:r>
      <w:r w:rsidRPr="009474A6">
        <w:t xml:space="preserve">gency for </w:t>
      </w:r>
      <w:r>
        <w:t>M</w:t>
      </w:r>
      <w:r w:rsidRPr="009474A6">
        <w:t xml:space="preserve">edicines and </w:t>
      </w:r>
      <w:r>
        <w:t>H</w:t>
      </w:r>
      <w:r w:rsidRPr="009474A6">
        <w:t xml:space="preserve">ealth </w:t>
      </w:r>
      <w:r>
        <w:t>P</w:t>
      </w:r>
      <w:r w:rsidRPr="009474A6">
        <w:t xml:space="preserve">roducts </w:t>
      </w:r>
      <w:r>
        <w:t>(</w:t>
      </w:r>
      <w:proofErr w:type="spellStart"/>
      <w:r>
        <w:t>F</w:t>
      </w:r>
      <w:r w:rsidRPr="009474A6">
        <w:t>ederaal</w:t>
      </w:r>
      <w:proofErr w:type="spellEnd"/>
      <w:r w:rsidRPr="009474A6">
        <w:t xml:space="preserve"> </w:t>
      </w:r>
      <w:proofErr w:type="spellStart"/>
      <w:r>
        <w:t>A</w:t>
      </w:r>
      <w:r w:rsidRPr="009474A6">
        <w:t>gentschap</w:t>
      </w:r>
      <w:proofErr w:type="spellEnd"/>
      <w:r w:rsidRPr="009474A6">
        <w:t xml:space="preserve"> </w:t>
      </w:r>
      <w:proofErr w:type="spellStart"/>
      <w:r w:rsidRPr="009474A6">
        <w:t>voor</w:t>
      </w:r>
      <w:proofErr w:type="spellEnd"/>
      <w:r w:rsidRPr="009474A6">
        <w:t xml:space="preserve"> </w:t>
      </w:r>
      <w:proofErr w:type="spellStart"/>
      <w:r>
        <w:t>G</w:t>
      </w:r>
      <w:r w:rsidRPr="009474A6">
        <w:t>eneesmiddelen</w:t>
      </w:r>
      <w:proofErr w:type="spellEnd"/>
      <w:r w:rsidRPr="009474A6">
        <w:t xml:space="preserve"> </w:t>
      </w:r>
      <w:proofErr w:type="spellStart"/>
      <w:r w:rsidRPr="009474A6">
        <w:t>en</w:t>
      </w:r>
      <w:proofErr w:type="spellEnd"/>
      <w:r w:rsidRPr="009474A6">
        <w:t xml:space="preserve"> </w:t>
      </w:r>
      <w:proofErr w:type="spellStart"/>
      <w:r>
        <w:t>G</w:t>
      </w:r>
      <w:r w:rsidRPr="009474A6">
        <w:t>ezondheidsproducten</w:t>
      </w:r>
      <w:proofErr w:type="spellEnd"/>
      <w:r>
        <w:t xml:space="preserve"> (FAGG), </w:t>
      </w:r>
      <w:r w:rsidRPr="00893DE7">
        <w:t>Belgium),</w:t>
      </w:r>
      <w:r>
        <w:t xml:space="preserve"> </w:t>
      </w:r>
      <w:r w:rsidRPr="009474A6">
        <w:t>Federal Institute for Drugs and Medical Devices (</w:t>
      </w:r>
      <w:proofErr w:type="spellStart"/>
      <w:r w:rsidRPr="009474A6">
        <w:t>Bundesinstitut</w:t>
      </w:r>
      <w:proofErr w:type="spellEnd"/>
      <w:r w:rsidRPr="009474A6">
        <w:t xml:space="preserve"> </w:t>
      </w:r>
      <w:proofErr w:type="spellStart"/>
      <w:r w:rsidRPr="009474A6">
        <w:t>für</w:t>
      </w:r>
      <w:proofErr w:type="spellEnd"/>
      <w:r w:rsidRPr="009474A6">
        <w:t xml:space="preserve"> </w:t>
      </w:r>
      <w:proofErr w:type="spellStart"/>
      <w:r w:rsidRPr="009474A6">
        <w:t>Arzneimittel</w:t>
      </w:r>
      <w:proofErr w:type="spellEnd"/>
      <w:r w:rsidRPr="009474A6">
        <w:t xml:space="preserve"> und </w:t>
      </w:r>
      <w:proofErr w:type="spellStart"/>
      <w:r w:rsidRPr="009474A6">
        <w:t>Medizinprodukte</w:t>
      </w:r>
      <w:proofErr w:type="spellEnd"/>
      <w:r>
        <w:t xml:space="preserve"> (</w:t>
      </w:r>
      <w:proofErr w:type="spellStart"/>
      <w:r w:rsidRPr="009474A6">
        <w:t>BfArM</w:t>
      </w:r>
      <w:proofErr w:type="spellEnd"/>
      <w:r w:rsidRPr="009474A6">
        <w:t>)</w:t>
      </w:r>
      <w:r>
        <w:t xml:space="preserve">, Germany), </w:t>
      </w:r>
      <w:r w:rsidRPr="00893DE7">
        <w:t xml:space="preserve"> </w:t>
      </w:r>
      <w:r>
        <w:t>State Institute for Drug Control (</w:t>
      </w:r>
      <w:proofErr w:type="spellStart"/>
      <w:r w:rsidRPr="009474A6">
        <w:t>Štátny</w:t>
      </w:r>
      <w:proofErr w:type="spellEnd"/>
      <w:r w:rsidRPr="009474A6">
        <w:t xml:space="preserve"> </w:t>
      </w:r>
      <w:proofErr w:type="spellStart"/>
      <w:r w:rsidRPr="009474A6">
        <w:t>ústav</w:t>
      </w:r>
      <w:proofErr w:type="spellEnd"/>
      <w:r w:rsidRPr="009474A6">
        <w:t xml:space="preserve"> pre </w:t>
      </w:r>
      <w:proofErr w:type="spellStart"/>
      <w:r w:rsidRPr="009474A6">
        <w:t>kontrolu</w:t>
      </w:r>
      <w:proofErr w:type="spellEnd"/>
      <w:r w:rsidRPr="009474A6">
        <w:t xml:space="preserve"> </w:t>
      </w:r>
      <w:proofErr w:type="spellStart"/>
      <w:r w:rsidRPr="009474A6">
        <w:t>liečiv</w:t>
      </w:r>
      <w:proofErr w:type="spellEnd"/>
      <w:r w:rsidRPr="009474A6">
        <w:t xml:space="preserve"> </w:t>
      </w:r>
      <w:r>
        <w:t>(</w:t>
      </w:r>
      <w:r w:rsidRPr="00893DE7">
        <w:t>ŠUKL</w:t>
      </w:r>
      <w:r>
        <w:t>), Slovakia)</w:t>
      </w:r>
      <w:r w:rsidRPr="4F1B7246">
        <w:t xml:space="preserve"> </w:t>
      </w:r>
      <w:r>
        <w:t>or Independent</w:t>
      </w:r>
      <w:r>
        <w:rPr>
          <w:rFonts w:cstheme="minorHAnsi"/>
          <w:lang w:eastAsia="nl-NL"/>
        </w:rPr>
        <w:t xml:space="preserve"> Ethics Committee (IEC) </w:t>
      </w:r>
      <w:r w:rsidRPr="00893DE7">
        <w:t>(</w:t>
      </w:r>
      <w:r>
        <w:t xml:space="preserve">i.e., in Scotland, </w:t>
      </w:r>
      <w:r w:rsidRPr="00893DE7">
        <w:t>UK)</w:t>
      </w:r>
      <w:r>
        <w:t xml:space="preserve"> and the </w:t>
      </w:r>
      <w:r>
        <w:rPr>
          <w:rFonts w:cstheme="minorHAnsi"/>
          <w:lang w:eastAsia="nl-NL"/>
        </w:rPr>
        <w:t>Data Monitoring and Ethics Committee (DMEC)</w:t>
      </w:r>
      <w:r>
        <w:t xml:space="preserve">. </w:t>
      </w:r>
      <w:r>
        <w:rPr>
          <w:rFonts w:cstheme="minorHAnsi"/>
          <w:lang w:eastAsia="nl-NL"/>
        </w:rPr>
        <w:t xml:space="preserve">Whilst carefully </w:t>
      </w:r>
      <w:r w:rsidRPr="00214B5F">
        <w:rPr>
          <w:rFonts w:cstheme="minorHAnsi"/>
          <w:lang w:eastAsia="nl-NL"/>
        </w:rPr>
        <w:t xml:space="preserve">documented, it is not expected that any SAE will occur as a result of the intervention. The DMEC will advise on any ethical or safety concerns, </w:t>
      </w:r>
      <w:r w:rsidRPr="00214B5F">
        <w:rPr>
          <w:w w:val="105"/>
        </w:rPr>
        <w:t>monitor evidence for intervention harm (e.g. SAEs) for the experimental condition and review</w:t>
      </w:r>
      <w:r w:rsidRPr="00214B5F">
        <w:rPr>
          <w:spacing w:val="-5"/>
          <w:w w:val="105"/>
        </w:rPr>
        <w:t xml:space="preserve"> </w:t>
      </w:r>
      <w:r w:rsidRPr="00214B5F">
        <w:rPr>
          <w:w w:val="105"/>
        </w:rPr>
        <w:t>whether</w:t>
      </w:r>
      <w:r w:rsidRPr="00214B5F">
        <w:rPr>
          <w:spacing w:val="-5"/>
          <w:w w:val="105"/>
        </w:rPr>
        <w:t xml:space="preserve"> </w:t>
      </w:r>
      <w:r w:rsidRPr="00214B5F">
        <w:rPr>
          <w:w w:val="105"/>
        </w:rPr>
        <w:t>these</w:t>
      </w:r>
      <w:r w:rsidRPr="00214B5F">
        <w:rPr>
          <w:spacing w:val="-5"/>
          <w:w w:val="105"/>
        </w:rPr>
        <w:t xml:space="preserve"> </w:t>
      </w:r>
      <w:r w:rsidRPr="00214B5F">
        <w:rPr>
          <w:w w:val="105"/>
        </w:rPr>
        <w:t>events</w:t>
      </w:r>
      <w:r w:rsidRPr="00214B5F">
        <w:rPr>
          <w:spacing w:val="-5"/>
          <w:w w:val="105"/>
        </w:rPr>
        <w:t xml:space="preserve"> </w:t>
      </w:r>
      <w:r w:rsidRPr="00214B5F">
        <w:rPr>
          <w:w w:val="105"/>
        </w:rPr>
        <w:t>are</w:t>
      </w:r>
      <w:r w:rsidRPr="00214B5F">
        <w:rPr>
          <w:spacing w:val="-5"/>
          <w:w w:val="105"/>
        </w:rPr>
        <w:t xml:space="preserve"> </w:t>
      </w:r>
      <w:r w:rsidRPr="00214B5F">
        <w:rPr>
          <w:w w:val="105"/>
        </w:rPr>
        <w:t>in</w:t>
      </w:r>
      <w:r w:rsidRPr="00214B5F">
        <w:rPr>
          <w:spacing w:val="-5"/>
          <w:w w:val="105"/>
        </w:rPr>
        <w:t xml:space="preserve"> </w:t>
      </w:r>
      <w:r w:rsidRPr="00214B5F">
        <w:rPr>
          <w:w w:val="105"/>
        </w:rPr>
        <w:t>line</w:t>
      </w:r>
      <w:r w:rsidRPr="00214B5F">
        <w:rPr>
          <w:spacing w:val="-5"/>
          <w:w w:val="105"/>
        </w:rPr>
        <w:t xml:space="preserve"> </w:t>
      </w:r>
      <w:r w:rsidRPr="00214B5F">
        <w:rPr>
          <w:w w:val="105"/>
        </w:rPr>
        <w:t>with</w:t>
      </w:r>
      <w:r w:rsidRPr="00214B5F">
        <w:rPr>
          <w:spacing w:val="-5"/>
          <w:w w:val="105"/>
        </w:rPr>
        <w:t xml:space="preserve"> </w:t>
      </w:r>
      <w:r w:rsidRPr="00214B5F">
        <w:rPr>
          <w:w w:val="105"/>
        </w:rPr>
        <w:t>expectations.</w:t>
      </w:r>
      <w:r w:rsidRPr="00214B5F">
        <w:rPr>
          <w:rFonts w:cstheme="minorHAnsi"/>
          <w:lang w:eastAsia="nl-NL"/>
        </w:rPr>
        <w:t xml:space="preserve"> If deemed necessary, the DMEC can recommend to the Coordinator and TSC for interim analyses to be conducted and the trial to be terminated prematurely. All reported (serious) adverse events which are related to the study will be reported in trial publications.</w:t>
      </w:r>
    </w:p>
    <w:p w14:paraId="0A9CE44E" w14:textId="77777777" w:rsidR="006115BA" w:rsidRPr="0001532F" w:rsidRDefault="006115BA">
      <w:pPr>
        <w:rPr>
          <w:lang w:val="en-GB"/>
        </w:rPr>
      </w:pPr>
    </w:p>
    <w:sectPr w:rsidR="006115BA" w:rsidRPr="0001532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32F"/>
    <w:rsid w:val="0001532F"/>
    <w:rsid w:val="0019106B"/>
    <w:rsid w:val="006115BA"/>
    <w:rsid w:val="00AB479C"/>
    <w:rsid w:val="00BD0FE3"/>
    <w:rsid w:val="00DA0F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DE13F"/>
  <w15:chartTrackingRefBased/>
  <w15:docId w15:val="{3EE75C2C-2B24-4F9D-9BD8-04FC6FF3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01532F"/>
    <w:pPr>
      <w:spacing w:after="0" w:line="240" w:lineRule="auto"/>
    </w:pPr>
    <w:rPr>
      <w:lang w:val="en-GB"/>
    </w:rPr>
  </w:style>
  <w:style w:type="character" w:customStyle="1" w:styleId="KeinLeerraumZchn">
    <w:name w:val="Kein Leerraum Zchn"/>
    <w:basedOn w:val="Absatz-Standardschriftart"/>
    <w:link w:val="KeinLeerraum"/>
    <w:uiPriority w:val="1"/>
    <w:rsid w:val="0001532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1251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ZI Mannheim</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Schick, Anita</dc:creator>
  <cp:keywords/>
  <dc:description/>
  <cp:lastModifiedBy>Schick, Anita</cp:lastModifiedBy>
  <cp:revision>2</cp:revision>
  <dcterms:created xsi:type="dcterms:W3CDTF">2024-06-12T19:53:00Z</dcterms:created>
  <dcterms:modified xsi:type="dcterms:W3CDTF">2024-06-12T19:53:00Z</dcterms:modified>
</cp:coreProperties>
</file>