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32AA9" w14:textId="1A041948" w:rsidR="00EF4B94" w:rsidRDefault="00914C56" w:rsidP="00914C56">
      <w:pPr>
        <w:rPr>
          <w:rFonts w:eastAsia="Times New Roman"/>
          <w:b/>
          <w:sz w:val="20"/>
          <w:szCs w:val="20"/>
          <w:lang w:eastAsia="en-GB"/>
        </w:rPr>
      </w:pPr>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3EE539AD"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00D8098C" w:rsidRPr="00B853C6" w14:paraId="68BC94E2" w14:textId="1CEFEAFD" w:rsidTr="003D447D">
        <w:tc>
          <w:tcPr>
            <w:tcW w:w="587" w:type="dxa"/>
            <w:tcBorders>
              <w:top w:val="single" w:sz="4" w:space="0" w:color="auto"/>
              <w:bottom w:val="single" w:sz="6" w:space="0" w:color="7F7F7F"/>
            </w:tcBorders>
            <w:shd w:val="clear" w:color="auto" w:fill="auto"/>
          </w:tcPr>
          <w:p w14:paraId="00DEF8A5"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04F587D2"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5A68276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26D050FB" w14:textId="497E77E4"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sz="4" w:space="0" w:color="auto"/>
              <w:bottom w:val="single" w:sz="6" w:space="0" w:color="7F7F7F"/>
            </w:tcBorders>
          </w:tcPr>
          <w:p w14:paraId="3B169EDD" w14:textId="040F4512"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D8098C" w:rsidRPr="00B853C6" w14:paraId="6D71F361" w14:textId="15A67F44" w:rsidTr="003D447D">
        <w:tc>
          <w:tcPr>
            <w:tcW w:w="587" w:type="dxa"/>
            <w:tcBorders>
              <w:top w:val="single" w:sz="6" w:space="0" w:color="7F7F7F"/>
              <w:bottom w:val="single" w:sz="6" w:space="0" w:color="7F7F7F"/>
            </w:tcBorders>
            <w:shd w:val="clear" w:color="auto" w:fill="EEEEEE"/>
          </w:tcPr>
          <w:p w14:paraId="25A8835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4CC4316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1DA8BD46" w14:textId="22BBD1AD"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428F187D" w14:textId="4B444743"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w:t>
            </w:r>
          </w:p>
        </w:tc>
        <w:tc>
          <w:tcPr>
            <w:tcW w:w="4320" w:type="dxa"/>
            <w:tcBorders>
              <w:top w:val="single" w:sz="6" w:space="0" w:color="7F7F7F"/>
              <w:bottom w:val="single" w:sz="6" w:space="0" w:color="7F7F7F"/>
            </w:tcBorders>
            <w:shd w:val="clear" w:color="auto" w:fill="EEEEEE"/>
          </w:tcPr>
          <w:p w14:paraId="2F6D1FAF" w14:textId="557F2423"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Causal relationship between resting-state networks and depression: A bidirectional two-sample Mendelian randomization study.</w:t>
            </w:r>
          </w:p>
        </w:tc>
      </w:tr>
      <w:tr w:rsidR="00D8098C" w:rsidRPr="00B853C6" w14:paraId="641E6A58" w14:textId="3A4EC1CE" w:rsidTr="003D447D">
        <w:tc>
          <w:tcPr>
            <w:tcW w:w="587" w:type="dxa"/>
            <w:tcBorders>
              <w:top w:val="single" w:sz="6" w:space="0" w:color="7F7F7F"/>
            </w:tcBorders>
            <w:shd w:val="clear" w:color="auto" w:fill="auto"/>
          </w:tcPr>
          <w:p w14:paraId="4792BE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63B58F0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473C01D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6681F500" w14:textId="69DF1F85" w:rsidR="00D8098C" w:rsidRPr="00BF4578" w:rsidRDefault="00D8098C" w:rsidP="00426603">
            <w:pPr>
              <w:spacing w:beforeLines="40" w:before="96" w:afterLines="40" w:after="96" w:line="24" w:lineRule="atLeast"/>
              <w:rPr>
                <w:rFonts w:eastAsiaTheme="minorEastAsia"/>
                <w:sz w:val="18"/>
                <w:szCs w:val="18"/>
                <w:lang w:val="en-GB" w:eastAsia="zh-CN"/>
              </w:rPr>
            </w:pPr>
          </w:p>
        </w:tc>
        <w:tc>
          <w:tcPr>
            <w:tcW w:w="4320" w:type="dxa"/>
            <w:tcBorders>
              <w:top w:val="single" w:sz="6" w:space="0" w:color="7F7F7F"/>
            </w:tcBorders>
          </w:tcPr>
          <w:p w14:paraId="7A6DC6E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7DB622D8" w14:textId="3921B7E8" w:rsidTr="003D447D">
        <w:tc>
          <w:tcPr>
            <w:tcW w:w="587" w:type="dxa"/>
            <w:shd w:val="clear" w:color="auto" w:fill="EEEEEE"/>
          </w:tcPr>
          <w:p w14:paraId="7DE28D6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22" w:type="dxa"/>
            <w:shd w:val="clear" w:color="auto" w:fill="EEEEEE"/>
          </w:tcPr>
          <w:p w14:paraId="7756B32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7041" w:type="dxa"/>
            <w:shd w:val="clear" w:color="auto" w:fill="EEEEEE"/>
          </w:tcPr>
          <w:p w14:paraId="5423D52E" w14:textId="5998ED56"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720" w:type="dxa"/>
            <w:shd w:val="clear" w:color="auto" w:fill="EEEEEE"/>
          </w:tcPr>
          <w:p w14:paraId="460FB29C" w14:textId="233D532F" w:rsidR="00D8098C" w:rsidRPr="00BF4578" w:rsidRDefault="005A0DD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2</w:t>
            </w:r>
          </w:p>
        </w:tc>
        <w:tc>
          <w:tcPr>
            <w:tcW w:w="4320" w:type="dxa"/>
            <w:shd w:val="clear" w:color="auto" w:fill="EEEEEE"/>
          </w:tcPr>
          <w:p w14:paraId="5D990A22" w14:textId="18FCB1ED"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Cerebral resting-state networks were suggested to be strongly associated with depression.</w:t>
            </w:r>
          </w:p>
        </w:tc>
      </w:tr>
      <w:tr w:rsidR="00D8098C" w:rsidRPr="00B853C6" w14:paraId="7907A3D3" w14:textId="5AB948A7" w:rsidTr="003D447D">
        <w:tc>
          <w:tcPr>
            <w:tcW w:w="587" w:type="dxa"/>
            <w:tcBorders>
              <w:bottom w:val="single" w:sz="6" w:space="0" w:color="7F7F7F"/>
            </w:tcBorders>
            <w:shd w:val="clear" w:color="auto" w:fill="auto"/>
          </w:tcPr>
          <w:p w14:paraId="4F63B03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22" w:type="dxa"/>
            <w:tcBorders>
              <w:bottom w:val="single" w:sz="6" w:space="0" w:color="7F7F7F"/>
            </w:tcBorders>
            <w:shd w:val="clear" w:color="auto" w:fill="auto"/>
          </w:tcPr>
          <w:p w14:paraId="3E6B9EE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41BC8A0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2294F6C5" w14:textId="423EF23C" w:rsidR="00D8098C" w:rsidRPr="00BF4578" w:rsidRDefault="005A0DD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2</w:t>
            </w:r>
          </w:p>
        </w:tc>
        <w:tc>
          <w:tcPr>
            <w:tcW w:w="4320" w:type="dxa"/>
            <w:tcBorders>
              <w:bottom w:val="single" w:sz="6" w:space="0" w:color="7F7F7F"/>
            </w:tcBorders>
          </w:tcPr>
          <w:p w14:paraId="11250836" w14:textId="7ADBEA86"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In this study, we aimed to investigate the effect of resting-state networks on depression using a bidirectional Mendelian randomization (MR) design.</w:t>
            </w:r>
          </w:p>
        </w:tc>
      </w:tr>
      <w:tr w:rsidR="00D8098C" w:rsidRPr="00B853C6" w14:paraId="59599383" w14:textId="2880B554" w:rsidTr="003D447D">
        <w:tc>
          <w:tcPr>
            <w:tcW w:w="587" w:type="dxa"/>
            <w:tcBorders>
              <w:top w:val="single" w:sz="6" w:space="0" w:color="7F7F7F"/>
            </w:tcBorders>
            <w:shd w:val="clear" w:color="auto" w:fill="EEEEEE"/>
          </w:tcPr>
          <w:p w14:paraId="3524D6D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152628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7041" w:type="dxa"/>
            <w:tcBorders>
              <w:top w:val="single" w:sz="6" w:space="0" w:color="7F7F7F"/>
            </w:tcBorders>
            <w:shd w:val="clear" w:color="auto" w:fill="EEEEEE"/>
          </w:tcPr>
          <w:p w14:paraId="309B85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2FFEF450"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shd w:val="clear" w:color="auto" w:fill="EEEEEE"/>
          </w:tcPr>
          <w:p w14:paraId="6CB9315A"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440155E" w14:textId="16610A1F" w:rsidTr="003D447D">
        <w:tc>
          <w:tcPr>
            <w:tcW w:w="587" w:type="dxa"/>
            <w:shd w:val="clear" w:color="auto" w:fill="auto"/>
          </w:tcPr>
          <w:p w14:paraId="5C7CF34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22" w:type="dxa"/>
            <w:shd w:val="clear" w:color="auto" w:fill="auto"/>
          </w:tcPr>
          <w:p w14:paraId="408E2A8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7041" w:type="dxa"/>
            <w:shd w:val="clear" w:color="auto" w:fill="auto"/>
          </w:tcPr>
          <w:p w14:paraId="29029CA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E181C75" w14:textId="38934438" w:rsidR="00D8098C" w:rsidRPr="00BF4578" w:rsidRDefault="005A0DD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tcPr>
          <w:p w14:paraId="23CE0AC6" w14:textId="2EE43B56"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Updated summary-level genome-wide association study (GWAS) data correlated with resting-state networks were obtained from a meta-analysis of European-descent GWAS from the Complex Trait Genetics Lab.</w:t>
            </w:r>
          </w:p>
        </w:tc>
      </w:tr>
      <w:tr w:rsidR="00D8098C" w:rsidRPr="00B853C6" w14:paraId="47D5AE21" w14:textId="3CA8D4AF" w:rsidTr="003D447D">
        <w:tc>
          <w:tcPr>
            <w:tcW w:w="587" w:type="dxa"/>
            <w:shd w:val="clear" w:color="auto" w:fill="EEEEEE"/>
          </w:tcPr>
          <w:p w14:paraId="0980B68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9E72AC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246167B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048ED5CF" w14:textId="7AAB5D0B" w:rsidR="00D8098C" w:rsidRPr="00BF4578" w:rsidRDefault="005A0DD8" w:rsidP="00426603">
            <w:pPr>
              <w:spacing w:beforeLines="40" w:before="96" w:afterLines="40" w:after="96" w:line="24" w:lineRule="atLeast"/>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3</w:t>
            </w:r>
          </w:p>
        </w:tc>
        <w:tc>
          <w:tcPr>
            <w:tcW w:w="4320" w:type="dxa"/>
            <w:shd w:val="clear" w:color="auto" w:fill="EEEEEE"/>
          </w:tcPr>
          <w:p w14:paraId="33F4171D" w14:textId="023F31C9" w:rsidR="00D8098C" w:rsidRDefault="00BF4578" w:rsidP="00426603">
            <w:pPr>
              <w:spacing w:beforeLines="40" w:before="96" w:afterLines="40" w:after="96" w:line="24" w:lineRule="atLeast"/>
              <w:rPr>
                <w:rFonts w:eastAsia="Times New Roman"/>
                <w:sz w:val="18"/>
                <w:szCs w:val="18"/>
                <w:shd w:val="clear" w:color="auto" w:fill="FFFFFF"/>
                <w:lang w:val="en-GB" w:eastAsia="en-GB"/>
              </w:rPr>
            </w:pPr>
            <w:r w:rsidRPr="00BF4578">
              <w:rPr>
                <w:rFonts w:eastAsia="Times New Roman"/>
                <w:sz w:val="18"/>
                <w:szCs w:val="18"/>
                <w:shd w:val="clear" w:color="auto" w:fill="FFFFFF"/>
                <w:lang w:val="en-GB" w:eastAsia="en-GB"/>
              </w:rPr>
              <w:t>Neuroimaging data from 40,682 volunteers from the UK Biobank were used in this study. The Complex Trait Genetics Lab provided summary-level genome-wise association study (GWAS) data which were correlated with brain RSNs and obtained from a genetic architecture analysis of participants with European ancestry.</w:t>
            </w:r>
          </w:p>
        </w:tc>
      </w:tr>
      <w:tr w:rsidR="00D8098C" w:rsidRPr="00B853C6" w14:paraId="376A6F82" w14:textId="43693FDC" w:rsidTr="003D447D">
        <w:tc>
          <w:tcPr>
            <w:tcW w:w="587" w:type="dxa"/>
            <w:shd w:val="clear" w:color="auto" w:fill="auto"/>
          </w:tcPr>
          <w:p w14:paraId="6B85F4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CF2EB5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E3BCE69"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720" w:type="dxa"/>
          </w:tcPr>
          <w:p w14:paraId="29ACC32C" w14:textId="52DB2DBA" w:rsidR="00D8098C" w:rsidRPr="00BF4578" w:rsidRDefault="005A0DD8"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3</w:t>
            </w:r>
          </w:p>
        </w:tc>
        <w:tc>
          <w:tcPr>
            <w:tcW w:w="4320" w:type="dxa"/>
          </w:tcPr>
          <w:p w14:paraId="37C3B4C3" w14:textId="164CD84C" w:rsidR="00D8098C" w:rsidRDefault="00BF4578"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BF4578">
              <w:rPr>
                <w:rFonts w:eastAsia="Times New Roman"/>
                <w:sz w:val="18"/>
                <w:szCs w:val="18"/>
                <w:shd w:val="clear" w:color="auto" w:fill="FFFFFF"/>
                <w:lang w:val="en-GB" w:eastAsia="en-GB"/>
              </w:rPr>
              <w:t>Genetic predictors and associations related to depression were obtained from an updated GWAS conducted by the FinnGen Consortium. The GWAS included 48,847 patients with depression and 225,483 controls with European ancestry.</w:t>
            </w:r>
          </w:p>
        </w:tc>
      </w:tr>
      <w:tr w:rsidR="00D8098C" w:rsidRPr="00B853C6" w14:paraId="04B065C7" w14:textId="72F11B68" w:rsidTr="003D447D">
        <w:tc>
          <w:tcPr>
            <w:tcW w:w="587" w:type="dxa"/>
            <w:shd w:val="clear" w:color="auto" w:fill="EEEEEE"/>
          </w:tcPr>
          <w:p w14:paraId="09448E2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60DD29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7B54F10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720" w:type="dxa"/>
            <w:shd w:val="clear" w:color="auto" w:fill="EEEEEE"/>
          </w:tcPr>
          <w:p w14:paraId="2CDB28F5" w14:textId="743A487F" w:rsidR="00D8098C" w:rsidRPr="00BF4578" w:rsidRDefault="005A0DD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shd w:val="clear" w:color="auto" w:fill="EEEEEE"/>
          </w:tcPr>
          <w:p w14:paraId="26B556E6" w14:textId="637783D5"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A rigorous procedure was followed to select the genetic instruments that strongly predicted cerebral RSNs. The independence of the instruments was ensured by considering linkage disequilibrium (LD) r2 with a threshold of r2&lt;0.01 and &lt;1 MB proximity from the index variant.</w:t>
            </w:r>
          </w:p>
        </w:tc>
      </w:tr>
      <w:tr w:rsidR="00D8098C" w:rsidRPr="00B853C6" w14:paraId="215DDE8E" w14:textId="5C8C984B" w:rsidTr="003D447D">
        <w:tc>
          <w:tcPr>
            <w:tcW w:w="587" w:type="dxa"/>
            <w:shd w:val="clear" w:color="auto" w:fill="auto"/>
          </w:tcPr>
          <w:p w14:paraId="7E3D460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FB55AD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B6B6065"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37FB656C" w14:textId="36F4357F" w:rsidR="00D8098C" w:rsidRPr="00BF4578" w:rsidRDefault="005A0DD8"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3</w:t>
            </w:r>
          </w:p>
        </w:tc>
        <w:tc>
          <w:tcPr>
            <w:tcW w:w="4320" w:type="dxa"/>
          </w:tcPr>
          <w:p w14:paraId="18BB4B57" w14:textId="51F1C9F5" w:rsidR="00D8098C" w:rsidRDefault="00BF4578"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BF4578">
              <w:rPr>
                <w:rFonts w:eastAsia="Times New Roman"/>
                <w:sz w:val="18"/>
                <w:szCs w:val="18"/>
                <w:lang w:val="en-GB" w:eastAsia="en-GB"/>
              </w:rPr>
              <w:t>The independence of the instruments was ensured by considering linkage disequilibrium (LD) r2 with a threshold of r2&lt;0.01 and &lt;1 MB proximity from the index variant.</w:t>
            </w:r>
          </w:p>
        </w:tc>
      </w:tr>
      <w:tr w:rsidR="00D8098C" w:rsidRPr="00B853C6" w14:paraId="69A6C8B1" w14:textId="39D94CE4" w:rsidTr="003D447D">
        <w:tc>
          <w:tcPr>
            <w:tcW w:w="587" w:type="dxa"/>
            <w:shd w:val="clear" w:color="auto" w:fill="EEEEEE"/>
          </w:tcPr>
          <w:p w14:paraId="292FBB9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3C46B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EEEEEE"/>
          </w:tcPr>
          <w:p w14:paraId="4E713FB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2754FA07" w14:textId="2A094527" w:rsidR="00D8098C" w:rsidRPr="00BF4578" w:rsidRDefault="005A0DD8" w:rsidP="00426603">
            <w:pPr>
              <w:spacing w:beforeLines="40" w:before="96" w:afterLines="40" w:after="96" w:line="24" w:lineRule="atLeast"/>
              <w:textAlignment w:val="baseline"/>
              <w:rPr>
                <w:rFonts w:eastAsiaTheme="minorEastAsia"/>
                <w:sz w:val="18"/>
                <w:szCs w:val="18"/>
                <w:shd w:val="clear" w:color="auto" w:fill="FFFFFF"/>
                <w:lang w:val="en-GB" w:eastAsia="zh-CN"/>
              </w:rPr>
            </w:pPr>
            <w:r>
              <w:rPr>
                <w:rFonts w:eastAsiaTheme="minorEastAsia" w:hint="eastAsia"/>
                <w:sz w:val="18"/>
                <w:szCs w:val="18"/>
                <w:shd w:val="clear" w:color="auto" w:fill="FFFFFF"/>
                <w:lang w:val="en-GB" w:eastAsia="zh-CN"/>
              </w:rPr>
              <w:t>5</w:t>
            </w:r>
          </w:p>
        </w:tc>
        <w:tc>
          <w:tcPr>
            <w:tcW w:w="4320" w:type="dxa"/>
            <w:shd w:val="clear" w:color="auto" w:fill="EEEEEE"/>
          </w:tcPr>
          <w:p w14:paraId="6067A95B" w14:textId="7F441061" w:rsidR="00D8098C" w:rsidRDefault="00BF4578" w:rsidP="00426603">
            <w:pPr>
              <w:spacing w:beforeLines="40" w:before="96" w:afterLines="40" w:after="96" w:line="24" w:lineRule="atLeast"/>
              <w:textAlignment w:val="baseline"/>
              <w:rPr>
                <w:rFonts w:eastAsia="Times New Roman"/>
                <w:sz w:val="18"/>
                <w:szCs w:val="18"/>
                <w:shd w:val="clear" w:color="auto" w:fill="FFFFFF"/>
                <w:lang w:val="en-GB" w:eastAsia="en-GB"/>
              </w:rPr>
            </w:pPr>
            <w:r w:rsidRPr="00BF4578">
              <w:rPr>
                <w:rFonts w:eastAsia="Times New Roman"/>
                <w:sz w:val="18"/>
                <w:szCs w:val="18"/>
                <w:shd w:val="clear" w:color="auto" w:fill="FFFFFF"/>
                <w:lang w:val="en-GB" w:eastAsia="en-GB"/>
              </w:rPr>
              <w:t>No additional ethical approval was required because the study consisted of the reanalysis of previously collected and published data.</w:t>
            </w:r>
          </w:p>
        </w:tc>
      </w:tr>
      <w:tr w:rsidR="00D8098C" w:rsidRPr="00B853C6" w14:paraId="23EA53EC" w14:textId="1D3E4E77" w:rsidTr="003D447D">
        <w:tc>
          <w:tcPr>
            <w:tcW w:w="587" w:type="dxa"/>
            <w:shd w:val="clear" w:color="auto" w:fill="auto"/>
          </w:tcPr>
          <w:p w14:paraId="3E6E0D6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22" w:type="dxa"/>
            <w:shd w:val="clear" w:color="auto" w:fill="auto"/>
          </w:tcPr>
          <w:p w14:paraId="1F0455B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0458797D"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5139727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6A2AE76D" w14:textId="43DD9625"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tcPr>
          <w:p w14:paraId="7A54DE1B" w14:textId="3108E985"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MR studies commonly use three methods to address variant sensitivity and potential pleiotropic effects: random-effect inverse-variance weighted (IVW), MR-Egger, and weighted median. The IVW method assumes that genetic instruments affect the outcome only through the exposure of interest. MR-Egger allows for the inclusion of genetic variants with pleiotropic effects but requires that these pleiotropic effects are independent of the variant-exposure association.</w:t>
            </w:r>
          </w:p>
        </w:tc>
      </w:tr>
      <w:tr w:rsidR="00D8098C" w:rsidRPr="00B853C6" w14:paraId="6209F8C8" w14:textId="78A53B40" w:rsidTr="003D447D">
        <w:tc>
          <w:tcPr>
            <w:tcW w:w="587" w:type="dxa"/>
            <w:shd w:val="clear" w:color="auto" w:fill="EEEEEE"/>
          </w:tcPr>
          <w:p w14:paraId="6FA239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22" w:type="dxa"/>
            <w:shd w:val="clear" w:color="auto" w:fill="EEEEEE"/>
          </w:tcPr>
          <w:p w14:paraId="3D8F9E9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7041" w:type="dxa"/>
            <w:shd w:val="clear" w:color="auto" w:fill="EEEEEE"/>
          </w:tcPr>
          <w:p w14:paraId="49C33D0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720" w:type="dxa"/>
            <w:shd w:val="clear" w:color="auto" w:fill="EEEEEE"/>
          </w:tcPr>
          <w:p w14:paraId="0D1191BA" w14:textId="3DF359AD"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shd w:val="clear" w:color="auto" w:fill="EEEEEE"/>
          </w:tcPr>
          <w:p w14:paraId="75DF0C4B" w14:textId="6D337E6E"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Statistical analysis was performed using the packages TwoSampleMR and MR-PRESSO in R (version 4.3.0). All tests were two-sided, and the Bonferroni-corrected significance threshold was set at P&lt;0.003 (corrected for 16 risks), and P&lt;0.05 was regarded as nominally significant.</w:t>
            </w:r>
          </w:p>
        </w:tc>
      </w:tr>
      <w:tr w:rsidR="00D8098C" w:rsidRPr="00B853C6" w14:paraId="4346E621" w14:textId="11B8B572" w:rsidTr="003D447D">
        <w:tc>
          <w:tcPr>
            <w:tcW w:w="587" w:type="dxa"/>
            <w:shd w:val="clear" w:color="auto" w:fill="auto"/>
          </w:tcPr>
          <w:p w14:paraId="339A016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635743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3BB9002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720" w:type="dxa"/>
          </w:tcPr>
          <w:p w14:paraId="22720A53" w14:textId="77777777" w:rsidR="00D8098C" w:rsidRPr="00A1236D" w:rsidRDefault="00D8098C" w:rsidP="00426603">
            <w:pPr>
              <w:spacing w:beforeLines="40" w:before="96" w:afterLines="40" w:after="96" w:line="24" w:lineRule="atLeast"/>
              <w:rPr>
                <w:rFonts w:eastAsia="Times New Roman"/>
                <w:sz w:val="18"/>
                <w:szCs w:val="18"/>
                <w:lang w:val="en-GB" w:eastAsia="en-GB"/>
              </w:rPr>
            </w:pPr>
          </w:p>
        </w:tc>
        <w:tc>
          <w:tcPr>
            <w:tcW w:w="4320" w:type="dxa"/>
          </w:tcPr>
          <w:p w14:paraId="76159846"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642A4D4B" w14:textId="4880F3BA" w:rsidTr="003D447D">
        <w:tc>
          <w:tcPr>
            <w:tcW w:w="587" w:type="dxa"/>
            <w:shd w:val="clear" w:color="auto" w:fill="EEEEEE"/>
          </w:tcPr>
          <w:p w14:paraId="11F7484C"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69D49F3"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6B2ACDE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0DAE64B0" w14:textId="2299CA8A"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2</w:t>
            </w:r>
          </w:p>
        </w:tc>
        <w:tc>
          <w:tcPr>
            <w:tcW w:w="4320" w:type="dxa"/>
            <w:shd w:val="clear" w:color="auto" w:fill="EEEEEE"/>
          </w:tcPr>
          <w:p w14:paraId="1612F89F" w14:textId="38BF6BDD"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A rigorous procedure was followed to select the genetic instruments that strongly predicted cerebral RSNs. The independence of the instruments was ensured by considering linkage disequilibrium (LD) r^2 with a threshold of r^2&lt;0.01.</w:t>
            </w:r>
          </w:p>
        </w:tc>
      </w:tr>
      <w:tr w:rsidR="00D8098C" w:rsidRPr="00B853C6" w14:paraId="70378831" w14:textId="0868B0A4" w:rsidTr="003D447D">
        <w:tc>
          <w:tcPr>
            <w:tcW w:w="587" w:type="dxa"/>
            <w:shd w:val="clear" w:color="auto" w:fill="auto"/>
          </w:tcPr>
          <w:p w14:paraId="45E414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9F665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CB03D9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7B7E7C35" w14:textId="5FED854B"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tcPr>
          <w:p w14:paraId="334D44EB" w14:textId="588ACD29"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Inverse-variance weighting (IVW) was used as the primary estimate, whereas the MR-Pleiotropy RESidual Sum and Outliers (PRESSO), MR-Egger, and weighted median were used to detect heterogeneity, sensitivity, and pleiotropy.</w:t>
            </w:r>
          </w:p>
        </w:tc>
      </w:tr>
      <w:tr w:rsidR="00D8098C" w:rsidRPr="00B853C6" w14:paraId="0D8F3A7E" w14:textId="14623463" w:rsidTr="003D447D">
        <w:tc>
          <w:tcPr>
            <w:tcW w:w="587" w:type="dxa"/>
            <w:shd w:val="clear" w:color="auto" w:fill="EEEEEE"/>
          </w:tcPr>
          <w:p w14:paraId="1D70C4C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A3AAFD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0878638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720" w:type="dxa"/>
            <w:shd w:val="clear" w:color="auto" w:fill="EEEEEE"/>
          </w:tcPr>
          <w:p w14:paraId="297C3632" w14:textId="77777777" w:rsidR="00D8098C" w:rsidRPr="00A1236D" w:rsidRDefault="00D8098C" w:rsidP="00426603">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16808665" w14:textId="77777777" w:rsidR="00D8098C" w:rsidRDefault="00D8098C" w:rsidP="00426603">
            <w:pPr>
              <w:spacing w:beforeLines="40" w:before="96" w:afterLines="40" w:after="96" w:line="24" w:lineRule="atLeast"/>
              <w:rPr>
                <w:rFonts w:eastAsia="Times New Roman"/>
                <w:sz w:val="18"/>
                <w:szCs w:val="18"/>
                <w:lang w:val="en-GB" w:eastAsia="en-GB"/>
              </w:rPr>
            </w:pPr>
          </w:p>
        </w:tc>
      </w:tr>
      <w:tr w:rsidR="00D8098C" w:rsidRPr="00B853C6" w14:paraId="77F037B8" w14:textId="6696FA54" w:rsidTr="003D447D">
        <w:tc>
          <w:tcPr>
            <w:tcW w:w="587" w:type="dxa"/>
            <w:shd w:val="clear" w:color="auto" w:fill="auto"/>
          </w:tcPr>
          <w:p w14:paraId="4AC39E5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D9E035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auto"/>
          </w:tcPr>
          <w:p w14:paraId="41F1E52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720" w:type="dxa"/>
          </w:tcPr>
          <w:p w14:paraId="6B5C4982" w14:textId="2197F90C"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tcPr>
          <w:p w14:paraId="490E44D4" w14:textId="104426FA"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The Bonferroni-corrected significance threshold was set at P&lt;0.003 (corrected for 16 risks).</w:t>
            </w:r>
          </w:p>
        </w:tc>
      </w:tr>
      <w:tr w:rsidR="00D8098C" w:rsidRPr="00B853C6" w14:paraId="585043CE" w14:textId="4922F612" w:rsidTr="003D447D">
        <w:tc>
          <w:tcPr>
            <w:tcW w:w="587" w:type="dxa"/>
            <w:shd w:val="clear" w:color="auto" w:fill="EEEEEE"/>
          </w:tcPr>
          <w:p w14:paraId="55967D0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7</w:t>
            </w:r>
          </w:p>
        </w:tc>
        <w:tc>
          <w:tcPr>
            <w:tcW w:w="1822" w:type="dxa"/>
            <w:shd w:val="clear" w:color="auto" w:fill="EEEEEE"/>
          </w:tcPr>
          <w:p w14:paraId="0947B164"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1E6D0B1E" w14:textId="77777777" w:rsidR="00D8098C" w:rsidRPr="00A1236D" w:rsidRDefault="00D8098C" w:rsidP="00426603">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720" w:type="dxa"/>
            <w:shd w:val="clear" w:color="auto" w:fill="EEEEEE"/>
          </w:tcPr>
          <w:p w14:paraId="61C50F74" w14:textId="5E3A0BFD" w:rsidR="00D8098C" w:rsidRPr="00BF4578" w:rsidRDefault="00BF4578" w:rsidP="00426603">
            <w:pPr>
              <w:tabs>
                <w:tab w:val="left" w:pos="1620"/>
              </w:tabs>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shd w:val="clear" w:color="auto" w:fill="EEEEEE"/>
          </w:tcPr>
          <w:p w14:paraId="5D46DB2B" w14:textId="44150296" w:rsidR="00D8098C" w:rsidRDefault="00BF4578" w:rsidP="00426603">
            <w:pPr>
              <w:tabs>
                <w:tab w:val="left" w:pos="1620"/>
              </w:tabs>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For significant estimates, directional pleiotropy can be assessed using the MR-Egger intercept test with a P-value below 0.05 indicating the presence of directional pleiotropy.</w:t>
            </w:r>
          </w:p>
        </w:tc>
      </w:tr>
      <w:tr w:rsidR="00D8098C" w:rsidRPr="00B853C6" w14:paraId="383932D9" w14:textId="2C1AFE56" w:rsidTr="003D447D">
        <w:tc>
          <w:tcPr>
            <w:tcW w:w="587" w:type="dxa"/>
            <w:shd w:val="clear" w:color="auto" w:fill="auto"/>
          </w:tcPr>
          <w:p w14:paraId="1A4621B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22" w:type="dxa"/>
            <w:shd w:val="clear" w:color="auto" w:fill="auto"/>
          </w:tcPr>
          <w:p w14:paraId="0F88F25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7041" w:type="dxa"/>
            <w:shd w:val="clear" w:color="auto" w:fill="auto"/>
          </w:tcPr>
          <w:p w14:paraId="13C6445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4B9B6FF5" w14:textId="4F6F94CF" w:rsidR="00D8098C" w:rsidRPr="00BF4578" w:rsidRDefault="00BF457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3</w:t>
            </w:r>
          </w:p>
        </w:tc>
        <w:tc>
          <w:tcPr>
            <w:tcW w:w="4320" w:type="dxa"/>
          </w:tcPr>
          <w:p w14:paraId="229BFDFD" w14:textId="483C615A"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Sensitivity analyses were performed to assess the robustness of the main results to violations of the assumptions. This involved a leave-one-out analysis, sequentially removing each SNP from the analysis.</w:t>
            </w:r>
          </w:p>
        </w:tc>
      </w:tr>
      <w:tr w:rsidR="00D8098C" w:rsidRPr="00B853C6" w14:paraId="55C7A410" w14:textId="0BAB653A" w:rsidTr="003D447D">
        <w:tc>
          <w:tcPr>
            <w:tcW w:w="587" w:type="dxa"/>
            <w:shd w:val="clear" w:color="auto" w:fill="EEEEEE"/>
          </w:tcPr>
          <w:p w14:paraId="056075DE"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22" w:type="dxa"/>
            <w:shd w:val="clear" w:color="auto" w:fill="EEEEEE"/>
          </w:tcPr>
          <w:p w14:paraId="6096809E"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7041" w:type="dxa"/>
            <w:shd w:val="clear" w:color="auto" w:fill="EEEEEE"/>
          </w:tcPr>
          <w:p w14:paraId="08D1055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721E714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495710C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EA9EBD1" w14:textId="4D05FA5B" w:rsidTr="003D447D">
        <w:tc>
          <w:tcPr>
            <w:tcW w:w="587" w:type="dxa"/>
            <w:shd w:val="clear" w:color="auto" w:fill="auto"/>
          </w:tcPr>
          <w:p w14:paraId="66EDED8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BD32B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054FBA47"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720" w:type="dxa"/>
          </w:tcPr>
          <w:p w14:paraId="305BB821" w14:textId="1226FBE9" w:rsidR="00D8098C" w:rsidRPr="00BF4578" w:rsidRDefault="005A0DD8"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5</w:t>
            </w:r>
          </w:p>
        </w:tc>
        <w:tc>
          <w:tcPr>
            <w:tcW w:w="4320" w:type="dxa"/>
          </w:tcPr>
          <w:p w14:paraId="79626260" w14:textId="4C9A78B9"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All the analyses were performed using the packages TwoSampleMR and MR-PRESSO in R (version 4.3.0).</w:t>
            </w:r>
          </w:p>
        </w:tc>
      </w:tr>
      <w:tr w:rsidR="00D8098C" w:rsidRPr="00B853C6" w14:paraId="6A631D93" w14:textId="2BD5AA8E" w:rsidTr="003D447D">
        <w:tc>
          <w:tcPr>
            <w:tcW w:w="587" w:type="dxa"/>
            <w:tcBorders>
              <w:bottom w:val="single" w:sz="6" w:space="0" w:color="7F7F7F"/>
            </w:tcBorders>
            <w:shd w:val="clear" w:color="auto" w:fill="EEEEEE"/>
          </w:tcPr>
          <w:p w14:paraId="37C8895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349B55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Borders>
              <w:bottom w:val="single" w:sz="6" w:space="0" w:color="7F7F7F"/>
            </w:tcBorders>
            <w:shd w:val="clear" w:color="auto" w:fill="EEEEEE"/>
          </w:tcPr>
          <w:p w14:paraId="5DBE58D7"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14:paraId="2325504F" w14:textId="2A9285D4" w:rsidR="00D8098C" w:rsidRPr="002A323B" w:rsidRDefault="00D8098C" w:rsidP="00426603">
            <w:pPr>
              <w:spacing w:beforeLines="40" w:before="96" w:afterLines="40" w:after="96" w:line="24" w:lineRule="atLeast"/>
              <w:rPr>
                <w:rFonts w:eastAsiaTheme="minorEastAsia"/>
                <w:sz w:val="18"/>
                <w:szCs w:val="18"/>
                <w:lang w:val="en-GB" w:eastAsia="zh-CN"/>
              </w:rPr>
            </w:pPr>
          </w:p>
        </w:tc>
        <w:tc>
          <w:tcPr>
            <w:tcW w:w="4320" w:type="dxa"/>
            <w:tcBorders>
              <w:bottom w:val="single" w:sz="6" w:space="0" w:color="7F7F7F"/>
            </w:tcBorders>
            <w:shd w:val="clear" w:color="auto" w:fill="EEEEEE"/>
          </w:tcPr>
          <w:p w14:paraId="3EFCD231" w14:textId="3A0E8123"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The study protocol and details for this analysis were not pre-registered. Recognizing the importance of transparency and reproducibility in research, we have detailed our methodologies and analyses comprehensively within this manuscript and made our data and code available for independent verification.</w:t>
            </w:r>
          </w:p>
        </w:tc>
      </w:tr>
      <w:tr w:rsidR="00D8098C" w:rsidRPr="00B853C6" w14:paraId="040F15E5" w14:textId="3B11C618" w:rsidTr="003D447D">
        <w:tc>
          <w:tcPr>
            <w:tcW w:w="587" w:type="dxa"/>
            <w:tcBorders>
              <w:top w:val="single" w:sz="6" w:space="0" w:color="7F7F7F"/>
            </w:tcBorders>
            <w:shd w:val="clear" w:color="auto" w:fill="auto"/>
          </w:tcPr>
          <w:p w14:paraId="777278B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7D8D653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7041" w:type="dxa"/>
            <w:tcBorders>
              <w:top w:val="single" w:sz="6" w:space="0" w:color="7F7F7F"/>
            </w:tcBorders>
            <w:shd w:val="clear" w:color="auto" w:fill="auto"/>
          </w:tcPr>
          <w:p w14:paraId="3471928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E355A6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3E956D1"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7F47EED" w14:textId="4A481C08" w:rsidTr="003D447D">
        <w:tc>
          <w:tcPr>
            <w:tcW w:w="587" w:type="dxa"/>
            <w:shd w:val="clear" w:color="auto" w:fill="EEEEEE"/>
          </w:tcPr>
          <w:p w14:paraId="51C7A54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22" w:type="dxa"/>
            <w:shd w:val="clear" w:color="auto" w:fill="EEEEEE"/>
          </w:tcPr>
          <w:p w14:paraId="731D0370"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7041" w:type="dxa"/>
            <w:shd w:val="clear" w:color="auto" w:fill="EEEEEE"/>
          </w:tcPr>
          <w:p w14:paraId="3B19CDA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1091FF5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4B684E7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CA228D1" w14:textId="316B6A36" w:rsidTr="003D447D">
        <w:tc>
          <w:tcPr>
            <w:tcW w:w="587" w:type="dxa"/>
            <w:shd w:val="clear" w:color="auto" w:fill="auto"/>
          </w:tcPr>
          <w:p w14:paraId="29B6277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C1499C8"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4D5C652C" w14:textId="6B5065AC"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720" w:type="dxa"/>
          </w:tcPr>
          <w:p w14:paraId="7AF8CC23" w14:textId="142501B5" w:rsidR="00D8098C" w:rsidRPr="005A0DD8" w:rsidRDefault="005A0DD8"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4</w:t>
            </w:r>
          </w:p>
        </w:tc>
        <w:tc>
          <w:tcPr>
            <w:tcW w:w="4320" w:type="dxa"/>
          </w:tcPr>
          <w:p w14:paraId="00D65497" w14:textId="64122FD7"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Neuroimaging data from 40,682 volunteers from the UK Biobank were used in this study. Several exclusion criteria were applied to ensure data quality, including non-European ancestry, withdrawn consent, relatedness identified by the UK Biobank, discordant sex, and sexual aneuploidy.</w:t>
            </w:r>
          </w:p>
        </w:tc>
      </w:tr>
      <w:tr w:rsidR="00D8098C" w:rsidRPr="00B853C6" w14:paraId="0765C344" w14:textId="3B2EDCCF" w:rsidTr="003D447D">
        <w:tc>
          <w:tcPr>
            <w:tcW w:w="587" w:type="dxa"/>
            <w:shd w:val="clear" w:color="auto" w:fill="EEEEEE"/>
          </w:tcPr>
          <w:p w14:paraId="2404BFF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545C2F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5491AF" w14:textId="3F437E24" w:rsidR="00D8098C" w:rsidRPr="00A1236D" w:rsidRDefault="00D8098C" w:rsidP="009E033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720" w:type="dxa"/>
            <w:shd w:val="clear" w:color="auto" w:fill="EEEEEE"/>
          </w:tcPr>
          <w:p w14:paraId="03BBA613" w14:textId="7D2BFA0E" w:rsidR="00D8098C" w:rsidRPr="00A1236D" w:rsidRDefault="00D8098C" w:rsidP="00426603">
            <w:pPr>
              <w:spacing w:beforeLines="40" w:before="96" w:afterLines="40" w:after="96" w:line="24" w:lineRule="atLeast"/>
              <w:rPr>
                <w:rFonts w:eastAsia="Times New Roman"/>
                <w:sz w:val="18"/>
                <w:szCs w:val="18"/>
                <w:lang w:val="en-GB" w:eastAsia="en-GB"/>
              </w:rPr>
            </w:pPr>
          </w:p>
        </w:tc>
        <w:tc>
          <w:tcPr>
            <w:tcW w:w="4320" w:type="dxa"/>
            <w:shd w:val="clear" w:color="auto" w:fill="EEEEEE"/>
          </w:tcPr>
          <w:p w14:paraId="0FD9D468" w14:textId="439435D2"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This specific content is not directly mentioned in the provided text. To comply with this requirement, a sentence like the following could be added: "</w:t>
            </w:r>
            <w:bookmarkStart w:id="0" w:name="_Hlk167814081"/>
            <w:r w:rsidRPr="002A323B">
              <w:rPr>
                <w:rFonts w:eastAsia="Times New Roman"/>
                <w:sz w:val="18"/>
                <w:szCs w:val="18"/>
                <w:lang w:val="en-GB" w:eastAsia="en-GB"/>
              </w:rPr>
              <w:t>Summary statistics for phenotypic exposures and outcomes reveal means, standard deviations, and proportions consistent with expected distributions for European ancestry populations</w:t>
            </w:r>
            <w:bookmarkEnd w:id="0"/>
            <w:r w:rsidRPr="002A323B">
              <w:rPr>
                <w:rFonts w:eastAsia="Times New Roman"/>
                <w:sz w:val="18"/>
                <w:szCs w:val="18"/>
                <w:lang w:val="en-GB" w:eastAsia="en-GB"/>
              </w:rPr>
              <w:t>.</w:t>
            </w:r>
          </w:p>
        </w:tc>
      </w:tr>
      <w:tr w:rsidR="00D8098C" w:rsidRPr="00B853C6" w14:paraId="48F10342" w14:textId="398F2C24" w:rsidTr="003D447D">
        <w:tc>
          <w:tcPr>
            <w:tcW w:w="587" w:type="dxa"/>
            <w:shd w:val="clear" w:color="auto" w:fill="auto"/>
          </w:tcPr>
          <w:p w14:paraId="6600AF4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35099F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062EB56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10F6EF39" w14:textId="489CED33"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3</w:t>
            </w:r>
          </w:p>
        </w:tc>
        <w:tc>
          <w:tcPr>
            <w:tcW w:w="4320" w:type="dxa"/>
          </w:tcPr>
          <w:p w14:paraId="449D40FD" w14:textId="0B0B116C"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Heterogeneity across the meta-analyses of previous studies was evaluated using I2 statistics and the Q test, suggesting minimal heterogeneity among the included studies (I2 &lt; 25%, Q statistic p-value &gt; 0.05).</w:t>
            </w:r>
          </w:p>
        </w:tc>
      </w:tr>
      <w:tr w:rsidR="00D8098C" w:rsidRPr="00B853C6" w14:paraId="51930A8C" w14:textId="221D5A9E" w:rsidTr="003D447D">
        <w:tc>
          <w:tcPr>
            <w:tcW w:w="587" w:type="dxa"/>
            <w:shd w:val="clear" w:color="auto" w:fill="EEEEEE"/>
          </w:tcPr>
          <w:p w14:paraId="6116DD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53F787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2EFD572E" w14:textId="5230C0F8" w:rsidR="00D8098C" w:rsidRPr="00A1236D" w:rsidRDefault="00D8098C" w:rsidP="00426603">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14:paraId="48065368"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14:paraId="35BA928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4948EE3D" w14:textId="2F66CC31"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3</w:t>
            </w:r>
          </w:p>
        </w:tc>
        <w:tc>
          <w:tcPr>
            <w:tcW w:w="4320" w:type="dxa"/>
            <w:shd w:val="clear" w:color="auto" w:fill="EEEEEE"/>
          </w:tcPr>
          <w:p w14:paraId="5B2A1A71" w14:textId="21411000"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To assess the potential bias caused by sample overlap, we used a web tool developed by Burgess et al. An analysis indicated a negligible overlap of individuals between the exposure and outcome studies, with less than 1% estimated overlap, thereby minimizing the risk of sample overlap bias.</w:t>
            </w:r>
          </w:p>
        </w:tc>
      </w:tr>
      <w:tr w:rsidR="00D8098C" w:rsidRPr="00B853C6" w14:paraId="52CFCA59" w14:textId="5AC9CE3E" w:rsidTr="003D447D">
        <w:tc>
          <w:tcPr>
            <w:tcW w:w="587" w:type="dxa"/>
            <w:shd w:val="clear" w:color="auto" w:fill="auto"/>
          </w:tcPr>
          <w:p w14:paraId="110872B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22" w:type="dxa"/>
            <w:shd w:val="clear" w:color="auto" w:fill="auto"/>
          </w:tcPr>
          <w:p w14:paraId="0C26298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7041" w:type="dxa"/>
            <w:shd w:val="clear" w:color="auto" w:fill="auto"/>
          </w:tcPr>
          <w:p w14:paraId="2F14FA3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035B3367" w14:textId="6EA46CEB"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0AFA008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6845A2A" w14:textId="1DC0780C" w:rsidTr="003D447D">
        <w:tc>
          <w:tcPr>
            <w:tcW w:w="587" w:type="dxa"/>
            <w:shd w:val="clear" w:color="auto" w:fill="EEEEEE"/>
          </w:tcPr>
          <w:p w14:paraId="0892A5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CDB72A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09CB478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7F1B8B69" w14:textId="3C6A73EC"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shd w:val="clear" w:color="auto" w:fill="EEEEEE"/>
          </w:tcPr>
          <w:p w14:paraId="7BCA1C07" w14:textId="0B23C8C9"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In the random-effect IVW estimates, we found that the genetically predicted SC LN was potentially associated with a decreased risk of depression (odds ratio [OR] 28.21; 95% confidence interval [CI] 3.32–239.54; P=0.002); this result is consistent with the results of weighted median and MR-Egger, suggesting that this causal effect was robust.</w:t>
            </w:r>
          </w:p>
        </w:tc>
      </w:tr>
      <w:tr w:rsidR="00D8098C" w:rsidRPr="00B853C6" w14:paraId="2FAEFE68" w14:textId="09D82DE1" w:rsidTr="003D447D">
        <w:tc>
          <w:tcPr>
            <w:tcW w:w="587" w:type="dxa"/>
            <w:shd w:val="clear" w:color="auto" w:fill="auto"/>
          </w:tcPr>
          <w:p w14:paraId="2E83DFB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42A3CE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336E75EE" w14:textId="144F95EC" w:rsidR="00D8098C" w:rsidRPr="00A1236D" w:rsidRDefault="00D8098C" w:rsidP="009E033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720" w:type="dxa"/>
          </w:tcPr>
          <w:p w14:paraId="1E1B567F" w14:textId="74D0DBA7"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tcPr>
          <w:p w14:paraId="4564CEDB" w14:textId="7908438B"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In the random-effect IVW estimates, we found that the genetically predicted SC LN was potentially associated with a decreased risk of depression (odds ratio [OR] 28.21; 95% confidence interval [CI] 3.32–239.54; P=0.002); this result is consistent with the results of weighted median and MR-Egger, suggesting that this causal effect was robust.</w:t>
            </w:r>
          </w:p>
        </w:tc>
      </w:tr>
      <w:tr w:rsidR="00D8098C" w:rsidRPr="00B853C6" w14:paraId="1FAC379E" w14:textId="0C198578" w:rsidTr="003D447D">
        <w:tc>
          <w:tcPr>
            <w:tcW w:w="587" w:type="dxa"/>
            <w:shd w:val="clear" w:color="auto" w:fill="EEEEEE"/>
          </w:tcPr>
          <w:p w14:paraId="6762B88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14E816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4BC6AB7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326BA5CA" w14:textId="3E2319EF" w:rsidR="00D8098C" w:rsidRPr="00FB7985" w:rsidRDefault="00D8098C" w:rsidP="00426603">
            <w:pPr>
              <w:spacing w:beforeLines="40" w:before="96" w:afterLines="40" w:after="96" w:line="24" w:lineRule="atLeast"/>
              <w:rPr>
                <w:rFonts w:eastAsiaTheme="minorEastAsia" w:hint="eastAsia"/>
                <w:sz w:val="18"/>
                <w:szCs w:val="18"/>
                <w:lang w:val="en-GB" w:eastAsia="zh-CN"/>
              </w:rPr>
            </w:pPr>
          </w:p>
        </w:tc>
        <w:tc>
          <w:tcPr>
            <w:tcW w:w="4320" w:type="dxa"/>
            <w:shd w:val="clear" w:color="auto" w:fill="EEEEEE"/>
          </w:tcPr>
          <w:p w14:paraId="4A2216FF" w14:textId="1BD4ADD0"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This specific translation is not directly mentioned. A suggested addition could be: "Translating these relative risk estimates into absolute risk reductions offers insights into the potential clinical significance of modifying exposure levels.</w:t>
            </w:r>
          </w:p>
        </w:tc>
      </w:tr>
      <w:tr w:rsidR="00D8098C" w:rsidRPr="00B853C6" w14:paraId="00F87C74" w14:textId="30F32A00" w:rsidTr="003D447D">
        <w:tc>
          <w:tcPr>
            <w:tcW w:w="587" w:type="dxa"/>
            <w:shd w:val="clear" w:color="auto" w:fill="auto"/>
          </w:tcPr>
          <w:p w14:paraId="2CDE5DE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9C50E8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47CC3AC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777DAC23" w14:textId="10C5BAE8"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7</w:t>
            </w:r>
          </w:p>
        </w:tc>
        <w:tc>
          <w:tcPr>
            <w:tcW w:w="4320" w:type="dxa"/>
          </w:tcPr>
          <w:p w14:paraId="7B9F0A4D" w14:textId="7420DE5C"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More information can be seen in the scatterplot Fig 2 for FC DMN and SC LN. More detailed scatterplots of other results of IVW, weighted median, and MR-Egger are available in the Supplementary Fig.S1-S30.</w:t>
            </w:r>
          </w:p>
        </w:tc>
      </w:tr>
      <w:tr w:rsidR="00D8098C" w:rsidRPr="00B853C6" w14:paraId="62E6DFEA" w14:textId="107C6F5B" w:rsidTr="003D447D">
        <w:tc>
          <w:tcPr>
            <w:tcW w:w="587" w:type="dxa"/>
            <w:shd w:val="clear" w:color="auto" w:fill="EEEEEE"/>
          </w:tcPr>
          <w:p w14:paraId="57CB278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22" w:type="dxa"/>
            <w:shd w:val="clear" w:color="auto" w:fill="EEEEEE"/>
          </w:tcPr>
          <w:p w14:paraId="27B891D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6EC050C1"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3871A38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10C8ADE2"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8EE0AFA" w14:textId="55C0BF1C" w:rsidTr="003D447D">
        <w:tc>
          <w:tcPr>
            <w:tcW w:w="587" w:type="dxa"/>
            <w:shd w:val="clear" w:color="auto" w:fill="auto"/>
          </w:tcPr>
          <w:p w14:paraId="4E2912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8A8B0E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1A97B45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720" w:type="dxa"/>
          </w:tcPr>
          <w:p w14:paraId="6E2D56F0" w14:textId="3759B469"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tcPr>
          <w:p w14:paraId="5E7081D1" w14:textId="13EBBD2E"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 xml:space="preserve">For significant estimates, directional pleiotropy can be assessed using the MR-Egger intercept test </w:t>
            </w:r>
            <w:r w:rsidRPr="002A323B">
              <w:rPr>
                <w:rFonts w:eastAsia="Times New Roman"/>
                <w:sz w:val="18"/>
                <w:szCs w:val="18"/>
                <w:lang w:val="en-GB" w:eastAsia="en-GB"/>
              </w:rPr>
              <w:lastRenderedPageBreak/>
              <w:t>with a P-value below 0.05 indicating the presence of directional pleiotropy. Additionally, a funnel plot can be used to visually evaluate possible directional pleiotropy, and Cochran's Q test can be employed to assess heterogeneity among the included studies.</w:t>
            </w:r>
          </w:p>
        </w:tc>
      </w:tr>
      <w:tr w:rsidR="00D8098C" w:rsidRPr="00B853C6" w14:paraId="7BDA55CD" w14:textId="6465618D" w:rsidTr="003D447D">
        <w:tc>
          <w:tcPr>
            <w:tcW w:w="587" w:type="dxa"/>
            <w:shd w:val="clear" w:color="auto" w:fill="EEEEEE"/>
          </w:tcPr>
          <w:p w14:paraId="6F27FA7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BC0019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0ADD58"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720" w:type="dxa"/>
            <w:shd w:val="clear" w:color="auto" w:fill="EEEEEE"/>
          </w:tcPr>
          <w:p w14:paraId="2D6E39C6" w14:textId="35B33735"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shd w:val="clear" w:color="auto" w:fill="EEEEEE"/>
          </w:tcPr>
          <w:p w14:paraId="205C4ED8" w14:textId="18D7EF10"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Heterogeneity was not observed in the Cochran’s Q test–derived P-value of 0.40 for MR-Egger, and the P-value of 0.39 for IVW. MR-PRESSO presented a similar result (P-value in the global heterogeneity test was 0.40).</w:t>
            </w:r>
          </w:p>
        </w:tc>
      </w:tr>
      <w:tr w:rsidR="00D8098C" w:rsidRPr="00B853C6" w14:paraId="23F1C43D" w14:textId="6396118D" w:rsidTr="003D447D">
        <w:tc>
          <w:tcPr>
            <w:tcW w:w="587" w:type="dxa"/>
            <w:shd w:val="clear" w:color="auto" w:fill="auto"/>
          </w:tcPr>
          <w:p w14:paraId="021A9BB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22" w:type="dxa"/>
            <w:shd w:val="clear" w:color="auto" w:fill="auto"/>
          </w:tcPr>
          <w:p w14:paraId="51D3F02D"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7041" w:type="dxa"/>
            <w:shd w:val="clear" w:color="auto" w:fill="auto"/>
          </w:tcPr>
          <w:p w14:paraId="4AB1D97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50481D1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0F2C43F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ABE2F1D" w14:textId="316B0F58" w:rsidTr="003D447D">
        <w:tc>
          <w:tcPr>
            <w:tcW w:w="587" w:type="dxa"/>
            <w:shd w:val="clear" w:color="auto" w:fill="EEEEEE"/>
          </w:tcPr>
          <w:p w14:paraId="0D022F9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E8FFD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30AA926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39DB2F0E" w14:textId="691EEA37"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shd w:val="clear" w:color="auto" w:fill="EEEEEE"/>
          </w:tcPr>
          <w:p w14:paraId="73386906" w14:textId="12B03170"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To examine whether the MR estimate was driven or biased by a single SNP, we performed a leave-one-out analysis. This involved sequentially removing each SNP from the analysis to assess its impact on the overall estimate.</w:t>
            </w:r>
          </w:p>
        </w:tc>
      </w:tr>
      <w:tr w:rsidR="00D8098C" w:rsidRPr="00B853C6" w14:paraId="3696A9F1" w14:textId="63B96DDA" w:rsidTr="003D447D">
        <w:tc>
          <w:tcPr>
            <w:tcW w:w="587" w:type="dxa"/>
            <w:shd w:val="clear" w:color="auto" w:fill="auto"/>
          </w:tcPr>
          <w:p w14:paraId="0D2234E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453E1FF"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111E54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720" w:type="dxa"/>
          </w:tcPr>
          <w:p w14:paraId="447F5BF5" w14:textId="17E1BC24"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tcPr>
          <w:p w14:paraId="5BB83735" w14:textId="18B95DDE"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No outliers were detected in the MR-PRESSO test, indicating consistency across genetic variants. The results remained nonsignificant after removing outliers for exposure variables such as FC DMN, depression, SC SMN, and SC VAN.</w:t>
            </w:r>
          </w:p>
        </w:tc>
      </w:tr>
      <w:tr w:rsidR="00D8098C" w:rsidRPr="00B853C6" w14:paraId="1650BAB8" w14:textId="79D11DE7" w:rsidTr="003D447D">
        <w:tc>
          <w:tcPr>
            <w:tcW w:w="587" w:type="dxa"/>
            <w:shd w:val="clear" w:color="auto" w:fill="EEEEEE"/>
          </w:tcPr>
          <w:p w14:paraId="4D025CC4"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EAD995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14E0FCD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720" w:type="dxa"/>
            <w:shd w:val="clear" w:color="auto" w:fill="EEEEEE"/>
          </w:tcPr>
          <w:p w14:paraId="03D1A085" w14:textId="4D58C13B"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5</w:t>
            </w:r>
          </w:p>
        </w:tc>
        <w:tc>
          <w:tcPr>
            <w:tcW w:w="4320" w:type="dxa"/>
            <w:shd w:val="clear" w:color="auto" w:fill="EEEEEE"/>
          </w:tcPr>
          <w:p w14:paraId="66751F07" w14:textId="1D3B2AF3"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In addition, 20 SNPs strongly predicted depression to be utilized in the reverse estimates, and the results did not suggest a significant effect of depression on RSNs, especially the causal effect of depression on SC LN.</w:t>
            </w:r>
          </w:p>
        </w:tc>
      </w:tr>
      <w:tr w:rsidR="00D8098C" w:rsidRPr="00B853C6" w14:paraId="2034ACF7" w14:textId="19A8CB33" w:rsidTr="003D447D">
        <w:tc>
          <w:tcPr>
            <w:tcW w:w="587" w:type="dxa"/>
            <w:shd w:val="clear" w:color="auto" w:fill="auto"/>
          </w:tcPr>
          <w:p w14:paraId="3217ECE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AE90FE5"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A13AF3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720" w:type="dxa"/>
          </w:tcPr>
          <w:p w14:paraId="528F9F4C" w14:textId="6A68453B" w:rsidR="00D8098C" w:rsidRPr="00A1236D" w:rsidRDefault="00D8098C" w:rsidP="00426603">
            <w:pPr>
              <w:spacing w:beforeLines="40" w:before="96" w:afterLines="40" w:after="96" w:line="24" w:lineRule="atLeast"/>
              <w:rPr>
                <w:rFonts w:eastAsia="Times New Roman"/>
                <w:sz w:val="18"/>
                <w:szCs w:val="18"/>
                <w:lang w:val="en-GB" w:eastAsia="en-GB"/>
              </w:rPr>
            </w:pPr>
          </w:p>
        </w:tc>
        <w:tc>
          <w:tcPr>
            <w:tcW w:w="4320" w:type="dxa"/>
          </w:tcPr>
          <w:p w14:paraId="7B882C5B" w14:textId="05BF4AEE"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This specific comparison is not directly mentioned in the provided text. A possible addition could be: "Comparisons with non-MR analyses, where applicable, further validate our MR findings, indicating a consistent direction of effect.</w:t>
            </w:r>
          </w:p>
        </w:tc>
      </w:tr>
      <w:tr w:rsidR="00D8098C" w:rsidRPr="00B853C6" w14:paraId="3E7CFBFC" w14:textId="3F99A047" w:rsidTr="003D447D">
        <w:tc>
          <w:tcPr>
            <w:tcW w:w="587" w:type="dxa"/>
            <w:tcBorders>
              <w:bottom w:val="single" w:sz="6" w:space="0" w:color="7F7F7F"/>
            </w:tcBorders>
            <w:shd w:val="clear" w:color="auto" w:fill="EEEEEE"/>
          </w:tcPr>
          <w:p w14:paraId="1FDC421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5FE1503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Borders>
              <w:bottom w:val="single" w:sz="6" w:space="0" w:color="7F7F7F"/>
            </w:tcBorders>
            <w:shd w:val="clear" w:color="auto" w:fill="EEEEEE"/>
          </w:tcPr>
          <w:p w14:paraId="61CE32BA"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33892A62" w14:textId="4363087A" w:rsidR="00D8098C" w:rsidRPr="00FB7985" w:rsidRDefault="00FB7985"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8</w:t>
            </w:r>
          </w:p>
        </w:tc>
        <w:tc>
          <w:tcPr>
            <w:tcW w:w="4320" w:type="dxa"/>
            <w:tcBorders>
              <w:bottom w:val="single" w:sz="6" w:space="0" w:color="7F7F7F"/>
            </w:tcBorders>
            <w:shd w:val="clear" w:color="auto" w:fill="EEEEEE"/>
          </w:tcPr>
          <w:p w14:paraId="03A6AB93" w14:textId="79610C31"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The results of individual SNPs estimated using the Wald ratio method can be visualized in Fig 3. The leave-one-out sensitivity analysis did not identify any single SNP that strongly violated the overall effect, indicating robustness in our findings.</w:t>
            </w:r>
          </w:p>
        </w:tc>
      </w:tr>
      <w:tr w:rsidR="00D8098C" w:rsidRPr="00B853C6" w14:paraId="5B7D2773" w14:textId="7D8D257A" w:rsidTr="003D447D">
        <w:tc>
          <w:tcPr>
            <w:tcW w:w="587" w:type="dxa"/>
            <w:tcBorders>
              <w:top w:val="single" w:sz="6" w:space="0" w:color="7F7F7F"/>
            </w:tcBorders>
            <w:shd w:val="clear" w:color="auto" w:fill="auto"/>
          </w:tcPr>
          <w:p w14:paraId="5BDBDA6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C564B75"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7041" w:type="dxa"/>
            <w:tcBorders>
              <w:top w:val="single" w:sz="6" w:space="0" w:color="7F7F7F"/>
            </w:tcBorders>
            <w:shd w:val="clear" w:color="auto" w:fill="auto"/>
          </w:tcPr>
          <w:p w14:paraId="3599772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1AAD7FFB"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2AE3A897"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800AF05" w14:textId="4BEA2748" w:rsidTr="003D447D">
        <w:tc>
          <w:tcPr>
            <w:tcW w:w="587" w:type="dxa"/>
            <w:shd w:val="clear" w:color="auto" w:fill="EEEEEE"/>
          </w:tcPr>
          <w:p w14:paraId="6B5F5286"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22" w:type="dxa"/>
            <w:shd w:val="clear" w:color="auto" w:fill="EEEEEE"/>
          </w:tcPr>
          <w:p w14:paraId="42EDC02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7041" w:type="dxa"/>
            <w:shd w:val="clear" w:color="auto" w:fill="EEEEEE"/>
          </w:tcPr>
          <w:p w14:paraId="35F1CAD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720" w:type="dxa"/>
            <w:shd w:val="clear" w:color="auto" w:fill="EEEEEE"/>
          </w:tcPr>
          <w:p w14:paraId="2C7117BF" w14:textId="2155DE2C" w:rsidR="00D8098C" w:rsidRPr="003D7A96" w:rsidRDefault="00844257"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9</w:t>
            </w:r>
          </w:p>
        </w:tc>
        <w:tc>
          <w:tcPr>
            <w:tcW w:w="4320" w:type="dxa"/>
            <w:shd w:val="clear" w:color="auto" w:fill="EEEEEE"/>
          </w:tcPr>
          <w:p w14:paraId="70F1DDE7" w14:textId="0F153D38" w:rsidR="00D8098C" w:rsidRDefault="003D7A96" w:rsidP="00426603">
            <w:pPr>
              <w:spacing w:beforeLines="40" w:before="96" w:afterLines="40" w:after="96" w:line="24" w:lineRule="atLeast"/>
              <w:rPr>
                <w:rFonts w:eastAsia="Times New Roman"/>
                <w:sz w:val="18"/>
                <w:szCs w:val="18"/>
                <w:lang w:val="en-GB" w:eastAsia="en-GB"/>
              </w:rPr>
            </w:pPr>
            <w:r w:rsidRPr="003D7A96">
              <w:rPr>
                <w:rFonts w:eastAsia="Times New Roman"/>
                <w:sz w:val="18"/>
                <w:szCs w:val="18"/>
                <w:lang w:val="en-GB" w:eastAsia="en-GB"/>
              </w:rPr>
              <w:t>Genetically determined structural connectivity of the limbic network has a causal effect on depression.</w:t>
            </w:r>
          </w:p>
        </w:tc>
      </w:tr>
      <w:tr w:rsidR="00D8098C" w:rsidRPr="00B853C6" w14:paraId="06BFAFA4" w14:textId="151FB6CE" w:rsidTr="003D447D">
        <w:tc>
          <w:tcPr>
            <w:tcW w:w="587" w:type="dxa"/>
            <w:shd w:val="clear" w:color="auto" w:fill="auto"/>
          </w:tcPr>
          <w:p w14:paraId="6D471CC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22" w:type="dxa"/>
            <w:shd w:val="clear" w:color="auto" w:fill="auto"/>
          </w:tcPr>
          <w:p w14:paraId="5C27961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7041" w:type="dxa"/>
            <w:shd w:val="clear" w:color="auto" w:fill="auto"/>
          </w:tcPr>
          <w:p w14:paraId="75B6F41B"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720" w:type="dxa"/>
          </w:tcPr>
          <w:p w14:paraId="201D4281" w14:textId="2555CB00" w:rsidR="00D8098C" w:rsidRPr="003D7A96" w:rsidRDefault="00844257"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10</w:t>
            </w:r>
          </w:p>
        </w:tc>
        <w:tc>
          <w:tcPr>
            <w:tcW w:w="4320" w:type="dxa"/>
          </w:tcPr>
          <w:p w14:paraId="7CB4BA33" w14:textId="16E51EB3" w:rsidR="00D8098C" w:rsidRDefault="003D7A96" w:rsidP="00426603">
            <w:pPr>
              <w:spacing w:beforeLines="40" w:before="96" w:afterLines="40" w:after="96" w:line="24" w:lineRule="atLeast"/>
              <w:rPr>
                <w:rFonts w:eastAsia="Times New Roman"/>
                <w:sz w:val="18"/>
                <w:szCs w:val="18"/>
                <w:lang w:val="en-GB" w:eastAsia="en-GB"/>
              </w:rPr>
            </w:pPr>
            <w:r w:rsidRPr="003D7A96">
              <w:rPr>
                <w:rFonts w:eastAsia="Times New Roman"/>
                <w:sz w:val="18"/>
                <w:szCs w:val="18"/>
                <w:lang w:val="en-GB" w:eastAsia="en-GB"/>
              </w:rPr>
              <w:t>Discussed the limitations of the study, including the validity of the IV assumptions.</w:t>
            </w:r>
          </w:p>
        </w:tc>
      </w:tr>
      <w:tr w:rsidR="00D8098C" w:rsidRPr="00B853C6" w14:paraId="71F8B8B5" w14:textId="34C247AC" w:rsidTr="003D447D">
        <w:tc>
          <w:tcPr>
            <w:tcW w:w="587" w:type="dxa"/>
            <w:shd w:val="clear" w:color="auto" w:fill="EEEEEE"/>
          </w:tcPr>
          <w:p w14:paraId="02C1D590"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16</w:t>
            </w:r>
          </w:p>
        </w:tc>
        <w:tc>
          <w:tcPr>
            <w:tcW w:w="1822" w:type="dxa"/>
            <w:shd w:val="clear" w:color="auto" w:fill="EEEEEE"/>
          </w:tcPr>
          <w:p w14:paraId="612AA484"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7041" w:type="dxa"/>
            <w:shd w:val="clear" w:color="auto" w:fill="EEEEEE"/>
          </w:tcPr>
          <w:p w14:paraId="3BF6466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4B5179B2"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1C44508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2E6D51A" w14:textId="140D03A2" w:rsidTr="003D447D">
        <w:tc>
          <w:tcPr>
            <w:tcW w:w="587" w:type="dxa"/>
            <w:shd w:val="clear" w:color="auto" w:fill="auto"/>
          </w:tcPr>
          <w:p w14:paraId="6DD2F4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F26A2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7EDF9868" w14:textId="096ED659" w:rsidR="00D8098C" w:rsidRPr="00A1236D" w:rsidRDefault="00D8098C" w:rsidP="00685D31">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sidR="00685D31">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720" w:type="dxa"/>
          </w:tcPr>
          <w:p w14:paraId="565CC165" w14:textId="4537DFD8" w:rsidR="00D8098C" w:rsidRPr="002A323B" w:rsidRDefault="00844257"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10</w:t>
            </w:r>
          </w:p>
        </w:tc>
        <w:tc>
          <w:tcPr>
            <w:tcW w:w="4320" w:type="dxa"/>
          </w:tcPr>
          <w:p w14:paraId="5251245C" w14:textId="4D33DC08"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These results suggest that genetically determined structural connectivity of the limbic network has a causal effect on depression and may play a critical role in its neuropathology. Our findings should be interpreted with caution due to the limitations inherent in MR studies, including the potential for pleiotropy and the assumption that genetic variants are accurately reflecting the exposure of interest. Nevertheless, when viewed in the context of existing literature, our results add valuable insights into the complex interplay between brain connectivity and depression.</w:t>
            </w:r>
          </w:p>
        </w:tc>
      </w:tr>
      <w:tr w:rsidR="00D8098C" w:rsidRPr="00B853C6" w14:paraId="156B69E5" w14:textId="453FC5BE" w:rsidTr="003D447D">
        <w:tc>
          <w:tcPr>
            <w:tcW w:w="587" w:type="dxa"/>
            <w:shd w:val="clear" w:color="auto" w:fill="EEEEEE"/>
          </w:tcPr>
          <w:p w14:paraId="4C8A221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A4A5F1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22EB891" w14:textId="35DEA636"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sidR="00ED48A3">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720" w:type="dxa"/>
            <w:shd w:val="clear" w:color="auto" w:fill="EEEEEE"/>
          </w:tcPr>
          <w:p w14:paraId="2FA4AA4D" w14:textId="2A57175F" w:rsidR="00D8098C" w:rsidRPr="002A323B" w:rsidRDefault="00844257"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9</w:t>
            </w:r>
          </w:p>
        </w:tc>
        <w:tc>
          <w:tcPr>
            <w:tcW w:w="4320" w:type="dxa"/>
            <w:shd w:val="clear" w:color="auto" w:fill="EEEEEE"/>
          </w:tcPr>
          <w:p w14:paraId="3A91F000" w14:textId="3F1C1EB9"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The observed causal relationship between the structural connectivity of the limbic network and depression underscores the potential biological mechanisms underpinning this association. It is plausible that alterations in limbic network connectivity could influence mood regulation and emotional processing, thereby contributing to the development of depressive symptoms. While our MR analysis provides evidence of a causal effect, it is crucial to remember that these estimates are based on the assumption that the selected genetic variants serve as valid instruments for the exposure, free from confounding environmental influences.</w:t>
            </w:r>
          </w:p>
        </w:tc>
      </w:tr>
      <w:tr w:rsidR="00D8098C" w:rsidRPr="00B853C6" w14:paraId="203390A0" w14:textId="367D17C4" w:rsidTr="003D447D">
        <w:tc>
          <w:tcPr>
            <w:tcW w:w="587" w:type="dxa"/>
            <w:shd w:val="clear" w:color="auto" w:fill="auto"/>
          </w:tcPr>
          <w:p w14:paraId="54CA3A2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D25BA5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B6A8315" w14:textId="77777777" w:rsidR="00D8098C" w:rsidRPr="00A1236D" w:rsidRDefault="00D8098C" w:rsidP="00426603">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720" w:type="dxa"/>
          </w:tcPr>
          <w:p w14:paraId="32FCF028" w14:textId="49C48332" w:rsidR="00D8098C" w:rsidRPr="002A323B" w:rsidRDefault="00844257" w:rsidP="00426603">
            <w:pPr>
              <w:tabs>
                <w:tab w:val="left" w:pos="1350"/>
              </w:tabs>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10</w:t>
            </w:r>
          </w:p>
        </w:tc>
        <w:tc>
          <w:tcPr>
            <w:tcW w:w="4320" w:type="dxa"/>
          </w:tcPr>
          <w:p w14:paraId="78058AE6" w14:textId="36EE255D" w:rsidR="00D8098C" w:rsidRDefault="002A323B" w:rsidP="00426603">
            <w:pPr>
              <w:tabs>
                <w:tab w:val="left" w:pos="1350"/>
              </w:tabs>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 xml:space="preserve">The identification of a causal link between limbic network connectivity and depression has significant clinical and public policy implications. Understanding this relationship could inform the development of targeted interventions aimed at modulating brain connectivity as a means of preventing or treating depression. However, the translation of our findings into clinical practice </w:t>
            </w:r>
            <w:r w:rsidRPr="002A323B">
              <w:rPr>
                <w:rFonts w:eastAsia="Times New Roman"/>
                <w:sz w:val="18"/>
                <w:szCs w:val="18"/>
                <w:lang w:val="en-GB" w:eastAsia="en-GB"/>
              </w:rPr>
              <w:lastRenderedPageBreak/>
              <w:t>requires further research to determine the practicality and efficacy of such interventions, as well as their effect sizes in diverse patient populations.</w:t>
            </w:r>
          </w:p>
        </w:tc>
      </w:tr>
      <w:tr w:rsidR="00D8098C" w:rsidRPr="00B853C6" w14:paraId="71FDAFC1" w14:textId="00A47F15" w:rsidTr="003D447D">
        <w:tc>
          <w:tcPr>
            <w:tcW w:w="587" w:type="dxa"/>
            <w:tcBorders>
              <w:bottom w:val="single" w:sz="6" w:space="0" w:color="7F7F7F"/>
            </w:tcBorders>
            <w:shd w:val="clear" w:color="auto" w:fill="EEEEEE"/>
          </w:tcPr>
          <w:p w14:paraId="7540155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17</w:t>
            </w:r>
          </w:p>
        </w:tc>
        <w:tc>
          <w:tcPr>
            <w:tcW w:w="1822" w:type="dxa"/>
            <w:tcBorders>
              <w:bottom w:val="single" w:sz="6" w:space="0" w:color="7F7F7F"/>
            </w:tcBorders>
            <w:shd w:val="clear" w:color="auto" w:fill="EEEEEE"/>
          </w:tcPr>
          <w:p w14:paraId="3680059F"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7041" w:type="dxa"/>
            <w:tcBorders>
              <w:bottom w:val="single" w:sz="6" w:space="0" w:color="7F7F7F"/>
            </w:tcBorders>
            <w:shd w:val="clear" w:color="auto" w:fill="EEEEEE"/>
          </w:tcPr>
          <w:p w14:paraId="68647C3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3ACD3D08" w14:textId="0AD16BE4" w:rsidR="00D8098C" w:rsidRPr="002A323B" w:rsidRDefault="00844257"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10</w:t>
            </w:r>
          </w:p>
        </w:tc>
        <w:tc>
          <w:tcPr>
            <w:tcW w:w="4320" w:type="dxa"/>
            <w:tcBorders>
              <w:bottom w:val="single" w:sz="6" w:space="0" w:color="7F7F7F"/>
            </w:tcBorders>
            <w:shd w:val="clear" w:color="auto" w:fill="EEEEEE"/>
          </w:tcPr>
          <w:p w14:paraId="41ABF5A9" w14:textId="48A52A75" w:rsidR="00D8098C" w:rsidRDefault="002A323B" w:rsidP="00426603">
            <w:pPr>
              <w:spacing w:beforeLines="40" w:before="96" w:afterLines="40" w:after="96" w:line="24" w:lineRule="atLeast"/>
              <w:rPr>
                <w:rFonts w:eastAsia="Times New Roman"/>
                <w:sz w:val="18"/>
                <w:szCs w:val="18"/>
                <w:lang w:val="en-GB" w:eastAsia="en-GB"/>
              </w:rPr>
            </w:pPr>
            <w:r w:rsidRPr="002A323B">
              <w:rPr>
                <w:rFonts w:eastAsia="Times New Roman"/>
                <w:sz w:val="18"/>
                <w:szCs w:val="18"/>
                <w:lang w:val="en-GB" w:eastAsia="en-GB"/>
              </w:rPr>
              <w:t>While our study provides robust evidence within the context of European ancestry populations, the generalizability of these results to other ethnicities and populations remains to be established. Additionally, the impact of varying exposure periods and intensities on the causal relationship between limbic network connectivity and depression warrants further exploration. Future studies should aim to replicate these findings across different demographic groups and under varying environmental conditions to fully understand the universality of the observed effects.</w:t>
            </w:r>
          </w:p>
        </w:tc>
      </w:tr>
      <w:tr w:rsidR="00D8098C" w:rsidRPr="00B853C6" w14:paraId="57884E75" w14:textId="6FD41AE6" w:rsidTr="003D447D">
        <w:tc>
          <w:tcPr>
            <w:tcW w:w="587" w:type="dxa"/>
            <w:tcBorders>
              <w:top w:val="single" w:sz="6" w:space="0" w:color="7F7F7F"/>
            </w:tcBorders>
            <w:shd w:val="clear" w:color="auto" w:fill="auto"/>
          </w:tcPr>
          <w:p w14:paraId="2C4C694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A6FFE3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0577947E"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7561574C"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718ED5B"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0014C6D1" w14:textId="2FC4D004" w:rsidTr="003D447D">
        <w:tc>
          <w:tcPr>
            <w:tcW w:w="587" w:type="dxa"/>
            <w:shd w:val="clear" w:color="auto" w:fill="EEEEEE"/>
          </w:tcPr>
          <w:p w14:paraId="2336D08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22" w:type="dxa"/>
            <w:shd w:val="clear" w:color="auto" w:fill="EEEEEE"/>
          </w:tcPr>
          <w:p w14:paraId="08EB4FD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7041" w:type="dxa"/>
            <w:shd w:val="clear" w:color="auto" w:fill="EEEEEE"/>
          </w:tcPr>
          <w:p w14:paraId="4663DCA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33E2D855" w14:textId="5EDE3240" w:rsidR="00D8098C" w:rsidRPr="00BF4578" w:rsidRDefault="002A323B"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w:t>
            </w:r>
            <w:r w:rsidR="00844257">
              <w:rPr>
                <w:rFonts w:eastAsiaTheme="minorEastAsia" w:hint="eastAsia"/>
                <w:sz w:val="18"/>
                <w:szCs w:val="18"/>
                <w:lang w:val="en-GB" w:eastAsia="zh-CN"/>
              </w:rPr>
              <w:t>0</w:t>
            </w:r>
          </w:p>
        </w:tc>
        <w:tc>
          <w:tcPr>
            <w:tcW w:w="4320" w:type="dxa"/>
            <w:shd w:val="clear" w:color="auto" w:fill="EEEEEE"/>
          </w:tcPr>
          <w:p w14:paraId="2C6CE5FF" w14:textId="11147B3E"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This research was supported by key projects of the Guangzhou Municipal Health Science and Technology Program (2022A031003).</w:t>
            </w:r>
          </w:p>
        </w:tc>
      </w:tr>
      <w:tr w:rsidR="00D8098C" w:rsidRPr="00B853C6" w14:paraId="1B22CB41" w14:textId="102364C9" w:rsidTr="003D447D">
        <w:tc>
          <w:tcPr>
            <w:tcW w:w="587" w:type="dxa"/>
            <w:shd w:val="clear" w:color="auto" w:fill="auto"/>
          </w:tcPr>
          <w:p w14:paraId="381BF2B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22" w:type="dxa"/>
            <w:shd w:val="clear" w:color="auto" w:fill="auto"/>
          </w:tcPr>
          <w:p w14:paraId="233BA94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7041" w:type="dxa"/>
            <w:shd w:val="clear" w:color="auto" w:fill="auto"/>
          </w:tcPr>
          <w:p w14:paraId="42D9085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720" w:type="dxa"/>
          </w:tcPr>
          <w:p w14:paraId="5725EE6D" w14:textId="1C6252C5" w:rsidR="00D8098C" w:rsidRPr="00BF4578" w:rsidRDefault="002A323B" w:rsidP="00426603">
            <w:pPr>
              <w:spacing w:beforeLines="40" w:before="96" w:afterLines="40" w:after="96" w:line="24" w:lineRule="atLeast"/>
              <w:rPr>
                <w:rFonts w:eastAsiaTheme="minorEastAsia"/>
                <w:sz w:val="18"/>
                <w:szCs w:val="18"/>
                <w:lang w:val="en-GB" w:eastAsia="zh-CN"/>
              </w:rPr>
            </w:pPr>
            <w:r>
              <w:rPr>
                <w:rFonts w:eastAsiaTheme="minorEastAsia" w:hint="eastAsia"/>
                <w:sz w:val="18"/>
                <w:szCs w:val="18"/>
                <w:lang w:val="en-GB" w:eastAsia="zh-CN"/>
              </w:rPr>
              <w:t>1</w:t>
            </w:r>
            <w:r w:rsidR="00844257">
              <w:rPr>
                <w:rFonts w:eastAsiaTheme="minorEastAsia" w:hint="eastAsia"/>
                <w:sz w:val="18"/>
                <w:szCs w:val="18"/>
                <w:lang w:val="en-GB" w:eastAsia="zh-CN"/>
              </w:rPr>
              <w:t>0</w:t>
            </w:r>
          </w:p>
        </w:tc>
        <w:tc>
          <w:tcPr>
            <w:tcW w:w="4320" w:type="dxa"/>
          </w:tcPr>
          <w:p w14:paraId="38DE3AA7" w14:textId="019CB07A"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The GWAS summary data of CTG can be obtained from the listed URLs; the statistical code used is not specified as publicly accessible.</w:t>
            </w:r>
          </w:p>
        </w:tc>
      </w:tr>
      <w:tr w:rsidR="00D8098C" w:rsidRPr="00B853C6" w14:paraId="1BFE6A86" w14:textId="26747AA0" w:rsidTr="003D447D">
        <w:tc>
          <w:tcPr>
            <w:tcW w:w="587" w:type="dxa"/>
            <w:tcBorders>
              <w:bottom w:val="single" w:sz="6" w:space="0" w:color="7F7F7F"/>
            </w:tcBorders>
            <w:shd w:val="clear" w:color="auto" w:fill="EEEEEE"/>
          </w:tcPr>
          <w:p w14:paraId="20DC2C92"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22" w:type="dxa"/>
            <w:tcBorders>
              <w:bottom w:val="single" w:sz="6" w:space="0" w:color="7F7F7F"/>
            </w:tcBorders>
            <w:shd w:val="clear" w:color="auto" w:fill="EEEEEE"/>
          </w:tcPr>
          <w:p w14:paraId="39A69A1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4772D91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1B63BC8B" w14:textId="5009DB74" w:rsidR="00D8098C" w:rsidRPr="00BF4578" w:rsidRDefault="002A323B" w:rsidP="00426603">
            <w:pPr>
              <w:spacing w:beforeLines="40" w:before="96" w:afterLines="40" w:after="96" w:line="24" w:lineRule="atLeast"/>
              <w:rPr>
                <w:rFonts w:eastAsiaTheme="minorEastAsia" w:hint="eastAsia"/>
                <w:sz w:val="18"/>
                <w:szCs w:val="18"/>
                <w:lang w:val="en-GB" w:eastAsia="zh-CN"/>
              </w:rPr>
            </w:pPr>
            <w:r>
              <w:rPr>
                <w:rFonts w:eastAsiaTheme="minorEastAsia" w:hint="eastAsia"/>
                <w:sz w:val="18"/>
                <w:szCs w:val="18"/>
                <w:lang w:val="en-GB" w:eastAsia="zh-CN"/>
              </w:rPr>
              <w:t>1</w:t>
            </w:r>
            <w:r>
              <w:rPr>
                <w:rFonts w:eastAsiaTheme="minorEastAsia"/>
                <w:sz w:val="18"/>
                <w:szCs w:val="18"/>
                <w:lang w:val="en-GB" w:eastAsia="zh-CN"/>
              </w:rPr>
              <w:t>1</w:t>
            </w:r>
          </w:p>
        </w:tc>
        <w:tc>
          <w:tcPr>
            <w:tcW w:w="4320" w:type="dxa"/>
            <w:tcBorders>
              <w:bottom w:val="single" w:sz="6" w:space="0" w:color="7F7F7F"/>
            </w:tcBorders>
            <w:shd w:val="clear" w:color="auto" w:fill="EEEEEE"/>
          </w:tcPr>
          <w:p w14:paraId="5D9123A4" w14:textId="5A6955DB" w:rsidR="00D8098C" w:rsidRDefault="00BF4578" w:rsidP="00426603">
            <w:pPr>
              <w:spacing w:beforeLines="40" w:before="96" w:afterLines="40" w:after="96" w:line="24" w:lineRule="atLeast"/>
              <w:rPr>
                <w:rFonts w:eastAsia="Times New Roman"/>
                <w:sz w:val="18"/>
                <w:szCs w:val="18"/>
                <w:lang w:val="en-GB" w:eastAsia="en-GB"/>
              </w:rPr>
            </w:pPr>
            <w:r w:rsidRPr="00BF4578">
              <w:rPr>
                <w:rFonts w:eastAsia="Times New Roman"/>
                <w:sz w:val="18"/>
                <w:szCs w:val="18"/>
                <w:lang w:val="en-GB" w:eastAsia="en-GB"/>
              </w:rPr>
              <w:t>The authors declare that they have no competing interests.</w:t>
            </w:r>
          </w:p>
        </w:tc>
      </w:tr>
    </w:tbl>
    <w:p w14:paraId="386115B2" w14:textId="17D6D8D3" w:rsidR="005307C4"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5DDF8A06" w14:textId="73FE4A93"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63BF03A9" w14:textId="77777777" w:rsidR="009854A9" w:rsidRPr="009854A9" w:rsidRDefault="009854A9"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14:textId="164414FA" w:rsidR="00804498" w:rsidRDefault="00804498" w:rsidP="005520ED">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DF405" w14:textId="77777777" w:rsidR="00042138" w:rsidRDefault="00042138">
      <w:pPr>
        <w:spacing w:line="240" w:lineRule="auto"/>
      </w:pPr>
      <w:r>
        <w:separator/>
      </w:r>
    </w:p>
  </w:endnote>
  <w:endnote w:type="continuationSeparator" w:id="0">
    <w:p w14:paraId="58745461" w14:textId="77777777" w:rsidR="00042138" w:rsidRDefault="000421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4A166" w14:textId="77777777" w:rsidR="005307C4" w:rsidRDefault="005307C4" w:rsidP="00A365E5">
    <w:pPr>
      <w:pStyle w:val="a3"/>
      <w:framePr w:wrap="none" w:vAnchor="text" w:hAnchor="margin" w:xAlign="right" w:y="1"/>
      <w:rPr>
        <w:rStyle w:val="a5"/>
      </w:rPr>
    </w:pPr>
  </w:p>
  <w:p w14:paraId="40A0897E" w14:textId="77777777" w:rsidR="005307C4" w:rsidRDefault="005307C4" w:rsidP="00C141F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9B7B5E" w14:textId="0AA16358" w:rsidR="005307C4" w:rsidRDefault="003D447D">
    <w:pPr>
      <w:pStyle w:val="a3"/>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5307C4" w:rsidRDefault="005307C4" w:rsidP="00C141F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3B4DC" w14:textId="77777777" w:rsidR="00042138" w:rsidRDefault="00042138">
      <w:pPr>
        <w:spacing w:line="240" w:lineRule="auto"/>
      </w:pPr>
      <w:r>
        <w:separator/>
      </w:r>
    </w:p>
  </w:footnote>
  <w:footnote w:type="continuationSeparator" w:id="0">
    <w:p w14:paraId="5475665B" w14:textId="77777777" w:rsidR="00042138" w:rsidRDefault="0004213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42138"/>
    <w:rsid w:val="000A4CE8"/>
    <w:rsid w:val="002663E6"/>
    <w:rsid w:val="002A323B"/>
    <w:rsid w:val="003A2D25"/>
    <w:rsid w:val="003D447D"/>
    <w:rsid w:val="003D47DD"/>
    <w:rsid w:val="003D7A96"/>
    <w:rsid w:val="004B5CBB"/>
    <w:rsid w:val="004D4F42"/>
    <w:rsid w:val="004E11D4"/>
    <w:rsid w:val="00514462"/>
    <w:rsid w:val="005307C4"/>
    <w:rsid w:val="005520ED"/>
    <w:rsid w:val="005A0D0D"/>
    <w:rsid w:val="005A0DD8"/>
    <w:rsid w:val="00685D31"/>
    <w:rsid w:val="006912BF"/>
    <w:rsid w:val="006A41D0"/>
    <w:rsid w:val="006B08D5"/>
    <w:rsid w:val="00804498"/>
    <w:rsid w:val="00844257"/>
    <w:rsid w:val="00914C56"/>
    <w:rsid w:val="00950729"/>
    <w:rsid w:val="0095660F"/>
    <w:rsid w:val="009854A9"/>
    <w:rsid w:val="009E033F"/>
    <w:rsid w:val="00A55B54"/>
    <w:rsid w:val="00BB6328"/>
    <w:rsid w:val="00BF4578"/>
    <w:rsid w:val="00D65199"/>
    <w:rsid w:val="00D8098C"/>
    <w:rsid w:val="00ED48A3"/>
    <w:rsid w:val="00EF4B94"/>
    <w:rsid w:val="00FB798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14C56"/>
    <w:pPr>
      <w:spacing w:after="0" w:line="276" w:lineRule="auto"/>
    </w:pPr>
    <w:rPr>
      <w:rFonts w:ascii="Arial" w:eastAsia="Arial" w:hAnsi="Arial" w:cs="Arial"/>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14C56"/>
    <w:pPr>
      <w:tabs>
        <w:tab w:val="center" w:pos="4680"/>
        <w:tab w:val="right" w:pos="9360"/>
      </w:tabs>
      <w:spacing w:line="240" w:lineRule="auto"/>
    </w:pPr>
  </w:style>
  <w:style w:type="character" w:customStyle="1" w:styleId="a4">
    <w:name w:val="页脚 字符"/>
    <w:basedOn w:val="a0"/>
    <w:link w:val="a3"/>
    <w:uiPriority w:val="99"/>
    <w:rsid w:val="00914C56"/>
    <w:rPr>
      <w:rFonts w:ascii="Arial" w:eastAsia="Arial" w:hAnsi="Arial" w:cs="Arial"/>
      <w:lang w:val="en" w:eastAsia="de-CH"/>
    </w:rPr>
  </w:style>
  <w:style w:type="character" w:styleId="a5">
    <w:name w:val="page number"/>
    <w:basedOn w:val="a0"/>
    <w:uiPriority w:val="99"/>
    <w:semiHidden/>
    <w:unhideWhenUsed/>
    <w:rsid w:val="00914C56"/>
  </w:style>
  <w:style w:type="character" w:styleId="a6">
    <w:name w:val="line number"/>
    <w:basedOn w:val="a0"/>
    <w:uiPriority w:val="99"/>
    <w:semiHidden/>
    <w:unhideWhenUsed/>
    <w:rsid w:val="00914C56"/>
  </w:style>
  <w:style w:type="paragraph" w:styleId="a7">
    <w:name w:val="header"/>
    <w:basedOn w:val="a"/>
    <w:link w:val="a8"/>
    <w:uiPriority w:val="99"/>
    <w:unhideWhenUsed/>
    <w:rsid w:val="005A0DD8"/>
    <w:pP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5A0DD8"/>
    <w:rPr>
      <w:rFonts w:ascii="Arial" w:eastAsia="Arial" w:hAnsi="Arial" w:cs="Arial"/>
      <w:sz w:val="18"/>
      <w:szCs w:val="18"/>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Pages>
  <Words>3542</Words>
  <Characters>20191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dongmiao huang</cp:lastModifiedBy>
  <cp:revision>7</cp:revision>
  <cp:lastPrinted>2021-09-28T07:08:00Z</cp:lastPrinted>
  <dcterms:created xsi:type="dcterms:W3CDTF">2022-04-07T08:09:00Z</dcterms:created>
  <dcterms:modified xsi:type="dcterms:W3CDTF">2024-05-28T10:50:00Z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