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5749"/>
      </w:tblGrid>
      <w:tr w:rsidR="008B7B38" w14:paraId="1E4FC213" w14:textId="77777777" w:rsidTr="00695B05">
        <w:tc>
          <w:tcPr>
            <w:tcW w:w="8296" w:type="dxa"/>
            <w:gridSpan w:val="2"/>
          </w:tcPr>
          <w:p w14:paraId="0ED1B66A" w14:textId="4A4BB5B0" w:rsidR="008B7B38" w:rsidRDefault="00E746A2" w:rsidP="00695B05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  <w:b/>
                <w:bCs/>
              </w:rPr>
              <w:t xml:space="preserve">Supplementary </w:t>
            </w:r>
            <w:r w:rsidR="008B7B38" w:rsidRPr="002D590A">
              <w:rPr>
                <w:rFonts w:ascii="Cambria" w:hAnsi="Cambria" w:hint="eastAsia"/>
                <w:b/>
                <w:bCs/>
              </w:rPr>
              <w:t>Table</w:t>
            </w:r>
            <w:r>
              <w:rPr>
                <w:rFonts w:ascii="Cambria" w:hAnsi="Cambria" w:hint="eastAsia"/>
                <w:b/>
                <w:bCs/>
              </w:rPr>
              <w:t xml:space="preserve"> 1</w:t>
            </w:r>
            <w:r w:rsidR="008B7B38" w:rsidRPr="002D590A">
              <w:rPr>
                <w:rFonts w:ascii="Cambria" w:hAnsi="Cambria" w:hint="eastAsia"/>
                <w:b/>
                <w:bCs/>
              </w:rPr>
              <w:t xml:space="preserve">. </w:t>
            </w:r>
            <w:bookmarkStart w:id="0" w:name="_Hlk171871421"/>
            <w:r w:rsidR="008B7B38">
              <w:rPr>
                <w:rFonts w:ascii="Cambria" w:hAnsi="Cambria" w:hint="eastAsia"/>
              </w:rPr>
              <w:t>E</w:t>
            </w:r>
            <w:r w:rsidR="008B7B38" w:rsidRPr="003378CA">
              <w:rPr>
                <w:rFonts w:ascii="Cambria" w:hAnsi="Cambria"/>
              </w:rPr>
              <w:t>xplanation of why the selected variables were chosen in this study</w:t>
            </w:r>
            <w:r w:rsidR="008B7B38">
              <w:rPr>
                <w:rFonts w:ascii="Cambria" w:hAnsi="Cambria" w:hint="eastAsia"/>
              </w:rPr>
              <w:t>.</w:t>
            </w:r>
            <w:bookmarkEnd w:id="0"/>
          </w:p>
        </w:tc>
      </w:tr>
      <w:tr w:rsidR="008B7B38" w14:paraId="471785B8" w14:textId="77777777" w:rsidTr="00695B05">
        <w:tc>
          <w:tcPr>
            <w:tcW w:w="2547" w:type="dxa"/>
          </w:tcPr>
          <w:p w14:paraId="74D503E7" w14:textId="77777777" w:rsidR="008B7B38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Age</w:t>
            </w:r>
          </w:p>
        </w:tc>
        <w:tc>
          <w:tcPr>
            <w:tcW w:w="5749" w:type="dxa"/>
          </w:tcPr>
          <w:p w14:paraId="2B03AD2E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Age is a fundamental demographic variable that can influence various health outcomes and behaviors. It helps in understanding the distribution of characteristics across different age groups.</w:t>
            </w:r>
          </w:p>
        </w:tc>
      </w:tr>
      <w:tr w:rsidR="008B7B38" w14:paraId="1C4DC92C" w14:textId="77777777" w:rsidTr="00695B05">
        <w:tc>
          <w:tcPr>
            <w:tcW w:w="2547" w:type="dxa"/>
          </w:tcPr>
          <w:p w14:paraId="6C71ACAC" w14:textId="77777777" w:rsidR="008B7B38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Gender</w:t>
            </w:r>
          </w:p>
        </w:tc>
        <w:tc>
          <w:tcPr>
            <w:tcW w:w="5749" w:type="dxa"/>
          </w:tcPr>
          <w:p w14:paraId="5FFA319A" w14:textId="77777777" w:rsidR="008B7B38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Gender is crucial for identifying differences in health behaviors, risks, and outcomes between males and females.</w:t>
            </w:r>
          </w:p>
        </w:tc>
      </w:tr>
      <w:tr w:rsidR="008B7B38" w14:paraId="76861087" w14:textId="77777777" w:rsidTr="00695B05">
        <w:tc>
          <w:tcPr>
            <w:tcW w:w="2547" w:type="dxa"/>
          </w:tcPr>
          <w:p w14:paraId="6F2B69DC" w14:textId="77777777" w:rsidR="008B7B38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Grade</w:t>
            </w:r>
          </w:p>
        </w:tc>
        <w:tc>
          <w:tcPr>
            <w:tcW w:w="5749" w:type="dxa"/>
          </w:tcPr>
          <w:p w14:paraId="6F8904B2" w14:textId="77777777" w:rsidR="008B7B38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This likely refers to educational level or a specific category within a population (e.g., students in different school grades). Education level can impact health literacy and behaviors.</w:t>
            </w:r>
          </w:p>
        </w:tc>
      </w:tr>
      <w:tr w:rsidR="008B7B38" w14:paraId="0EC04D7F" w14:textId="77777777" w:rsidTr="00695B05">
        <w:tc>
          <w:tcPr>
            <w:tcW w:w="2547" w:type="dxa"/>
          </w:tcPr>
          <w:p w14:paraId="10351297" w14:textId="77777777" w:rsidR="008B7B38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Marital Status</w:t>
            </w:r>
          </w:p>
        </w:tc>
        <w:tc>
          <w:tcPr>
            <w:tcW w:w="5749" w:type="dxa"/>
          </w:tcPr>
          <w:p w14:paraId="5F16F4F5" w14:textId="77777777" w:rsidR="008B7B38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Marital status can affect mental and physical health, social support, and lifestyle choices. It provides insights into the social context of the participants.</w:t>
            </w:r>
          </w:p>
        </w:tc>
      </w:tr>
      <w:tr w:rsidR="008B7B38" w14:paraId="34521688" w14:textId="77777777" w:rsidTr="00695B05">
        <w:tc>
          <w:tcPr>
            <w:tcW w:w="2547" w:type="dxa"/>
          </w:tcPr>
          <w:p w14:paraId="0269C999" w14:textId="77777777" w:rsidR="008B7B38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Drinking and Smoking Habits</w:t>
            </w:r>
          </w:p>
        </w:tc>
        <w:tc>
          <w:tcPr>
            <w:tcW w:w="5749" w:type="dxa"/>
          </w:tcPr>
          <w:p w14:paraId="2F67987F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These are critical lifestyle factors that significantly impact health. Understanding participants' consumption patterns helps in assessing their risk factors for various diseases.</w:t>
            </w:r>
          </w:p>
        </w:tc>
      </w:tr>
      <w:tr w:rsidR="008B7B38" w14:paraId="47DBA097" w14:textId="77777777" w:rsidTr="00695B05">
        <w:tc>
          <w:tcPr>
            <w:tcW w:w="2547" w:type="dxa"/>
          </w:tcPr>
          <w:p w14:paraId="4C373A72" w14:textId="77777777" w:rsidR="008B7B38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Low Salt and Oil</w:t>
            </w:r>
          </w:p>
        </w:tc>
        <w:tc>
          <w:tcPr>
            <w:tcW w:w="5749" w:type="dxa"/>
          </w:tcPr>
          <w:p w14:paraId="7DC9F57C" w14:textId="77777777" w:rsidR="008B7B38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These preferences can indicate a participant's focus on heart health and managing conditions like hypertension.</w:t>
            </w:r>
          </w:p>
        </w:tc>
      </w:tr>
      <w:tr w:rsidR="008B7B38" w14:paraId="5702D0B9" w14:textId="77777777" w:rsidTr="00695B05">
        <w:tc>
          <w:tcPr>
            <w:tcW w:w="2547" w:type="dxa"/>
          </w:tcPr>
          <w:p w14:paraId="4FAC9526" w14:textId="77777777" w:rsidR="008B7B38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Fatty Foods</w:t>
            </w:r>
          </w:p>
        </w:tc>
        <w:tc>
          <w:tcPr>
            <w:tcW w:w="5749" w:type="dxa"/>
          </w:tcPr>
          <w:p w14:paraId="2AE2B9E8" w14:textId="77777777" w:rsidR="008B7B38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High intake of fatty foods is linked to obesity and other metabolic disorders.</w:t>
            </w:r>
          </w:p>
        </w:tc>
      </w:tr>
      <w:tr w:rsidR="008B7B38" w14:paraId="4B2E8CB7" w14:textId="77777777" w:rsidTr="00695B05">
        <w:tc>
          <w:tcPr>
            <w:tcW w:w="2547" w:type="dxa"/>
          </w:tcPr>
          <w:p w14:paraId="220E2213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Red Meat</w:t>
            </w:r>
          </w:p>
        </w:tc>
        <w:tc>
          <w:tcPr>
            <w:tcW w:w="5749" w:type="dxa"/>
          </w:tcPr>
          <w:p w14:paraId="133DF6B7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Consumption of red meat can be related to risks of certain cancers and cardiovascular diseases.</w:t>
            </w:r>
          </w:p>
        </w:tc>
      </w:tr>
      <w:tr w:rsidR="008B7B38" w14:paraId="7725D154" w14:textId="77777777" w:rsidTr="00695B05">
        <w:tc>
          <w:tcPr>
            <w:tcW w:w="2547" w:type="dxa"/>
          </w:tcPr>
          <w:p w14:paraId="53D93833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Barbecued Foods</w:t>
            </w:r>
          </w:p>
        </w:tc>
        <w:tc>
          <w:tcPr>
            <w:tcW w:w="5749" w:type="dxa"/>
          </w:tcPr>
          <w:p w14:paraId="4F4DCFB2" w14:textId="77777777" w:rsidR="008B7B38" w:rsidRPr="000862DA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Barbecued foods can contain carcinogens if not prepared properly.</w:t>
            </w:r>
          </w:p>
        </w:tc>
      </w:tr>
      <w:tr w:rsidR="008B7B38" w14:paraId="2CF5439A" w14:textId="77777777" w:rsidTr="00695B05">
        <w:tc>
          <w:tcPr>
            <w:tcW w:w="2547" w:type="dxa"/>
          </w:tcPr>
          <w:p w14:paraId="00DC726A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Vegetables and Fruits</w:t>
            </w:r>
          </w:p>
        </w:tc>
        <w:tc>
          <w:tcPr>
            <w:tcW w:w="5749" w:type="dxa"/>
          </w:tcPr>
          <w:p w14:paraId="241DF964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High consumption of these is associated with better overall health and lower risk of chronic diseases.</w:t>
            </w:r>
          </w:p>
        </w:tc>
      </w:tr>
      <w:tr w:rsidR="008B7B38" w14:paraId="243F2524" w14:textId="77777777" w:rsidTr="00695B05">
        <w:tc>
          <w:tcPr>
            <w:tcW w:w="2547" w:type="dxa"/>
          </w:tcPr>
          <w:p w14:paraId="582F3ADB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Monthly Expenses</w:t>
            </w:r>
          </w:p>
        </w:tc>
        <w:tc>
          <w:tcPr>
            <w:tcW w:w="5749" w:type="dxa"/>
          </w:tcPr>
          <w:p w14:paraId="26F1C5D4" w14:textId="77777777" w:rsidR="008B7B38" w:rsidRPr="000862DA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This can serve as a proxy for socioeconomic status, which influences access to healthcare, quality of diet, and overall lifestyle.</w:t>
            </w:r>
          </w:p>
        </w:tc>
      </w:tr>
      <w:tr w:rsidR="008B7B38" w14:paraId="46AC75E2" w14:textId="77777777" w:rsidTr="00695B05">
        <w:tc>
          <w:tcPr>
            <w:tcW w:w="2547" w:type="dxa"/>
          </w:tcPr>
          <w:p w14:paraId="2580A8BA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Daily Sedentary Time</w:t>
            </w:r>
          </w:p>
        </w:tc>
        <w:tc>
          <w:tcPr>
            <w:tcW w:w="5749" w:type="dxa"/>
          </w:tcPr>
          <w:p w14:paraId="53D5A875" w14:textId="77777777" w:rsidR="008B7B38" w:rsidRPr="000862DA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High sedentary time is linked to various health issues, including obesity, cardiovascular disease, and poor mental health.</w:t>
            </w:r>
          </w:p>
        </w:tc>
      </w:tr>
      <w:tr w:rsidR="008B7B38" w14:paraId="2D104E8C" w14:textId="77777777" w:rsidTr="00695B05">
        <w:tc>
          <w:tcPr>
            <w:tcW w:w="2547" w:type="dxa"/>
          </w:tcPr>
          <w:p w14:paraId="61332FB9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Frequency of Exercise per Week</w:t>
            </w:r>
          </w:p>
        </w:tc>
        <w:tc>
          <w:tcPr>
            <w:tcW w:w="5749" w:type="dxa"/>
          </w:tcPr>
          <w:p w14:paraId="03BAB722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Regular exercise is a key factor in maintaining physical and mental health. This variable helps in understanding participants' activity levels.</w:t>
            </w:r>
          </w:p>
        </w:tc>
      </w:tr>
      <w:tr w:rsidR="008B7B38" w14:paraId="134482A1" w14:textId="77777777" w:rsidTr="00695B05">
        <w:tc>
          <w:tcPr>
            <w:tcW w:w="2547" w:type="dxa"/>
          </w:tcPr>
          <w:p w14:paraId="65A2175D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Presence of Chronic Diseases</w:t>
            </w:r>
          </w:p>
        </w:tc>
        <w:tc>
          <w:tcPr>
            <w:tcW w:w="5749" w:type="dxa"/>
          </w:tcPr>
          <w:p w14:paraId="16674811" w14:textId="77777777" w:rsidR="008B7B38" w:rsidRPr="000862DA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Knowing whether participants have chronic diseases allows for analysis of how these conditions affect their lifestyle and health behaviors.</w:t>
            </w:r>
          </w:p>
        </w:tc>
      </w:tr>
      <w:tr w:rsidR="008B7B38" w14:paraId="0D7382DC" w14:textId="77777777" w:rsidTr="00695B05">
        <w:tc>
          <w:tcPr>
            <w:tcW w:w="2547" w:type="dxa"/>
          </w:tcPr>
          <w:p w14:paraId="465414C8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>Sleep Quality</w:t>
            </w:r>
          </w:p>
        </w:tc>
        <w:tc>
          <w:tcPr>
            <w:tcW w:w="5749" w:type="dxa"/>
          </w:tcPr>
          <w:p w14:paraId="22AE22A3" w14:textId="77777777" w:rsidR="008B7B38" w:rsidRPr="00D23D94" w:rsidRDefault="008B7B38" w:rsidP="00695B05">
            <w:pPr>
              <w:rPr>
                <w:rFonts w:ascii="Cambria" w:hAnsi="Cambria"/>
              </w:rPr>
            </w:pPr>
            <w:r w:rsidRPr="00D23D94">
              <w:rPr>
                <w:rFonts w:ascii="Cambria" w:hAnsi="Cambria"/>
              </w:rPr>
              <w:t xml:space="preserve">Sleep is crucial for overall health, affecting everything </w:t>
            </w:r>
            <w:r w:rsidRPr="00D23D94">
              <w:rPr>
                <w:rFonts w:ascii="Cambria" w:hAnsi="Cambria"/>
              </w:rPr>
              <w:lastRenderedPageBreak/>
              <w:t>from cognitive function to immune response. Poor sleep quality can be both a cause and an effect of various health issues.</w:t>
            </w:r>
          </w:p>
        </w:tc>
      </w:tr>
    </w:tbl>
    <w:p w14:paraId="1F146AB1" w14:textId="77777777" w:rsidR="00FE0C40" w:rsidRPr="008B7B38" w:rsidRDefault="00FE0C40"/>
    <w:sectPr w:rsidR="00FE0C40" w:rsidRPr="008B7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0B3F9" w14:textId="77777777" w:rsidR="00CA034A" w:rsidRDefault="00CA034A" w:rsidP="008B7B38">
      <w:r>
        <w:separator/>
      </w:r>
    </w:p>
  </w:endnote>
  <w:endnote w:type="continuationSeparator" w:id="0">
    <w:p w14:paraId="4FF7E023" w14:textId="77777777" w:rsidR="00CA034A" w:rsidRDefault="00CA034A" w:rsidP="008B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380DA" w14:textId="77777777" w:rsidR="00CA034A" w:rsidRDefault="00CA034A" w:rsidP="008B7B38">
      <w:r>
        <w:separator/>
      </w:r>
    </w:p>
  </w:footnote>
  <w:footnote w:type="continuationSeparator" w:id="0">
    <w:p w14:paraId="4DC081DF" w14:textId="77777777" w:rsidR="00CA034A" w:rsidRDefault="00CA034A" w:rsidP="008B7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C1"/>
    <w:rsid w:val="00360194"/>
    <w:rsid w:val="004C5AC1"/>
    <w:rsid w:val="00765AD2"/>
    <w:rsid w:val="008B7B38"/>
    <w:rsid w:val="009A0C2A"/>
    <w:rsid w:val="00CA034A"/>
    <w:rsid w:val="00E746A2"/>
    <w:rsid w:val="00FD78C6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85387"/>
  <w15:chartTrackingRefBased/>
  <w15:docId w15:val="{DEF1B018-4020-46F9-8842-315D9768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dobe 宋体 Std L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B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B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7B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7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7B38"/>
    <w:rPr>
      <w:sz w:val="18"/>
      <w:szCs w:val="18"/>
    </w:rPr>
  </w:style>
  <w:style w:type="table" w:styleId="a7">
    <w:name w:val="Table Grid"/>
    <w:basedOn w:val="a1"/>
    <w:uiPriority w:val="39"/>
    <w:rsid w:val="008B7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</dc:creator>
  <cp:keywords/>
  <dc:description/>
  <cp:lastModifiedBy>Authors</cp:lastModifiedBy>
  <cp:revision>3</cp:revision>
  <dcterms:created xsi:type="dcterms:W3CDTF">2024-07-16T14:50:00Z</dcterms:created>
  <dcterms:modified xsi:type="dcterms:W3CDTF">2024-07-16T14:54:00Z</dcterms:modified>
</cp:coreProperties>
</file>