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A73" w:rsidRPr="00250B41" w:rsidRDefault="00146A73" w:rsidP="00146A73">
      <w:pPr>
        <w:spacing w:line="276" w:lineRule="auto"/>
        <w:rPr>
          <w:rFonts w:ascii="Times New Roman" w:hAnsi="Times New Roman"/>
          <w:b/>
          <w:kern w:val="0"/>
          <w:szCs w:val="21"/>
        </w:rPr>
      </w:pPr>
      <w:r w:rsidRPr="00CA56BE">
        <w:rPr>
          <w:rFonts w:ascii="Times New Roman" w:hAnsi="Times New Roman" w:hint="eastAsia"/>
          <w:b/>
          <w:color w:val="FF0000"/>
        </w:rPr>
        <w:t xml:space="preserve">Supplementary </w:t>
      </w:r>
      <w:r w:rsidR="0087262C" w:rsidRPr="00CA56BE">
        <w:rPr>
          <w:rFonts w:ascii="Times New Roman" w:hAnsi="Times New Roman"/>
          <w:b/>
          <w:color w:val="FF0000"/>
        </w:rPr>
        <w:t xml:space="preserve">Table </w:t>
      </w:r>
      <w:r w:rsidR="007E0B6B" w:rsidRPr="00CA56BE">
        <w:rPr>
          <w:rFonts w:ascii="Times New Roman" w:hAnsi="Times New Roman" w:hint="eastAsia"/>
          <w:b/>
          <w:color w:val="FF0000"/>
        </w:rPr>
        <w:t>1</w:t>
      </w:r>
      <w:r w:rsidRPr="00CA56BE">
        <w:rPr>
          <w:rFonts w:ascii="Times New Roman" w:hAnsi="Times New Roman"/>
          <w:b/>
          <w:color w:val="FF0000"/>
          <w:kern w:val="0"/>
          <w:szCs w:val="21"/>
        </w:rPr>
        <w:t xml:space="preserve">. </w:t>
      </w:r>
      <w:r w:rsidRPr="00250B41">
        <w:rPr>
          <w:rFonts w:ascii="Times New Roman" w:hAnsi="Times New Roman"/>
          <w:b/>
          <w:kern w:val="0"/>
          <w:szCs w:val="21"/>
        </w:rPr>
        <w:t>Re-hospitalization rate among CHD patients</w:t>
      </w: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191"/>
        <w:gridCol w:w="2108"/>
        <w:gridCol w:w="2113"/>
        <w:gridCol w:w="2110"/>
      </w:tblGrid>
      <w:tr w:rsidR="00146A73" w:rsidRPr="00250B41" w:rsidTr="00783D5F">
        <w:tc>
          <w:tcPr>
            <w:tcW w:w="128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23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General CHD patients (n=582)</w:t>
            </w:r>
          </w:p>
        </w:tc>
        <w:tc>
          <w:tcPr>
            <w:tcW w:w="124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CHD patients comorbid with depressive symptoms (n=166)</w:t>
            </w:r>
          </w:p>
        </w:tc>
        <w:tc>
          <w:tcPr>
            <w:tcW w:w="123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p</w:t>
            </w:r>
          </w:p>
        </w:tc>
      </w:tr>
      <w:tr w:rsidR="00146A73" w:rsidRPr="00250B41" w:rsidTr="00783D5F">
        <w:tc>
          <w:tcPr>
            <w:tcW w:w="128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Re-hospitalization rate for CVD, %</w:t>
            </w:r>
          </w:p>
        </w:tc>
        <w:tc>
          <w:tcPr>
            <w:tcW w:w="123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14.6% (n=85)</w:t>
            </w:r>
          </w:p>
        </w:tc>
        <w:tc>
          <w:tcPr>
            <w:tcW w:w="1240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25.3% (n=42)</w:t>
            </w:r>
          </w:p>
        </w:tc>
        <w:tc>
          <w:tcPr>
            <w:tcW w:w="1238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</w:tr>
      <w:tr w:rsidR="00146A73" w:rsidRPr="00250B41" w:rsidTr="00783D5F">
        <w:tc>
          <w:tcPr>
            <w:tcW w:w="1285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Re-hospitalization rate for MI, %</w:t>
            </w:r>
          </w:p>
        </w:tc>
        <w:tc>
          <w:tcPr>
            <w:tcW w:w="1237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6.2% (n=36)</w:t>
            </w:r>
          </w:p>
        </w:tc>
        <w:tc>
          <w:tcPr>
            <w:tcW w:w="1240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11.4% (n=19)</w:t>
            </w:r>
          </w:p>
        </w:tc>
        <w:tc>
          <w:tcPr>
            <w:tcW w:w="1238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0.004</w:t>
            </w:r>
          </w:p>
        </w:tc>
      </w:tr>
      <w:tr w:rsidR="00146A73" w:rsidRPr="00250B41" w:rsidTr="00783D5F">
        <w:tc>
          <w:tcPr>
            <w:tcW w:w="1285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Re-hospitalization rate for angina pectoris, %</w:t>
            </w:r>
          </w:p>
        </w:tc>
        <w:tc>
          <w:tcPr>
            <w:tcW w:w="1237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5.0% (n=29)</w:t>
            </w:r>
          </w:p>
        </w:tc>
        <w:tc>
          <w:tcPr>
            <w:tcW w:w="1240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9.6% (n=16)</w:t>
            </w:r>
          </w:p>
        </w:tc>
        <w:tc>
          <w:tcPr>
            <w:tcW w:w="1238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0.023</w:t>
            </w:r>
          </w:p>
        </w:tc>
      </w:tr>
      <w:tr w:rsidR="00146A73" w:rsidRPr="00250B41" w:rsidTr="00783D5F">
        <w:tc>
          <w:tcPr>
            <w:tcW w:w="1285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 xml:space="preserve">Re-hospitalization rate for ACS </w:t>
            </w:r>
            <w:r w:rsidRPr="00250B41">
              <w:rPr>
                <w:rFonts w:ascii="Times New Roman" w:hAnsi="Times New Roman"/>
                <w:kern w:val="0"/>
                <w:sz w:val="22"/>
                <w:vertAlign w:val="superscript"/>
              </w:rPr>
              <w:sym w:font="Symbol" w:char="F061"/>
            </w:r>
            <w:r w:rsidRPr="00250B41">
              <w:rPr>
                <w:rFonts w:ascii="Times New Roman" w:hAnsi="Times New Roman"/>
                <w:kern w:val="0"/>
                <w:sz w:val="22"/>
              </w:rPr>
              <w:t>, %</w:t>
            </w:r>
          </w:p>
        </w:tc>
        <w:tc>
          <w:tcPr>
            <w:tcW w:w="1237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11.2% (n=65)</w:t>
            </w:r>
          </w:p>
        </w:tc>
        <w:tc>
          <w:tcPr>
            <w:tcW w:w="1240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21.1% (n=35)</w:t>
            </w:r>
          </w:p>
        </w:tc>
        <w:tc>
          <w:tcPr>
            <w:tcW w:w="1238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</w:tr>
      <w:tr w:rsidR="00146A73" w:rsidRPr="00250B41" w:rsidTr="00783D5F">
        <w:tc>
          <w:tcPr>
            <w:tcW w:w="1285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 xml:space="preserve">Rate for the primary endpoint </w:t>
            </w:r>
            <w:r w:rsidRPr="00250B41">
              <w:rPr>
                <w:rFonts w:ascii="Times New Roman" w:hAnsi="Times New Roman"/>
                <w:kern w:val="0"/>
                <w:sz w:val="22"/>
                <w:vertAlign w:val="superscript"/>
              </w:rPr>
              <w:t>β</w:t>
            </w:r>
            <w:r w:rsidRPr="00250B41">
              <w:rPr>
                <w:rFonts w:ascii="Times New Roman" w:hAnsi="Times New Roman"/>
                <w:kern w:val="0"/>
                <w:sz w:val="22"/>
              </w:rPr>
              <w:t>, %</w:t>
            </w:r>
          </w:p>
        </w:tc>
        <w:tc>
          <w:tcPr>
            <w:tcW w:w="1237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9.1% (n=53)</w:t>
            </w:r>
          </w:p>
        </w:tc>
        <w:tc>
          <w:tcPr>
            <w:tcW w:w="1240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14.5% (n=24)</w:t>
            </w:r>
          </w:p>
        </w:tc>
        <w:tc>
          <w:tcPr>
            <w:tcW w:w="1238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0.045</w:t>
            </w:r>
          </w:p>
        </w:tc>
      </w:tr>
      <w:tr w:rsidR="00146A73" w:rsidRPr="00250B41" w:rsidTr="00783D5F">
        <w:tc>
          <w:tcPr>
            <w:tcW w:w="1285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 xml:space="preserve">Rate for the secondary endpoint </w:t>
            </w:r>
            <w:r w:rsidRPr="00250B41">
              <w:rPr>
                <w:rFonts w:ascii="Times New Roman" w:hAnsi="Times New Roman"/>
                <w:kern w:val="0"/>
                <w:sz w:val="22"/>
                <w:vertAlign w:val="superscript"/>
              </w:rPr>
              <w:sym w:font="Symbol" w:char="F065"/>
            </w:r>
            <w:r w:rsidRPr="00250B41">
              <w:rPr>
                <w:rFonts w:ascii="Times New Roman" w:hAnsi="Times New Roman"/>
                <w:kern w:val="0"/>
                <w:sz w:val="22"/>
              </w:rPr>
              <w:t>, %</w:t>
            </w:r>
          </w:p>
        </w:tc>
        <w:tc>
          <w:tcPr>
            <w:tcW w:w="1237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5.5% (n=32)</w:t>
            </w:r>
          </w:p>
        </w:tc>
        <w:tc>
          <w:tcPr>
            <w:tcW w:w="1240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10.8% (n=18)</w:t>
            </w:r>
          </w:p>
        </w:tc>
        <w:tc>
          <w:tcPr>
            <w:tcW w:w="1238" w:type="pct"/>
            <w:shd w:val="clear" w:color="auto" w:fill="auto"/>
            <w:vAlign w:val="center"/>
          </w:tcPr>
          <w:p w:rsidR="00146A73" w:rsidRPr="00250B41" w:rsidRDefault="00146A73" w:rsidP="00783D5F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250B41">
              <w:rPr>
                <w:rFonts w:ascii="Times New Roman" w:hAnsi="Times New Roman"/>
                <w:kern w:val="0"/>
                <w:sz w:val="22"/>
              </w:rPr>
              <w:t>0.013</w:t>
            </w:r>
          </w:p>
        </w:tc>
      </w:tr>
    </w:tbl>
    <w:p w:rsidR="00146A73" w:rsidRPr="00250B41" w:rsidRDefault="00146A73" w:rsidP="00146A73">
      <w:pPr>
        <w:spacing w:line="276" w:lineRule="auto"/>
        <w:ind w:firstLine="420"/>
        <w:rPr>
          <w:rFonts w:ascii="Times New Roman" w:hAnsi="Times New Roman"/>
          <w:szCs w:val="21"/>
          <w:shd w:val="clear" w:color="auto" w:fill="FFFFFF"/>
        </w:rPr>
      </w:pPr>
      <w:r w:rsidRPr="00250B41">
        <w:rPr>
          <w:rFonts w:ascii="Times New Roman" w:hAnsi="Times New Roman" w:hint="eastAsia"/>
          <w:szCs w:val="21"/>
          <w:shd w:val="clear" w:color="auto" w:fill="FFFFFF"/>
        </w:rPr>
        <w:t xml:space="preserve">ACS, acute coronary syndrome; </w:t>
      </w:r>
      <w:r w:rsidRPr="00250B41">
        <w:rPr>
          <w:rFonts w:ascii="Times New Roman" w:hAnsi="Times New Roman"/>
          <w:szCs w:val="21"/>
          <w:shd w:val="clear" w:color="auto" w:fill="FFFFFF"/>
        </w:rPr>
        <w:t>CHD, Coronary heart disease; CVD, Cardiovascular diseases; MI, Myocardial infarction; HF, heart failure;</w:t>
      </w:r>
      <w:r w:rsidRPr="00250B41">
        <w:rPr>
          <w:rFonts w:ascii="Times New Roman" w:hAnsi="Times New Roman"/>
          <w:kern w:val="0"/>
          <w:sz w:val="22"/>
          <w:vertAlign w:val="superscript"/>
        </w:rPr>
        <w:t xml:space="preserve"> </w:t>
      </w:r>
      <w:r w:rsidRPr="00250B41">
        <w:rPr>
          <w:rFonts w:ascii="Times New Roman" w:hAnsi="Times New Roman"/>
          <w:kern w:val="0"/>
          <w:sz w:val="22"/>
          <w:vertAlign w:val="superscript"/>
        </w:rPr>
        <w:sym w:font="Symbol" w:char="F061"/>
      </w:r>
      <w:r w:rsidRPr="00250B41">
        <w:rPr>
          <w:rFonts w:ascii="Times New Roman" w:hAnsi="Times New Roman"/>
          <w:kern w:val="0"/>
          <w:sz w:val="22"/>
          <w:vertAlign w:val="superscript"/>
        </w:rPr>
        <w:t xml:space="preserve"> </w:t>
      </w:r>
      <w:r w:rsidRPr="00250B41">
        <w:rPr>
          <w:rFonts w:ascii="Times New Roman" w:hAnsi="Times New Roman"/>
          <w:kern w:val="0"/>
          <w:sz w:val="22"/>
        </w:rPr>
        <w:t>ACS, including MI and angina pectoris;</w:t>
      </w:r>
      <w:r w:rsidRPr="00250B41">
        <w:rPr>
          <w:rFonts w:ascii="Times New Roman" w:hAnsi="Times New Roman"/>
          <w:kern w:val="0"/>
          <w:sz w:val="22"/>
          <w:vertAlign w:val="superscript"/>
        </w:rPr>
        <w:t xml:space="preserve"> β </w:t>
      </w:r>
      <w:r w:rsidRPr="00250B41">
        <w:rPr>
          <w:rFonts w:ascii="Times New Roman" w:hAnsi="Times New Roman"/>
          <w:szCs w:val="21"/>
          <w:shd w:val="clear" w:color="auto" w:fill="FFFFFF"/>
        </w:rPr>
        <w:t>primary endpoint, including readmission of cardiac death, hospitalization for HF and MI;</w:t>
      </w:r>
      <w:r w:rsidRPr="00250B41">
        <w:rPr>
          <w:rFonts w:ascii="Times New Roman" w:hAnsi="Times New Roman"/>
          <w:kern w:val="0"/>
          <w:sz w:val="22"/>
          <w:vertAlign w:val="superscript"/>
        </w:rPr>
        <w:t xml:space="preserve"> </w:t>
      </w:r>
      <w:r w:rsidRPr="00250B41">
        <w:rPr>
          <w:rFonts w:ascii="Times New Roman" w:hAnsi="Times New Roman"/>
          <w:kern w:val="0"/>
          <w:sz w:val="22"/>
          <w:vertAlign w:val="superscript"/>
        </w:rPr>
        <w:sym w:font="Symbol" w:char="F065"/>
      </w:r>
      <w:r w:rsidRPr="00250B41">
        <w:rPr>
          <w:rFonts w:ascii="Times New Roman" w:hAnsi="Times New Roman"/>
          <w:kern w:val="0"/>
          <w:sz w:val="22"/>
          <w:vertAlign w:val="superscript"/>
        </w:rPr>
        <w:t xml:space="preserve"> </w:t>
      </w:r>
      <w:r w:rsidRPr="00250B41">
        <w:rPr>
          <w:rFonts w:ascii="Times New Roman" w:hAnsi="Times New Roman"/>
          <w:szCs w:val="21"/>
          <w:shd w:val="clear" w:color="auto" w:fill="FFFFFF"/>
        </w:rPr>
        <w:t>secondary endpoint, including readmission of angina pectoris and nonfatal stroke.</w:t>
      </w:r>
    </w:p>
    <w:p w:rsidR="00146A73" w:rsidRPr="00250B41" w:rsidRDefault="00146A73">
      <w:pPr>
        <w:rPr>
          <w:rFonts w:ascii="Times New Roman" w:hAnsi="Times New Roman"/>
          <w:b/>
        </w:rPr>
      </w:pPr>
    </w:p>
    <w:p w:rsidR="002217DF" w:rsidRPr="00250B41" w:rsidRDefault="0082248F">
      <w:pPr>
        <w:rPr>
          <w:rFonts w:ascii="Times New Roman" w:hAnsi="Times New Roman"/>
        </w:rPr>
      </w:pPr>
      <w:r w:rsidRPr="00146ABC">
        <w:rPr>
          <w:rFonts w:ascii="Times New Roman" w:hAnsi="Times New Roman" w:hint="eastAsia"/>
          <w:b/>
          <w:color w:val="FF0000"/>
        </w:rPr>
        <w:t xml:space="preserve">Supplementary </w:t>
      </w:r>
      <w:r w:rsidR="008D6F75" w:rsidRPr="00146ABC">
        <w:rPr>
          <w:rFonts w:ascii="Times New Roman" w:hAnsi="Times New Roman"/>
          <w:b/>
          <w:color w:val="FF0000"/>
        </w:rPr>
        <w:t xml:space="preserve">Table </w:t>
      </w:r>
      <w:r w:rsidR="000E653A" w:rsidRPr="00146ABC">
        <w:rPr>
          <w:rFonts w:ascii="Times New Roman" w:hAnsi="Times New Roman" w:hint="eastAsia"/>
          <w:b/>
          <w:color w:val="FF0000"/>
        </w:rPr>
        <w:t>2</w:t>
      </w:r>
      <w:r w:rsidR="008D6F75" w:rsidRPr="00146ABC">
        <w:rPr>
          <w:rFonts w:ascii="Times New Roman" w:hAnsi="Times New Roman"/>
          <w:b/>
          <w:color w:val="FF0000"/>
        </w:rPr>
        <w:t>.</w:t>
      </w:r>
      <w:r w:rsidR="008D6F75" w:rsidRPr="00250B41">
        <w:rPr>
          <w:rFonts w:ascii="Times New Roman" w:hAnsi="Times New Roman"/>
        </w:rPr>
        <w:t xml:space="preserve"> Univariate and Multivariate Cox’s regression analysis for a composite endpoint of cardiac death, hospitalization fo</w:t>
      </w:r>
      <w:r w:rsidR="00DE3F4E" w:rsidRPr="00250B41">
        <w:rPr>
          <w:rFonts w:ascii="Times New Roman" w:hAnsi="Times New Roman"/>
        </w:rPr>
        <w:t>r MI and hospitalization for HF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102"/>
        <w:gridCol w:w="1933"/>
        <w:gridCol w:w="842"/>
        <w:gridCol w:w="1933"/>
        <w:gridCol w:w="712"/>
      </w:tblGrid>
      <w:tr w:rsidR="008D6F75" w:rsidRPr="00250B41" w:rsidTr="003D5D94">
        <w:trPr>
          <w:trHeight w:val="280"/>
        </w:trPr>
        <w:tc>
          <w:tcPr>
            <w:tcW w:w="1820" w:type="pct"/>
            <w:vMerge w:val="restar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6F75" w:rsidRPr="00250B41" w:rsidRDefault="008D6F75" w:rsidP="003D5D9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Variables</w:t>
            </w:r>
          </w:p>
        </w:tc>
        <w:tc>
          <w:tcPr>
            <w:tcW w:w="1628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Univariate model</w:t>
            </w:r>
          </w:p>
        </w:tc>
        <w:tc>
          <w:tcPr>
            <w:tcW w:w="1552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6F75" w:rsidRPr="00250B41" w:rsidRDefault="005216F2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Multivariate</w:t>
            </w:r>
            <w:r w:rsidR="008D6F75"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model</w:t>
            </w: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vMerge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HR (95%</w:t>
            </w:r>
            <w:r w:rsidR="00321749" w:rsidRPr="00250B41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CI</w:t>
            </w: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49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</w:t>
            </w:r>
          </w:p>
        </w:tc>
        <w:tc>
          <w:tcPr>
            <w:tcW w:w="11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HR (95%</w:t>
            </w:r>
            <w:r w:rsidR="00321749" w:rsidRPr="00250B41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CI</w:t>
            </w: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41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</w:t>
            </w:r>
          </w:p>
        </w:tc>
      </w:tr>
      <w:tr w:rsidR="008D6F75" w:rsidRPr="00250B41" w:rsidTr="002217DF">
        <w:trPr>
          <w:trHeight w:val="280"/>
        </w:trPr>
        <w:tc>
          <w:tcPr>
            <w:tcW w:w="5000" w:type="pct"/>
            <w:gridSpan w:val="5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PHQ-9 score</w:t>
            </w:r>
          </w:p>
        </w:tc>
      </w:tr>
      <w:tr w:rsidR="008D6F75" w:rsidRPr="00250B41" w:rsidTr="002217DF">
        <w:trPr>
          <w:trHeight w:val="32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PHQ-9 ˂5</w:t>
            </w:r>
            <w:r w:rsidRPr="00250B41"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1134" w:type="pct"/>
            <w:shd w:val="clear" w:color="auto" w:fill="auto"/>
            <w:vAlign w:val="bottom"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shd w:val="clear" w:color="auto" w:fill="auto"/>
            <w:vAlign w:val="bottom"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PHQ-9 5-9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2.09 (1.15-3.80)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0.02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2.2 (1.19-4.03)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0.01</w:t>
            </w: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PHQ-9 ≥10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2.62 (1.23-5.57)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0.01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2.7 (1.23-5.95)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0.01</w:t>
            </w: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1.19 (0.65-2.18)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0.89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1.07 (0.40-1.68)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0.83</w:t>
            </w: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Age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1.01 (0.98-1.04)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0.49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 (0.98-1.04)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0.85</w:t>
            </w: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Education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8D6F75" w:rsidRPr="00250B41" w:rsidTr="002217DF">
        <w:trPr>
          <w:trHeight w:val="32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1-6 years</w:t>
            </w:r>
            <w:r w:rsidRPr="00250B41"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7-9 years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0.94 (0.50-1.78)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0. 85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≥10 years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0.93 (0.49-1.78)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0.82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Smoke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0.96 (0.56-1.64)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0.89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BMI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(0.93-1.11)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0.72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146ABC" w:rsidRDefault="00D210DA" w:rsidP="002217D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lastRenderedPageBreak/>
              <w:t>PLT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(1.00-1.01)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0.26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146ABC" w:rsidRDefault="00D210DA" w:rsidP="002217D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HDL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(0.66-1.43)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0.89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146ABC" w:rsidRDefault="00D210DA" w:rsidP="00D210D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LDL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(0.94-1.05)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0.76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LVEF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8D6F75" w:rsidRPr="00250B41" w:rsidTr="002217DF">
        <w:trPr>
          <w:trHeight w:val="32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Preserved LVEF (≥50%)</w:t>
            </w:r>
            <w:r w:rsidRPr="00250B41"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Mid-range LVEF (40-49%)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2.2 (1.22-4.52)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0.02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2.23 (1.31-4.94)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0.02</w:t>
            </w:r>
          </w:p>
        </w:tc>
      </w:tr>
      <w:tr w:rsidR="008D6F75" w:rsidRPr="00250B41" w:rsidTr="002217DF">
        <w:trPr>
          <w:trHeight w:val="29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Reduced LVEF (</w:t>
            </w: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＜</w:t>
            </w: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40%)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3.69 (1.29-7.25)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0.001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2.64 (1.17-5.94)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0.02</w:t>
            </w: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B620DD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60F5D">
              <w:rPr>
                <w:rFonts w:ascii="Times New Roman" w:hAnsi="Times New Roman" w:hint="eastAsia"/>
                <w:color w:val="FF0000"/>
                <w:kern w:val="0"/>
                <w:szCs w:val="21"/>
              </w:rPr>
              <w:t>a</w:t>
            </w:r>
            <w:r w:rsidR="008D6F75" w:rsidRPr="00760F5D">
              <w:rPr>
                <w:rFonts w:ascii="Times New Roman" w:hAnsi="Times New Roman"/>
                <w:color w:val="FF0000"/>
                <w:kern w:val="0"/>
                <w:szCs w:val="21"/>
              </w:rPr>
              <w:t xml:space="preserve">CCI </w:t>
            </w:r>
            <w:r w:rsidR="008D6F75"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score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8D6F75" w:rsidRPr="00250B41" w:rsidTr="002217DF">
        <w:trPr>
          <w:trHeight w:val="32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0-2</w:t>
            </w:r>
            <w:r w:rsidRPr="00250B41"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3-5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1.6 (0.50-4.57)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0.39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1.55 (0.55-4.72)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0.43</w:t>
            </w: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≥6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3.4 (1.18-9.78)</w:t>
            </w:r>
          </w:p>
        </w:tc>
        <w:tc>
          <w:tcPr>
            <w:tcW w:w="49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0.02</w:t>
            </w:r>
          </w:p>
        </w:tc>
        <w:tc>
          <w:tcPr>
            <w:tcW w:w="1134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2.67 (0.97-8.87)</w:t>
            </w:r>
          </w:p>
        </w:tc>
        <w:tc>
          <w:tcPr>
            <w:tcW w:w="419" w:type="pct"/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0.09</w:t>
            </w:r>
          </w:p>
        </w:tc>
      </w:tr>
      <w:tr w:rsidR="008D6F75" w:rsidRPr="00250B41" w:rsidTr="002217DF">
        <w:trPr>
          <w:trHeight w:val="280"/>
        </w:trPr>
        <w:tc>
          <w:tcPr>
            <w:tcW w:w="1820" w:type="pct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PCI</w:t>
            </w:r>
          </w:p>
        </w:tc>
        <w:tc>
          <w:tcPr>
            <w:tcW w:w="1134" w:type="pct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1.35 (0.78-2.33)</w:t>
            </w:r>
          </w:p>
        </w:tc>
        <w:tc>
          <w:tcPr>
            <w:tcW w:w="494" w:type="pct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0.29</w:t>
            </w:r>
          </w:p>
        </w:tc>
        <w:tc>
          <w:tcPr>
            <w:tcW w:w="1134" w:type="pct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19" w:type="pct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6F75" w:rsidRPr="00250B41" w:rsidRDefault="008D6F75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</w:tbl>
    <w:p w:rsidR="00512260" w:rsidRPr="00250B41" w:rsidRDefault="008D6F75" w:rsidP="00512260">
      <w:pPr>
        <w:rPr>
          <w:rFonts w:ascii="Times New Roman" w:hAnsi="Times New Roman"/>
          <w:sz w:val="18"/>
          <w:szCs w:val="18"/>
        </w:rPr>
      </w:pPr>
      <w:r w:rsidRPr="00250B41">
        <w:rPr>
          <w:rFonts w:ascii="Times New Roman" w:hAnsi="Times New Roman"/>
          <w:sz w:val="18"/>
          <w:szCs w:val="18"/>
        </w:rPr>
        <w:t xml:space="preserve">*Reference category. Significant p values (p ˂ 0.05) are highlighted in bold. </w:t>
      </w:r>
      <w:r w:rsidR="00D210DA" w:rsidRPr="00D210DA">
        <w:rPr>
          <w:rFonts w:ascii="Times New Roman" w:hAnsi="Times New Roman" w:hint="eastAsia"/>
          <w:color w:val="FF0000"/>
          <w:sz w:val="18"/>
          <w:szCs w:val="18"/>
        </w:rPr>
        <w:t>a</w:t>
      </w:r>
      <w:r w:rsidR="00512260" w:rsidRPr="00D210DA">
        <w:rPr>
          <w:rFonts w:ascii="Times New Roman" w:hAnsi="Times New Roman"/>
          <w:color w:val="FF0000"/>
          <w:sz w:val="18"/>
          <w:szCs w:val="18"/>
        </w:rPr>
        <w:t>CCI,</w:t>
      </w:r>
      <w:r w:rsidR="00512260" w:rsidRPr="00250B41">
        <w:rPr>
          <w:rFonts w:ascii="Times New Roman" w:hAnsi="Times New Roman"/>
          <w:sz w:val="18"/>
          <w:szCs w:val="18"/>
        </w:rPr>
        <w:t xml:space="preserve"> age-adjusted Charlson comorbidity index; BMI, Body Mass Index; </w:t>
      </w:r>
      <w:r w:rsidR="00512260" w:rsidRPr="00250B41">
        <w:rPr>
          <w:rFonts w:ascii="Times New Roman" w:hAnsi="Times New Roman" w:hint="eastAsia"/>
          <w:sz w:val="18"/>
          <w:szCs w:val="18"/>
        </w:rPr>
        <w:t xml:space="preserve">CHD, coronary heart disease; </w:t>
      </w:r>
      <w:r w:rsidR="00B620DD" w:rsidRPr="00250B41">
        <w:rPr>
          <w:rFonts w:ascii="Times New Roman" w:hAnsi="Times New Roman"/>
          <w:sz w:val="18"/>
          <w:szCs w:val="18"/>
        </w:rPr>
        <w:t>CI, confidence interval</w:t>
      </w:r>
      <w:r w:rsidR="00512260" w:rsidRPr="00250B41">
        <w:rPr>
          <w:rFonts w:ascii="Times New Roman" w:hAnsi="Times New Roman"/>
          <w:sz w:val="18"/>
          <w:szCs w:val="18"/>
        </w:rPr>
        <w:t xml:space="preserve">; </w:t>
      </w:r>
      <w:r w:rsidR="003E529C" w:rsidRPr="003E529C">
        <w:rPr>
          <w:rFonts w:ascii="Times New Roman" w:hAnsi="Times New Roman"/>
          <w:color w:val="FF0000"/>
          <w:sz w:val="18"/>
          <w:szCs w:val="18"/>
        </w:rPr>
        <w:t>HDL, high-density lipoprotein cholesterol</w:t>
      </w:r>
      <w:r w:rsidR="003E529C">
        <w:rPr>
          <w:rFonts w:ascii="Times New Roman" w:hAnsi="Times New Roman" w:hint="eastAsia"/>
          <w:sz w:val="18"/>
          <w:szCs w:val="18"/>
        </w:rPr>
        <w:t>;</w:t>
      </w:r>
      <w:r w:rsidR="003E529C" w:rsidRPr="003E529C">
        <w:rPr>
          <w:rFonts w:ascii="Times New Roman" w:hAnsi="Times New Roman" w:hint="eastAsia"/>
          <w:sz w:val="18"/>
          <w:szCs w:val="18"/>
        </w:rPr>
        <w:t xml:space="preserve"> </w:t>
      </w:r>
      <w:r w:rsidR="00512260" w:rsidRPr="00250B41">
        <w:rPr>
          <w:rFonts w:ascii="Times New Roman" w:hAnsi="Times New Roman" w:hint="eastAsia"/>
          <w:sz w:val="18"/>
          <w:szCs w:val="18"/>
        </w:rPr>
        <w:t xml:space="preserve">HF, heart failure; </w:t>
      </w:r>
      <w:r w:rsidR="00512260" w:rsidRPr="00250B41">
        <w:rPr>
          <w:rFonts w:ascii="Times New Roman" w:hAnsi="Times New Roman"/>
          <w:sz w:val="18"/>
          <w:szCs w:val="18"/>
        </w:rPr>
        <w:t>HR, hazard ratio</w:t>
      </w:r>
      <w:r w:rsidR="00512260" w:rsidRPr="00250B41">
        <w:rPr>
          <w:rFonts w:ascii="Times New Roman" w:hAnsi="Times New Roman" w:hint="eastAsia"/>
          <w:sz w:val="18"/>
          <w:szCs w:val="18"/>
        </w:rPr>
        <w:t>;</w:t>
      </w:r>
      <w:r w:rsidR="00512260" w:rsidRPr="00250B41">
        <w:rPr>
          <w:rFonts w:ascii="Times New Roman" w:hAnsi="Times New Roman"/>
          <w:sz w:val="18"/>
          <w:szCs w:val="18"/>
        </w:rPr>
        <w:t xml:space="preserve"> </w:t>
      </w:r>
      <w:r w:rsidR="003E529C" w:rsidRPr="003E529C">
        <w:rPr>
          <w:rFonts w:ascii="Times New Roman" w:hAnsi="Times New Roman"/>
          <w:color w:val="FF0000"/>
          <w:sz w:val="18"/>
          <w:szCs w:val="18"/>
        </w:rPr>
        <w:t xml:space="preserve">LDL, low-density lipoprotein cholesterol; </w:t>
      </w:r>
      <w:r w:rsidR="00512260" w:rsidRPr="00250B41">
        <w:rPr>
          <w:rFonts w:ascii="Times New Roman" w:hAnsi="Times New Roman"/>
          <w:sz w:val="18"/>
          <w:szCs w:val="18"/>
        </w:rPr>
        <w:t xml:space="preserve">LVEF, left ventricular ejection fraction; </w:t>
      </w:r>
      <w:r w:rsidR="00512260" w:rsidRPr="00250B41">
        <w:rPr>
          <w:rFonts w:ascii="Times New Roman" w:hAnsi="Times New Roman" w:hint="eastAsia"/>
          <w:sz w:val="18"/>
          <w:szCs w:val="18"/>
        </w:rPr>
        <w:t xml:space="preserve">MI, myocardial infarction; </w:t>
      </w:r>
      <w:r w:rsidR="00512260" w:rsidRPr="00250B41">
        <w:rPr>
          <w:rFonts w:ascii="Times New Roman" w:hAnsi="Times New Roman"/>
          <w:sz w:val="18"/>
          <w:szCs w:val="18"/>
        </w:rPr>
        <w:t>PCI, percutaneous coronary intervention</w:t>
      </w:r>
      <w:r w:rsidR="00512260" w:rsidRPr="00250B41">
        <w:rPr>
          <w:rFonts w:ascii="Times New Roman" w:hAnsi="Times New Roman" w:hint="eastAsia"/>
          <w:sz w:val="18"/>
          <w:szCs w:val="18"/>
        </w:rPr>
        <w:t xml:space="preserve">; </w:t>
      </w:r>
      <w:r w:rsidR="00512260" w:rsidRPr="00250B41">
        <w:rPr>
          <w:rFonts w:ascii="Times New Roman" w:hAnsi="Times New Roman"/>
          <w:sz w:val="18"/>
          <w:szCs w:val="18"/>
        </w:rPr>
        <w:t>PHQ-9</w:t>
      </w:r>
      <w:r w:rsidR="00B620DD" w:rsidRPr="00250B41">
        <w:rPr>
          <w:rFonts w:ascii="Times New Roman" w:hAnsi="Times New Roman"/>
          <w:sz w:val="18"/>
          <w:szCs w:val="18"/>
        </w:rPr>
        <w:t>, Patient Health Questionnaire</w:t>
      </w:r>
      <w:r w:rsidR="00B620DD" w:rsidRPr="00250B41">
        <w:rPr>
          <w:rFonts w:ascii="Times New Roman" w:hAnsi="Times New Roman" w:hint="eastAsia"/>
          <w:sz w:val="18"/>
          <w:szCs w:val="18"/>
        </w:rPr>
        <w:t>.</w:t>
      </w:r>
    </w:p>
    <w:p w:rsidR="00CF1CC8" w:rsidRPr="00250B41" w:rsidRDefault="00CF1CC8" w:rsidP="008D6F75">
      <w:pPr>
        <w:rPr>
          <w:rFonts w:ascii="Times New Roman" w:hAnsi="Times New Roman"/>
          <w:sz w:val="18"/>
          <w:szCs w:val="18"/>
        </w:rPr>
      </w:pPr>
    </w:p>
    <w:p w:rsidR="00CF1CC8" w:rsidRPr="00250B41" w:rsidRDefault="000877EF" w:rsidP="00CF1CC8">
      <w:pPr>
        <w:rPr>
          <w:rFonts w:ascii="Times New Roman" w:hAnsi="Times New Roman"/>
        </w:rPr>
      </w:pPr>
      <w:r w:rsidRPr="00D210DA">
        <w:rPr>
          <w:rFonts w:ascii="Times New Roman" w:hAnsi="Times New Roman" w:hint="eastAsia"/>
          <w:b/>
          <w:color w:val="FF0000"/>
        </w:rPr>
        <w:t>Supplementary</w:t>
      </w:r>
      <w:r w:rsidRPr="00D210DA">
        <w:rPr>
          <w:rFonts w:ascii="Times New Roman" w:hAnsi="Times New Roman"/>
          <w:b/>
          <w:color w:val="FF0000"/>
        </w:rPr>
        <w:t xml:space="preserve"> </w:t>
      </w:r>
      <w:r w:rsidR="00CF1CC8" w:rsidRPr="00D210DA">
        <w:rPr>
          <w:rFonts w:ascii="Times New Roman" w:hAnsi="Times New Roman"/>
          <w:b/>
          <w:color w:val="FF0000"/>
        </w:rPr>
        <w:t xml:space="preserve">Table </w:t>
      </w:r>
      <w:r w:rsidR="000E653A" w:rsidRPr="00D210DA">
        <w:rPr>
          <w:rFonts w:ascii="Times New Roman" w:hAnsi="Times New Roman" w:hint="eastAsia"/>
          <w:b/>
          <w:color w:val="FF0000"/>
        </w:rPr>
        <w:t>3</w:t>
      </w:r>
      <w:r w:rsidR="00CF1CC8" w:rsidRPr="00D210DA">
        <w:rPr>
          <w:rFonts w:ascii="Times New Roman" w:hAnsi="Times New Roman"/>
          <w:b/>
          <w:color w:val="FF0000"/>
        </w:rPr>
        <w:t>.</w:t>
      </w:r>
      <w:r w:rsidR="00CF1CC8" w:rsidRPr="00250B41">
        <w:rPr>
          <w:rFonts w:ascii="Times New Roman" w:hAnsi="Times New Roman"/>
          <w:b/>
        </w:rPr>
        <w:t xml:space="preserve"> </w:t>
      </w:r>
      <w:r w:rsidR="00CF1CC8" w:rsidRPr="00250B41">
        <w:rPr>
          <w:rFonts w:ascii="Times New Roman" w:hAnsi="Times New Roman"/>
        </w:rPr>
        <w:t>Univariate and Multivariate Cox’s regression analysis for a composite endpoint of hospitalization fo</w:t>
      </w:r>
      <w:r w:rsidR="00DE3F4E" w:rsidRPr="00250B41">
        <w:rPr>
          <w:rFonts w:ascii="Times New Roman" w:hAnsi="Times New Roman"/>
        </w:rPr>
        <w:t>r HF and hospitalization for MI</w:t>
      </w: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886"/>
        <w:gridCol w:w="2018"/>
        <w:gridCol w:w="801"/>
        <w:gridCol w:w="2018"/>
        <w:gridCol w:w="799"/>
      </w:tblGrid>
      <w:tr w:rsidR="004E6756" w:rsidRPr="00250B41" w:rsidTr="004E6756">
        <w:trPr>
          <w:trHeight w:val="280"/>
        </w:trPr>
        <w:tc>
          <w:tcPr>
            <w:tcW w:w="1693" w:type="pct"/>
            <w:vMerge w:val="restart"/>
            <w:shd w:val="clear" w:color="auto" w:fill="auto"/>
            <w:noWrap/>
            <w:vAlign w:val="center"/>
            <w:hideMark/>
          </w:tcPr>
          <w:p w:rsidR="004E6756" w:rsidRPr="00250B41" w:rsidRDefault="004E6756" w:rsidP="004E675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Variables</w:t>
            </w:r>
          </w:p>
        </w:tc>
        <w:tc>
          <w:tcPr>
            <w:tcW w:w="1654" w:type="pct"/>
            <w:gridSpan w:val="2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756" w:rsidRPr="00250B41" w:rsidRDefault="004E6756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Univariate model</w:t>
            </w:r>
          </w:p>
        </w:tc>
        <w:tc>
          <w:tcPr>
            <w:tcW w:w="1653" w:type="pct"/>
            <w:gridSpan w:val="2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756" w:rsidRPr="00250B41" w:rsidRDefault="004E6756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Multivariate model</w:t>
            </w:r>
          </w:p>
        </w:tc>
      </w:tr>
      <w:tr w:rsidR="004E6756" w:rsidRPr="00250B41" w:rsidTr="00783D5F">
        <w:trPr>
          <w:trHeight w:val="280"/>
        </w:trPr>
        <w:tc>
          <w:tcPr>
            <w:tcW w:w="1693" w:type="pct"/>
            <w:vMerge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756" w:rsidRPr="00250B41" w:rsidRDefault="004E6756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8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756" w:rsidRPr="00250B41" w:rsidRDefault="004E6756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HR (95%CI)</w:t>
            </w:r>
          </w:p>
        </w:tc>
        <w:tc>
          <w:tcPr>
            <w:tcW w:w="47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756" w:rsidRPr="00250B41" w:rsidRDefault="004E6756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</w:t>
            </w:r>
          </w:p>
        </w:tc>
        <w:tc>
          <w:tcPr>
            <w:tcW w:w="118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756" w:rsidRPr="00250B41" w:rsidRDefault="004E6756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HR (95%CI)</w:t>
            </w:r>
          </w:p>
        </w:tc>
        <w:tc>
          <w:tcPr>
            <w:tcW w:w="46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756" w:rsidRPr="00250B41" w:rsidRDefault="004E6756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</w:t>
            </w: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PHQ-9 score</w:t>
            </w:r>
          </w:p>
        </w:tc>
        <w:tc>
          <w:tcPr>
            <w:tcW w:w="1184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70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84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32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PHQ-9 ˂5*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PHQ-9 5-9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1.9 (0.99-3.65)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0.05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2.01 (1.04-3.88)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0.04</w:t>
            </w: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PHQ-9 ≥10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2.9 (1.35-6.23)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0.01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3.11 (1.40-6.88)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0.005</w:t>
            </w: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0.9 (0.45-1.80)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0.76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0.83 (0.40-1.68)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0.6</w:t>
            </w: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Age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 (0.98-1.03)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0.88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1.01 (0.98-1.04)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0.53</w:t>
            </w: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Education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32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1-6 years*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7-9 years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0.96 (0.48-1.91)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0.91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≥10 years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1.1 (0.56-2.15)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0.79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Smoke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1.18 (0.66-2.10)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0.57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D210DA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E50F58">
              <w:rPr>
                <w:rFonts w:ascii="Times New Roman" w:hAnsi="Times New Roman"/>
                <w:color w:val="FF0000"/>
                <w:kern w:val="0"/>
                <w:szCs w:val="21"/>
              </w:rPr>
              <w:t>Alcohol consumption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0.8 (0.42-1.53)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BMI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1.02 (0.93-1.11)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0.72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PLT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 (1.00-1.01)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0.26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D21931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HDL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0.97 (0.66-1.43)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0.89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D21931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LDL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0.99 (0.94-1.05)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0.76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LVEF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32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Preserved LVEF (≥50%)*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Mid-range LVEF (40-49%)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2.2 (1.08-4.47)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0.03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2.47 (1.20-5.07)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0.01</w:t>
            </w: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Reduced LVEF (˂40%)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3.43 (1.44-8.18)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0.006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2.97 (1.23-7.14)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0.02</w:t>
            </w: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E50F5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E50F58">
              <w:rPr>
                <w:rFonts w:ascii="Times New Roman" w:hAnsi="Times New Roman" w:hint="eastAsia"/>
                <w:color w:val="FF0000"/>
                <w:kern w:val="0"/>
                <w:szCs w:val="21"/>
              </w:rPr>
              <w:t>a</w:t>
            </w:r>
            <w:r w:rsidR="00CF1CC8" w:rsidRPr="00E50F58">
              <w:rPr>
                <w:rFonts w:ascii="Times New Roman" w:hAnsi="Times New Roman"/>
                <w:color w:val="FF0000"/>
                <w:kern w:val="0"/>
                <w:szCs w:val="21"/>
              </w:rPr>
              <w:t>CCI score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32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0-2*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lastRenderedPageBreak/>
              <w:t>3-5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1.5 (0.50-4.24)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0.48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≥6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2.8 (0.91-8.30)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0.06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9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PCI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1.45 (0.80-2.61)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0.22</w:t>
            </w:r>
          </w:p>
        </w:tc>
        <w:tc>
          <w:tcPr>
            <w:tcW w:w="1184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</w:tbl>
    <w:p w:rsidR="0071676F" w:rsidRPr="00250B41" w:rsidRDefault="00CF1CC8" w:rsidP="0071676F">
      <w:pPr>
        <w:rPr>
          <w:rFonts w:ascii="Times New Roman" w:hAnsi="Times New Roman"/>
          <w:sz w:val="18"/>
          <w:szCs w:val="18"/>
        </w:rPr>
      </w:pPr>
      <w:r w:rsidRPr="00250B41">
        <w:rPr>
          <w:rFonts w:ascii="Times New Roman" w:hAnsi="Times New Roman"/>
          <w:sz w:val="18"/>
          <w:szCs w:val="18"/>
        </w:rPr>
        <w:t>*Reference category. P values (p ˂ 0.05) are highlighted in bold.</w:t>
      </w:r>
      <w:r w:rsidR="006666DB" w:rsidRPr="00250B41">
        <w:rPr>
          <w:rFonts w:ascii="Times New Roman" w:hAnsi="Times New Roman" w:hint="eastAsia"/>
          <w:sz w:val="18"/>
          <w:szCs w:val="18"/>
        </w:rPr>
        <w:t xml:space="preserve"> </w:t>
      </w:r>
      <w:r w:rsidR="00760F5D" w:rsidRPr="00760F5D">
        <w:rPr>
          <w:rFonts w:ascii="Times New Roman" w:hAnsi="Times New Roman" w:hint="eastAsia"/>
          <w:color w:val="FF0000"/>
          <w:sz w:val="18"/>
          <w:szCs w:val="18"/>
        </w:rPr>
        <w:t>a</w:t>
      </w:r>
      <w:r w:rsidR="0071676F" w:rsidRPr="00760F5D">
        <w:rPr>
          <w:rFonts w:ascii="Times New Roman" w:hAnsi="Times New Roman"/>
          <w:color w:val="FF0000"/>
          <w:sz w:val="18"/>
          <w:szCs w:val="18"/>
        </w:rPr>
        <w:t>CCI,</w:t>
      </w:r>
      <w:r w:rsidR="0071676F" w:rsidRPr="00250B41">
        <w:rPr>
          <w:rFonts w:ascii="Times New Roman" w:hAnsi="Times New Roman"/>
          <w:sz w:val="18"/>
          <w:szCs w:val="18"/>
        </w:rPr>
        <w:t xml:space="preserve"> age-adjusted Charlson comorbidity index; BMI, Body Mass Index; </w:t>
      </w:r>
      <w:r w:rsidR="0071676F" w:rsidRPr="00250B41">
        <w:rPr>
          <w:rFonts w:ascii="Times New Roman" w:hAnsi="Times New Roman" w:hint="eastAsia"/>
          <w:sz w:val="18"/>
          <w:szCs w:val="18"/>
        </w:rPr>
        <w:t xml:space="preserve">CHD, coronary heart disease; </w:t>
      </w:r>
      <w:r w:rsidR="0071676F" w:rsidRPr="00250B41">
        <w:rPr>
          <w:rFonts w:ascii="Times New Roman" w:hAnsi="Times New Roman"/>
          <w:sz w:val="18"/>
          <w:szCs w:val="18"/>
        </w:rPr>
        <w:t xml:space="preserve">CI, confidence interval; HDL, high-density lipoprotein cholesterol; </w:t>
      </w:r>
      <w:r w:rsidR="0071676F" w:rsidRPr="00250B41">
        <w:rPr>
          <w:rFonts w:ascii="Times New Roman" w:hAnsi="Times New Roman" w:hint="eastAsia"/>
          <w:sz w:val="18"/>
          <w:szCs w:val="18"/>
        </w:rPr>
        <w:t xml:space="preserve">HF, heart failure; </w:t>
      </w:r>
      <w:r w:rsidR="0071676F" w:rsidRPr="00250B41">
        <w:rPr>
          <w:rFonts w:ascii="Times New Roman" w:hAnsi="Times New Roman"/>
          <w:sz w:val="18"/>
          <w:szCs w:val="18"/>
        </w:rPr>
        <w:t>HR, hazard ratio</w:t>
      </w:r>
      <w:r w:rsidR="0071676F" w:rsidRPr="00250B41">
        <w:rPr>
          <w:rFonts w:ascii="Times New Roman" w:hAnsi="Times New Roman" w:hint="eastAsia"/>
          <w:sz w:val="18"/>
          <w:szCs w:val="18"/>
        </w:rPr>
        <w:t>;</w:t>
      </w:r>
      <w:r w:rsidR="0071676F" w:rsidRPr="00250B41">
        <w:rPr>
          <w:rFonts w:ascii="Times New Roman" w:hAnsi="Times New Roman"/>
          <w:sz w:val="18"/>
          <w:szCs w:val="18"/>
        </w:rPr>
        <w:t xml:space="preserve"> LDL, low-density lipoprotein cholesterol; LVEF, left ventricular ejection fraction; </w:t>
      </w:r>
      <w:r w:rsidR="0071676F" w:rsidRPr="00250B41">
        <w:rPr>
          <w:rFonts w:ascii="Times New Roman" w:hAnsi="Times New Roman" w:hint="eastAsia"/>
          <w:sz w:val="18"/>
          <w:szCs w:val="18"/>
        </w:rPr>
        <w:t xml:space="preserve">MI, myocardial infarction; </w:t>
      </w:r>
      <w:r w:rsidR="0071676F" w:rsidRPr="00250B41">
        <w:rPr>
          <w:rFonts w:ascii="Times New Roman" w:hAnsi="Times New Roman"/>
          <w:sz w:val="18"/>
          <w:szCs w:val="18"/>
        </w:rPr>
        <w:t>PCI, percutaneous coronary intervention</w:t>
      </w:r>
      <w:r w:rsidR="0071676F" w:rsidRPr="00250B41">
        <w:rPr>
          <w:rFonts w:ascii="Times New Roman" w:hAnsi="Times New Roman" w:hint="eastAsia"/>
          <w:sz w:val="18"/>
          <w:szCs w:val="18"/>
        </w:rPr>
        <w:t xml:space="preserve">; </w:t>
      </w:r>
      <w:r w:rsidR="0071676F" w:rsidRPr="00250B41">
        <w:rPr>
          <w:rFonts w:ascii="Times New Roman" w:hAnsi="Times New Roman"/>
          <w:sz w:val="18"/>
          <w:szCs w:val="18"/>
        </w:rPr>
        <w:t>PHQ-9, Patient Health Questionnaire; PLT, platelet count</w:t>
      </w:r>
      <w:r w:rsidR="0071676F" w:rsidRPr="00250B41">
        <w:rPr>
          <w:rFonts w:ascii="Times New Roman" w:hAnsi="Times New Roman" w:hint="eastAsia"/>
          <w:sz w:val="18"/>
          <w:szCs w:val="18"/>
        </w:rPr>
        <w:t>.</w:t>
      </w:r>
    </w:p>
    <w:p w:rsidR="0071676F" w:rsidRPr="00250B41" w:rsidRDefault="0071676F" w:rsidP="0071676F">
      <w:pPr>
        <w:rPr>
          <w:rFonts w:ascii="Times New Roman" w:hAnsi="Times New Roman"/>
          <w:sz w:val="18"/>
          <w:szCs w:val="18"/>
        </w:rPr>
      </w:pPr>
    </w:p>
    <w:p w:rsidR="00CF1CC8" w:rsidRPr="00250B41" w:rsidRDefault="003821CE" w:rsidP="00CF1CC8">
      <w:pPr>
        <w:rPr>
          <w:rFonts w:ascii="Times New Roman" w:hAnsi="Times New Roman"/>
        </w:rPr>
      </w:pPr>
      <w:r w:rsidRPr="00D210DA">
        <w:rPr>
          <w:rFonts w:ascii="Times New Roman" w:hAnsi="Times New Roman" w:hint="eastAsia"/>
          <w:b/>
          <w:color w:val="FF0000"/>
        </w:rPr>
        <w:t>Supplementary</w:t>
      </w:r>
      <w:r w:rsidRPr="00D210DA">
        <w:rPr>
          <w:rFonts w:ascii="Times New Roman" w:hAnsi="Times New Roman"/>
          <w:b/>
          <w:color w:val="FF0000"/>
        </w:rPr>
        <w:t xml:space="preserve"> </w:t>
      </w:r>
      <w:r w:rsidR="00CF1CC8" w:rsidRPr="00D210DA">
        <w:rPr>
          <w:rFonts w:ascii="Times New Roman" w:hAnsi="Times New Roman"/>
          <w:b/>
          <w:color w:val="FF0000"/>
        </w:rPr>
        <w:t>Table</w:t>
      </w:r>
      <w:r w:rsidR="000E653A" w:rsidRPr="00D210DA">
        <w:rPr>
          <w:rFonts w:ascii="Times New Roman" w:hAnsi="Times New Roman" w:hint="eastAsia"/>
          <w:b/>
          <w:color w:val="FF0000"/>
        </w:rPr>
        <w:t xml:space="preserve"> 4</w:t>
      </w:r>
      <w:r w:rsidR="00CF1CC8" w:rsidRPr="00D210DA">
        <w:rPr>
          <w:rFonts w:ascii="Times New Roman" w:hAnsi="Times New Roman"/>
          <w:b/>
          <w:color w:val="FF0000"/>
        </w:rPr>
        <w:t>.</w:t>
      </w:r>
      <w:r w:rsidR="00CF1CC8" w:rsidRPr="00250B41">
        <w:rPr>
          <w:rFonts w:ascii="Times New Roman" w:hAnsi="Times New Roman"/>
          <w:b/>
        </w:rPr>
        <w:t xml:space="preserve"> </w:t>
      </w:r>
      <w:r w:rsidR="00CF1CC8" w:rsidRPr="00250B41">
        <w:rPr>
          <w:rFonts w:ascii="Times New Roman" w:hAnsi="Times New Roman"/>
        </w:rPr>
        <w:t>Univariate and Multivariate Cox’s regression anal</w:t>
      </w:r>
      <w:r w:rsidR="00DE3F4E" w:rsidRPr="00250B41">
        <w:rPr>
          <w:rFonts w:ascii="Times New Roman" w:hAnsi="Times New Roman"/>
        </w:rPr>
        <w:t>ysis for hospitalization for MI</w:t>
      </w: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803"/>
        <w:gridCol w:w="1960"/>
        <w:gridCol w:w="839"/>
        <w:gridCol w:w="2081"/>
        <w:gridCol w:w="839"/>
      </w:tblGrid>
      <w:tr w:rsidR="00CF1CC8" w:rsidRPr="00250B41" w:rsidTr="002217DF">
        <w:trPr>
          <w:trHeight w:val="280"/>
        </w:trPr>
        <w:tc>
          <w:tcPr>
            <w:tcW w:w="1645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Variables</w:t>
            </w:r>
          </w:p>
        </w:tc>
        <w:tc>
          <w:tcPr>
            <w:tcW w:w="1642" w:type="pct"/>
            <w:gridSpan w:val="2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Univariate model</w:t>
            </w:r>
          </w:p>
        </w:tc>
        <w:tc>
          <w:tcPr>
            <w:tcW w:w="1713" w:type="pct"/>
            <w:gridSpan w:val="2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Multivariate model</w:t>
            </w: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5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HR (95%CI)</w:t>
            </w:r>
          </w:p>
        </w:tc>
        <w:tc>
          <w:tcPr>
            <w:tcW w:w="49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</w:t>
            </w:r>
          </w:p>
        </w:tc>
        <w:tc>
          <w:tcPr>
            <w:tcW w:w="1221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HR (95%CI)</w:t>
            </w:r>
          </w:p>
        </w:tc>
        <w:tc>
          <w:tcPr>
            <w:tcW w:w="49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</w:t>
            </w: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PHQ-9 score</w:t>
            </w:r>
          </w:p>
        </w:tc>
        <w:tc>
          <w:tcPr>
            <w:tcW w:w="1150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221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32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PHQ-9 ˂5*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PHQ-9 5-9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2.32 (1.08-4.96)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0.03</w:t>
            </w: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2.78 (1.29-6.06)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0.01</w:t>
            </w: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PHQ-9 ≥10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3.88 (1.65-9.06)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0.002</w:t>
            </w: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4.69 (1.93-11.40)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0.001</w:t>
            </w: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0.42 (0.29-0.67)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0.42</w:t>
            </w: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0.68 (0.26-1.60)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0.34</w:t>
            </w: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Age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0.99 (0.96-1.02)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0.61</w:t>
            </w: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 (0.97-1.04)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0.87</w:t>
            </w: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Education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32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1-6 years*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7-9 years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 (0.45-2.20)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0. 85</w:t>
            </w: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≥10 years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1.06 (0.48-2.33)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0.9</w:t>
            </w: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Smoke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1.34 (0.68-2.64)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0.41</w:t>
            </w: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BMI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1.06 (0.97-1.17)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0.21</w:t>
            </w: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PLT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(1.00-1.01)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0.26</w:t>
            </w: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HDL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(0.66-1.43)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0.89</w:t>
            </w: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LDL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(0.94-1.05)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0.76</w:t>
            </w: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LVEF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32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Preserved LVEF (≥50%)*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Mid-range LVEF (40-49%)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2.72 (1.25-5.94)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0.01</w:t>
            </w: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2.96 (1.32-6.62)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0.01</w:t>
            </w: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Reduced LVEF (˂40%)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3.49 (1.32-9.22)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0.01</w:t>
            </w: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2.98 (1.12-7.91)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0.02</w:t>
            </w: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025769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25769">
              <w:rPr>
                <w:rFonts w:ascii="Times New Roman" w:hAnsi="Times New Roman" w:hint="eastAsia"/>
                <w:color w:val="FF0000"/>
                <w:kern w:val="0"/>
                <w:szCs w:val="21"/>
              </w:rPr>
              <w:t>a</w:t>
            </w:r>
            <w:r w:rsidR="00CF1CC8" w:rsidRPr="00025769">
              <w:rPr>
                <w:rFonts w:ascii="Times New Roman" w:hAnsi="Times New Roman"/>
                <w:color w:val="FF0000"/>
                <w:kern w:val="0"/>
                <w:szCs w:val="21"/>
              </w:rPr>
              <w:t xml:space="preserve">CCI </w:t>
            </w:r>
            <w:r w:rsidR="00CF1CC8" w:rsidRPr="00025769">
              <w:rPr>
                <w:rFonts w:ascii="Times New Roman" w:hAnsi="Times New Roman"/>
                <w:kern w:val="0"/>
                <w:szCs w:val="21"/>
              </w:rPr>
              <w:t>score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32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0-2*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3-5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1.53 (0.45-5.16)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≥6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2.46 (0.71-8.56)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0.16</w:t>
            </w: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CF1CC8" w:rsidRPr="00250B41" w:rsidTr="002217DF">
        <w:trPr>
          <w:trHeight w:val="280"/>
        </w:trPr>
        <w:tc>
          <w:tcPr>
            <w:tcW w:w="1645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PCI</w:t>
            </w:r>
          </w:p>
        </w:tc>
        <w:tc>
          <w:tcPr>
            <w:tcW w:w="115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2.26 (1.09-4.69)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0.03</w:t>
            </w:r>
          </w:p>
        </w:tc>
        <w:tc>
          <w:tcPr>
            <w:tcW w:w="1221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Cs w:val="21"/>
              </w:rPr>
              <w:t>2.15 (1.03-4.52)</w:t>
            </w:r>
          </w:p>
        </w:tc>
        <w:tc>
          <w:tcPr>
            <w:tcW w:w="492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0.04</w:t>
            </w:r>
          </w:p>
        </w:tc>
      </w:tr>
    </w:tbl>
    <w:p w:rsidR="00CF1CC8" w:rsidRPr="00250B41" w:rsidRDefault="00CF1CC8" w:rsidP="00CF1CC8">
      <w:pPr>
        <w:rPr>
          <w:rFonts w:ascii="Times New Roman" w:hAnsi="Times New Roman"/>
          <w:sz w:val="18"/>
          <w:szCs w:val="18"/>
        </w:rPr>
      </w:pPr>
      <w:r w:rsidRPr="00250B41">
        <w:rPr>
          <w:rFonts w:ascii="Times New Roman" w:hAnsi="Times New Roman"/>
          <w:sz w:val="18"/>
          <w:szCs w:val="18"/>
        </w:rPr>
        <w:t>*Reference category. Significant p values (p ˂ 0.05) are highlighted in bold.</w:t>
      </w:r>
      <w:r w:rsidR="0068651D" w:rsidRPr="00250B41">
        <w:rPr>
          <w:rFonts w:ascii="Times New Roman" w:hAnsi="Times New Roman" w:hint="eastAsia"/>
          <w:sz w:val="18"/>
          <w:szCs w:val="18"/>
        </w:rPr>
        <w:t xml:space="preserve"> </w:t>
      </w:r>
      <w:r w:rsidR="00025769" w:rsidRPr="00025769">
        <w:rPr>
          <w:rFonts w:ascii="Times New Roman" w:hAnsi="Times New Roman" w:hint="eastAsia"/>
          <w:color w:val="FF0000"/>
          <w:sz w:val="18"/>
          <w:szCs w:val="18"/>
        </w:rPr>
        <w:t>a</w:t>
      </w:r>
      <w:r w:rsidR="0068651D" w:rsidRPr="00025769">
        <w:rPr>
          <w:rFonts w:ascii="Times New Roman" w:hAnsi="Times New Roman"/>
          <w:color w:val="FF0000"/>
          <w:sz w:val="18"/>
          <w:szCs w:val="18"/>
        </w:rPr>
        <w:t>CCI,</w:t>
      </w:r>
      <w:r w:rsidR="0068651D" w:rsidRPr="00250B41">
        <w:rPr>
          <w:rFonts w:ascii="Times New Roman" w:hAnsi="Times New Roman"/>
          <w:sz w:val="18"/>
          <w:szCs w:val="18"/>
        </w:rPr>
        <w:t xml:space="preserve"> age-adjusted Charlson comorbidity index; BMI, Body Mass Index; </w:t>
      </w:r>
      <w:r w:rsidR="0068651D" w:rsidRPr="00250B41">
        <w:rPr>
          <w:rFonts w:ascii="Times New Roman" w:hAnsi="Times New Roman" w:hint="eastAsia"/>
          <w:sz w:val="18"/>
          <w:szCs w:val="18"/>
        </w:rPr>
        <w:t xml:space="preserve">CHD, coronary heart disease; </w:t>
      </w:r>
      <w:r w:rsidR="0068651D" w:rsidRPr="00250B41">
        <w:rPr>
          <w:rFonts w:ascii="Times New Roman" w:hAnsi="Times New Roman"/>
          <w:sz w:val="18"/>
          <w:szCs w:val="18"/>
        </w:rPr>
        <w:t xml:space="preserve">CI, confidence interval; HDL, high-density lipoprotein cholesterol; </w:t>
      </w:r>
      <w:r w:rsidR="0068651D" w:rsidRPr="00250B41">
        <w:rPr>
          <w:rFonts w:ascii="Times New Roman" w:hAnsi="Times New Roman" w:hint="eastAsia"/>
          <w:sz w:val="18"/>
          <w:szCs w:val="18"/>
        </w:rPr>
        <w:t xml:space="preserve">HF, heart failure; </w:t>
      </w:r>
      <w:r w:rsidR="0068651D" w:rsidRPr="00250B41">
        <w:rPr>
          <w:rFonts w:ascii="Times New Roman" w:hAnsi="Times New Roman"/>
          <w:sz w:val="18"/>
          <w:szCs w:val="18"/>
        </w:rPr>
        <w:t>HR, hazard ratio</w:t>
      </w:r>
      <w:r w:rsidR="0068651D" w:rsidRPr="00250B41">
        <w:rPr>
          <w:rFonts w:ascii="Times New Roman" w:hAnsi="Times New Roman" w:hint="eastAsia"/>
          <w:sz w:val="18"/>
          <w:szCs w:val="18"/>
        </w:rPr>
        <w:t>;</w:t>
      </w:r>
      <w:r w:rsidR="0068651D" w:rsidRPr="00250B41">
        <w:rPr>
          <w:rFonts w:ascii="Times New Roman" w:hAnsi="Times New Roman"/>
          <w:sz w:val="18"/>
          <w:szCs w:val="18"/>
        </w:rPr>
        <w:t xml:space="preserve"> LDL, low-density lipoprotein cholesterol; LVEF, left ventricular ejection fraction; </w:t>
      </w:r>
      <w:r w:rsidR="0068651D" w:rsidRPr="00250B41">
        <w:rPr>
          <w:rFonts w:ascii="Times New Roman" w:hAnsi="Times New Roman" w:hint="eastAsia"/>
          <w:sz w:val="18"/>
          <w:szCs w:val="18"/>
        </w:rPr>
        <w:t xml:space="preserve">MI, myocardial infarction; </w:t>
      </w:r>
      <w:r w:rsidR="0068651D" w:rsidRPr="00250B41">
        <w:rPr>
          <w:rFonts w:ascii="Times New Roman" w:hAnsi="Times New Roman"/>
          <w:sz w:val="18"/>
          <w:szCs w:val="18"/>
        </w:rPr>
        <w:t>PCI, percutaneous coronary intervention</w:t>
      </w:r>
      <w:r w:rsidR="0068651D" w:rsidRPr="00250B41">
        <w:rPr>
          <w:rFonts w:ascii="Times New Roman" w:hAnsi="Times New Roman" w:hint="eastAsia"/>
          <w:sz w:val="18"/>
          <w:szCs w:val="18"/>
        </w:rPr>
        <w:t xml:space="preserve">; </w:t>
      </w:r>
      <w:r w:rsidR="0068651D" w:rsidRPr="00250B41">
        <w:rPr>
          <w:rFonts w:ascii="Times New Roman" w:hAnsi="Times New Roman"/>
          <w:sz w:val="18"/>
          <w:szCs w:val="18"/>
        </w:rPr>
        <w:t>PHQ-9, Patient Health Questionnaire; PLT, platelet count</w:t>
      </w:r>
      <w:r w:rsidR="0068651D" w:rsidRPr="00250B41">
        <w:rPr>
          <w:rFonts w:ascii="Times New Roman" w:hAnsi="Times New Roman" w:hint="eastAsia"/>
          <w:sz w:val="18"/>
          <w:szCs w:val="18"/>
        </w:rPr>
        <w:t>.</w:t>
      </w:r>
    </w:p>
    <w:p w:rsidR="00CF1CC8" w:rsidRPr="00250B41" w:rsidRDefault="00CF1CC8" w:rsidP="00CF1CC8">
      <w:pPr>
        <w:autoSpaceDE w:val="0"/>
        <w:autoSpaceDN w:val="0"/>
        <w:adjustRightInd w:val="0"/>
        <w:jc w:val="left"/>
        <w:rPr>
          <w:rFonts w:ascii="Times New Roman" w:hAnsi="Times New Roman"/>
        </w:rPr>
      </w:pPr>
    </w:p>
    <w:p w:rsidR="00CF1CC8" w:rsidRPr="00250B41" w:rsidRDefault="007C76A6" w:rsidP="00CF1CC8">
      <w:pPr>
        <w:rPr>
          <w:rFonts w:ascii="Times New Roman" w:hAnsi="Times New Roman"/>
        </w:rPr>
      </w:pPr>
      <w:r w:rsidRPr="00250B41">
        <w:rPr>
          <w:rFonts w:ascii="Times New Roman" w:hAnsi="Times New Roman" w:hint="eastAsia"/>
          <w:b/>
        </w:rPr>
        <w:t>Supplementary</w:t>
      </w:r>
      <w:r w:rsidRPr="00250B41">
        <w:rPr>
          <w:rFonts w:ascii="Times New Roman" w:hAnsi="Times New Roman"/>
          <w:b/>
        </w:rPr>
        <w:t xml:space="preserve"> </w:t>
      </w:r>
      <w:r w:rsidR="00CF1CC8" w:rsidRPr="00250B41">
        <w:rPr>
          <w:rFonts w:ascii="Times New Roman" w:hAnsi="Times New Roman"/>
          <w:b/>
        </w:rPr>
        <w:t xml:space="preserve">Table </w:t>
      </w:r>
      <w:r w:rsidR="000E653A" w:rsidRPr="00250B41">
        <w:rPr>
          <w:rFonts w:ascii="Times New Roman" w:hAnsi="Times New Roman" w:hint="eastAsia"/>
          <w:b/>
        </w:rPr>
        <w:t>5</w:t>
      </w:r>
      <w:r w:rsidR="00CF1CC8" w:rsidRPr="00250B41">
        <w:rPr>
          <w:rFonts w:ascii="Times New Roman" w:hAnsi="Times New Roman"/>
          <w:b/>
        </w:rPr>
        <w:t xml:space="preserve">. </w:t>
      </w:r>
      <w:r w:rsidR="00CF1CC8" w:rsidRPr="00250B41">
        <w:rPr>
          <w:rFonts w:ascii="Times New Roman" w:hAnsi="Times New Roman"/>
        </w:rPr>
        <w:t xml:space="preserve">Univariate and Multivariate Cox’s regression analysis for secondary </w:t>
      </w:r>
      <w:r w:rsidR="00CF1CC8" w:rsidRPr="00250B41">
        <w:rPr>
          <w:rFonts w:ascii="Times New Roman" w:hAnsi="Times New Roman"/>
        </w:rPr>
        <w:lastRenderedPageBreak/>
        <w:t>endpoints of angina and stroke</w:t>
      </w: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698"/>
        <w:gridCol w:w="1756"/>
        <w:gridCol w:w="711"/>
        <w:gridCol w:w="1756"/>
        <w:gridCol w:w="601"/>
      </w:tblGrid>
      <w:tr w:rsidR="006363F1" w:rsidRPr="00250B41" w:rsidTr="00783D5F">
        <w:trPr>
          <w:trHeight w:val="550"/>
        </w:trPr>
        <w:tc>
          <w:tcPr>
            <w:tcW w:w="2170" w:type="pct"/>
            <w:vMerge w:val="restart"/>
            <w:shd w:val="clear" w:color="auto" w:fill="auto"/>
            <w:noWrap/>
            <w:vAlign w:val="center"/>
            <w:hideMark/>
          </w:tcPr>
          <w:p w:rsidR="006363F1" w:rsidRPr="00250B41" w:rsidRDefault="006363F1" w:rsidP="006363F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Variables</w:t>
            </w:r>
          </w:p>
        </w:tc>
        <w:tc>
          <w:tcPr>
            <w:tcW w:w="1447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63F1" w:rsidRPr="00250B41" w:rsidRDefault="006363F1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Univariate model</w:t>
            </w:r>
          </w:p>
        </w:tc>
        <w:tc>
          <w:tcPr>
            <w:tcW w:w="138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63F1" w:rsidRPr="00250B41" w:rsidRDefault="006363F1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Multivariate model</w:t>
            </w:r>
          </w:p>
        </w:tc>
      </w:tr>
      <w:tr w:rsidR="006363F1" w:rsidRPr="00250B41" w:rsidTr="00783D5F">
        <w:trPr>
          <w:trHeight w:val="290"/>
        </w:trPr>
        <w:tc>
          <w:tcPr>
            <w:tcW w:w="2170" w:type="pct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63F1" w:rsidRPr="00250B41" w:rsidRDefault="006363F1" w:rsidP="006363F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63F1" w:rsidRPr="00250B41" w:rsidRDefault="006363F1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HR (95%CI)</w:t>
            </w:r>
          </w:p>
        </w:tc>
        <w:tc>
          <w:tcPr>
            <w:tcW w:w="41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63F1" w:rsidRPr="00250B41" w:rsidRDefault="006363F1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p</w:t>
            </w:r>
          </w:p>
        </w:tc>
        <w:tc>
          <w:tcPr>
            <w:tcW w:w="103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63F1" w:rsidRPr="00250B41" w:rsidRDefault="006363F1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HR (95%CI)</w:t>
            </w:r>
          </w:p>
        </w:tc>
        <w:tc>
          <w:tcPr>
            <w:tcW w:w="35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63F1" w:rsidRPr="00250B41" w:rsidRDefault="006363F1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p</w:t>
            </w:r>
          </w:p>
        </w:tc>
      </w:tr>
      <w:tr w:rsidR="00CF1CC8" w:rsidRPr="00250B41" w:rsidTr="00036D75">
        <w:trPr>
          <w:trHeight w:val="550"/>
        </w:trPr>
        <w:tc>
          <w:tcPr>
            <w:tcW w:w="2170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PHQ-9 score</w:t>
            </w:r>
          </w:p>
        </w:tc>
        <w:tc>
          <w:tcPr>
            <w:tcW w:w="1030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417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60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PHQ-9 ˂5*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57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PHQ-9 5-9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3.04 (1.40-6.56)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 w:val="22"/>
              </w:rPr>
              <w:t>0.003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3.06 (1.40-6.64)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 w:val="22"/>
              </w:rPr>
              <w:t>0.01</w:t>
            </w:r>
          </w:p>
        </w:tc>
      </w:tr>
      <w:tr w:rsidR="00CF1CC8" w:rsidRPr="00250B41" w:rsidTr="00036D75">
        <w:trPr>
          <w:trHeight w:val="57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PHQ-9 ≥10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3.84 (1.47-10.01)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 w:val="22"/>
              </w:rPr>
              <w:t>0.005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2.93 (1.48-10.41)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b/>
                <w:color w:val="000000"/>
                <w:kern w:val="0"/>
                <w:sz w:val="22"/>
              </w:rPr>
              <w:t>0.01</w:t>
            </w:r>
          </w:p>
        </w:tc>
      </w:tr>
      <w:tr w:rsidR="00CF1CC8" w:rsidRPr="00250B41" w:rsidTr="00036D75">
        <w:trPr>
          <w:trHeight w:val="57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1.17 (0.53-2.61)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0.69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1 (0.44-2.28)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1</w:t>
            </w:r>
          </w:p>
        </w:tc>
      </w:tr>
      <w:tr w:rsidR="00CF1CC8" w:rsidRPr="00250B41" w:rsidTr="00036D75">
        <w:trPr>
          <w:trHeight w:val="57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Age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1 (0.97-1.03)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1.01 (0.97-1.04)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0.77</w:t>
            </w:r>
          </w:p>
        </w:tc>
      </w:tr>
      <w:tr w:rsidR="00CF1CC8" w:rsidRPr="00250B41" w:rsidTr="00036D75">
        <w:trPr>
          <w:trHeight w:val="29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Education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33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1-6 years*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55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7-9 years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0.43 (0.16-1.14)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0. 09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55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≥10 years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0.72 (0.32-1.65)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55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Smoke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0.55 (0.27-1.10)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0.09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55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BMI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0.99 (0.90-1.10)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55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PLT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(1.00-1.01)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0.26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55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HDL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(0.66-1.43)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55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LDL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(0.94-1.05)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29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LVEF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ind w:right="22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114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Preserved ejection fraction (≥50%)*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82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Mid-range LVEF (40-49%)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0.2 (0.03-1.50)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0.12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82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Reduced LVEF (˂40%)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1 (0.24-4.18)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29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E5D74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a</w:t>
            </w:r>
            <w:r w:rsidR="00CF1CC8"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CCI</w:t>
            </w:r>
            <w:r w:rsidRPr="00CE5D74">
              <w:rPr>
                <w:rFonts w:ascii="Times New Roman" w:hAnsi="Times New Roman" w:hint="eastAsia"/>
                <w:color w:val="FF0000"/>
                <w:kern w:val="0"/>
                <w:sz w:val="22"/>
              </w:rPr>
              <w:t xml:space="preserve"> </w:t>
            </w:r>
            <w:r w:rsidRPr="00CE5D74">
              <w:rPr>
                <w:rFonts w:ascii="Times New Roman" w:hAnsi="Times New Roman"/>
                <w:color w:val="FF0000"/>
                <w:kern w:val="0"/>
                <w:sz w:val="22"/>
              </w:rPr>
              <w:t>score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33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0-2*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55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3-5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1.04 (0.35-3.08)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55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lastRenderedPageBreak/>
              <w:t>≥6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1.47 (1.18-9.73)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0.51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CF1CC8" w:rsidRPr="00250B41" w:rsidTr="00036D75">
        <w:trPr>
          <w:trHeight w:val="550"/>
        </w:trPr>
        <w:tc>
          <w:tcPr>
            <w:tcW w:w="217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PCI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0.63 (0.31-1.27)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50B41">
              <w:rPr>
                <w:rFonts w:ascii="Times New Roman" w:hAnsi="Times New Roman"/>
                <w:color w:val="000000"/>
                <w:kern w:val="0"/>
                <w:sz w:val="22"/>
              </w:rPr>
              <w:t>0.2</w:t>
            </w: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CF1CC8" w:rsidRPr="00250B41" w:rsidRDefault="00CF1CC8" w:rsidP="002217D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</w:tbl>
    <w:p w:rsidR="008D6F75" w:rsidRPr="00250B41" w:rsidRDefault="00CF1CC8">
      <w:pPr>
        <w:rPr>
          <w:rFonts w:ascii="Times New Roman" w:hAnsi="Times New Roman"/>
          <w:sz w:val="18"/>
          <w:szCs w:val="18"/>
        </w:rPr>
      </w:pPr>
      <w:r w:rsidRPr="00250B41">
        <w:rPr>
          <w:rFonts w:ascii="Times New Roman" w:hAnsi="Times New Roman"/>
        </w:rPr>
        <w:t xml:space="preserve">*Reference category. Significant p values (p ˂ 0.05) are highlighted in bold. </w:t>
      </w:r>
      <w:r w:rsidR="00244528" w:rsidRPr="00250B41">
        <w:rPr>
          <w:rFonts w:ascii="Times New Roman" w:hAnsi="Times New Roman" w:hint="eastAsia"/>
          <w:sz w:val="18"/>
          <w:szCs w:val="18"/>
        </w:rPr>
        <w:t>A</w:t>
      </w:r>
      <w:r w:rsidR="00244528" w:rsidRPr="00250B41">
        <w:rPr>
          <w:rFonts w:ascii="Times New Roman" w:hAnsi="Times New Roman"/>
          <w:sz w:val="18"/>
          <w:szCs w:val="18"/>
        </w:rPr>
        <w:t xml:space="preserve">CCI, age-adjusted Charlson comorbidity index; BMI, Body Mass Index; </w:t>
      </w:r>
      <w:r w:rsidR="00244528" w:rsidRPr="00250B41">
        <w:rPr>
          <w:rFonts w:ascii="Times New Roman" w:hAnsi="Times New Roman" w:hint="eastAsia"/>
          <w:sz w:val="18"/>
          <w:szCs w:val="18"/>
        </w:rPr>
        <w:t xml:space="preserve">CHD, coronary heart disease; </w:t>
      </w:r>
      <w:r w:rsidR="00244528" w:rsidRPr="00250B41">
        <w:rPr>
          <w:rFonts w:ascii="Times New Roman" w:hAnsi="Times New Roman"/>
          <w:sz w:val="18"/>
          <w:szCs w:val="18"/>
        </w:rPr>
        <w:t xml:space="preserve">CI, confidence interval; HDL, high-density lipoprotein cholesterol; </w:t>
      </w:r>
      <w:r w:rsidR="00244528" w:rsidRPr="00250B41">
        <w:rPr>
          <w:rFonts w:ascii="Times New Roman" w:hAnsi="Times New Roman" w:hint="eastAsia"/>
          <w:sz w:val="18"/>
          <w:szCs w:val="18"/>
        </w:rPr>
        <w:t xml:space="preserve">HF, heart failure; </w:t>
      </w:r>
      <w:r w:rsidR="00244528" w:rsidRPr="00250B41">
        <w:rPr>
          <w:rFonts w:ascii="Times New Roman" w:hAnsi="Times New Roman"/>
          <w:sz w:val="18"/>
          <w:szCs w:val="18"/>
        </w:rPr>
        <w:t>HR, hazard ratio</w:t>
      </w:r>
      <w:r w:rsidR="00244528" w:rsidRPr="00250B41">
        <w:rPr>
          <w:rFonts w:ascii="Times New Roman" w:hAnsi="Times New Roman" w:hint="eastAsia"/>
          <w:sz w:val="18"/>
          <w:szCs w:val="18"/>
        </w:rPr>
        <w:t>;</w:t>
      </w:r>
      <w:r w:rsidR="00244528" w:rsidRPr="00250B41">
        <w:rPr>
          <w:rFonts w:ascii="Times New Roman" w:hAnsi="Times New Roman"/>
          <w:sz w:val="18"/>
          <w:szCs w:val="18"/>
        </w:rPr>
        <w:t xml:space="preserve"> LDL, low-density lipoprotein cholesterol; LVEF, left ventricular ejection fraction; </w:t>
      </w:r>
      <w:r w:rsidR="00244528" w:rsidRPr="00250B41">
        <w:rPr>
          <w:rFonts w:ascii="Times New Roman" w:hAnsi="Times New Roman" w:hint="eastAsia"/>
          <w:sz w:val="18"/>
          <w:szCs w:val="18"/>
        </w:rPr>
        <w:t xml:space="preserve">MI, myocardial infarction; </w:t>
      </w:r>
      <w:r w:rsidR="00244528" w:rsidRPr="00250B41">
        <w:rPr>
          <w:rFonts w:ascii="Times New Roman" w:hAnsi="Times New Roman"/>
          <w:sz w:val="18"/>
          <w:szCs w:val="18"/>
        </w:rPr>
        <w:t>PCI, percutaneous coronary intervention</w:t>
      </w:r>
      <w:r w:rsidR="00244528" w:rsidRPr="00250B41">
        <w:rPr>
          <w:rFonts w:ascii="Times New Roman" w:hAnsi="Times New Roman" w:hint="eastAsia"/>
          <w:sz w:val="18"/>
          <w:szCs w:val="18"/>
        </w:rPr>
        <w:t xml:space="preserve">; </w:t>
      </w:r>
      <w:r w:rsidR="00244528" w:rsidRPr="00250B41">
        <w:rPr>
          <w:rFonts w:ascii="Times New Roman" w:hAnsi="Times New Roman"/>
          <w:sz w:val="18"/>
          <w:szCs w:val="18"/>
        </w:rPr>
        <w:t>PHQ-9, Patient Health Questionnaire; PLT, platelet count</w:t>
      </w:r>
      <w:r w:rsidR="00244528" w:rsidRPr="00250B41">
        <w:rPr>
          <w:rFonts w:ascii="Times New Roman" w:hAnsi="Times New Roman" w:hint="eastAsia"/>
          <w:sz w:val="18"/>
          <w:szCs w:val="18"/>
        </w:rPr>
        <w:t>.</w:t>
      </w:r>
    </w:p>
    <w:p w:rsidR="008E074C" w:rsidRPr="00250B41" w:rsidRDefault="008E074C">
      <w:pPr>
        <w:rPr>
          <w:rFonts w:ascii="Times New Roman" w:hAnsi="Times New Roman"/>
          <w:sz w:val="18"/>
          <w:szCs w:val="18"/>
        </w:rPr>
      </w:pPr>
    </w:p>
    <w:p w:rsidR="00112621" w:rsidRPr="00250B41" w:rsidRDefault="00112621" w:rsidP="00112621">
      <w:pPr>
        <w:jc w:val="center"/>
        <w:rPr>
          <w:rFonts w:ascii="Times New Roman" w:hAnsi="Times New Roman"/>
        </w:rPr>
      </w:pPr>
    </w:p>
    <w:p w:rsidR="00112621" w:rsidRPr="00250B41" w:rsidRDefault="00112621">
      <w:pPr>
        <w:rPr>
          <w:rFonts w:ascii="Times New Roman" w:hAnsi="Times New Roman"/>
          <w:sz w:val="18"/>
          <w:szCs w:val="18"/>
        </w:rPr>
      </w:pPr>
    </w:p>
    <w:p w:rsidR="00852702" w:rsidRPr="00250B41" w:rsidRDefault="00852702">
      <w:pPr>
        <w:rPr>
          <w:rFonts w:ascii="Times New Roman" w:hAnsi="Times New Roman"/>
          <w:sz w:val="18"/>
          <w:szCs w:val="18"/>
        </w:rPr>
      </w:pPr>
      <w:r w:rsidRPr="00250B41">
        <w:rPr>
          <w:noProof/>
        </w:rPr>
        <w:drawing>
          <wp:inline distT="0" distB="0" distL="0" distR="0" wp14:anchorId="2E1C1577" wp14:editId="06703566">
            <wp:extent cx="4611624" cy="3081528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ary endpoints k-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1624" cy="308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52702" w:rsidRDefault="00852702" w:rsidP="00852702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</w:rPr>
      </w:pPr>
      <w:r w:rsidRPr="00025769">
        <w:rPr>
          <w:rFonts w:ascii="Times New Roman" w:hAnsi="Times New Roman" w:hint="eastAsia"/>
          <w:b/>
          <w:color w:val="FF0000"/>
        </w:rPr>
        <w:t>Supplementary</w:t>
      </w:r>
      <w:r w:rsidRPr="00025769">
        <w:rPr>
          <w:rFonts w:ascii="Times New Roman" w:hAnsi="Times New Roman" w:cs="Times New Roman"/>
          <w:b/>
          <w:color w:val="FF0000"/>
        </w:rPr>
        <w:t xml:space="preserve"> Figure </w:t>
      </w:r>
      <w:r w:rsidR="00EE7CBE" w:rsidRPr="00025769">
        <w:rPr>
          <w:rFonts w:ascii="Times New Roman" w:hAnsi="Times New Roman" w:cs="Times New Roman" w:hint="eastAsia"/>
          <w:b/>
          <w:color w:val="FF0000"/>
        </w:rPr>
        <w:t>1</w:t>
      </w:r>
      <w:r w:rsidRPr="00025769">
        <w:rPr>
          <w:rFonts w:ascii="Times New Roman" w:hAnsi="Times New Roman" w:cs="Times New Roman"/>
          <w:b/>
          <w:color w:val="FF0000"/>
        </w:rPr>
        <w:t>.</w:t>
      </w:r>
      <w:r w:rsidRPr="00250B41">
        <w:rPr>
          <w:rFonts w:ascii="Times New Roman" w:hAnsi="Times New Roman" w:cs="Times New Roman"/>
          <w:b/>
        </w:rPr>
        <w:t xml:space="preserve"> </w:t>
      </w:r>
      <w:r w:rsidRPr="00250B41">
        <w:rPr>
          <w:rFonts w:ascii="Times New Roman" w:hAnsi="Times New Roman"/>
        </w:rPr>
        <w:t xml:space="preserve">Kaplan-Meier curves for </w:t>
      </w:r>
      <w:r w:rsidR="00AD57BF" w:rsidRPr="00250B41">
        <w:rPr>
          <w:rFonts w:ascii="Times New Roman" w:hAnsi="Times New Roman" w:hint="eastAsia"/>
        </w:rPr>
        <w:t xml:space="preserve">the </w:t>
      </w:r>
      <w:r w:rsidR="00C43620" w:rsidRPr="00250B41">
        <w:rPr>
          <w:rFonts w:ascii="Times New Roman" w:hAnsi="Times New Roman" w:hint="eastAsia"/>
        </w:rPr>
        <w:t xml:space="preserve">secondary </w:t>
      </w:r>
      <w:r w:rsidRPr="00250B41">
        <w:rPr>
          <w:rFonts w:ascii="Times New Roman" w:hAnsi="Times New Roman"/>
        </w:rPr>
        <w:t>endpoint</w:t>
      </w:r>
      <w:r w:rsidR="00C43620" w:rsidRPr="00250B41">
        <w:rPr>
          <w:rFonts w:ascii="Times New Roman" w:hAnsi="Times New Roman" w:hint="eastAsia"/>
        </w:rPr>
        <w:t>s</w:t>
      </w:r>
      <w:r w:rsidRPr="00250B41">
        <w:rPr>
          <w:rFonts w:ascii="Times New Roman" w:hAnsi="Times New Roman"/>
        </w:rPr>
        <w:t xml:space="preserve"> stratified by </w:t>
      </w:r>
      <w:r w:rsidRPr="00250B41">
        <w:rPr>
          <w:rFonts w:ascii="Times New Roman" w:hAnsi="Times New Roman" w:hint="eastAsia"/>
          <w:kern w:val="0"/>
          <w:szCs w:val="21"/>
        </w:rPr>
        <w:t xml:space="preserve">PHQ-9 </w:t>
      </w:r>
      <w:r w:rsidRPr="00250B41">
        <w:rPr>
          <w:rFonts w:ascii="Times New Roman" w:hAnsi="Times New Roman" w:cs="Times New Roman"/>
          <w:kern w:val="0"/>
          <w:szCs w:val="21"/>
        </w:rPr>
        <w:t>˂</w:t>
      </w:r>
      <w:r w:rsidRPr="00250B41">
        <w:rPr>
          <w:rFonts w:ascii="Times New Roman" w:hAnsi="Times New Roman" w:hint="eastAsia"/>
          <w:kern w:val="0"/>
          <w:szCs w:val="21"/>
        </w:rPr>
        <w:t>5</w:t>
      </w:r>
      <w:r w:rsidR="00813577" w:rsidRPr="00250B41">
        <w:rPr>
          <w:rFonts w:ascii="Times New Roman" w:hAnsi="Times New Roman" w:hint="eastAsia"/>
          <w:kern w:val="0"/>
          <w:szCs w:val="21"/>
        </w:rPr>
        <w:t>,</w:t>
      </w:r>
      <w:r w:rsidRPr="00250B41">
        <w:rPr>
          <w:rFonts w:ascii="Times New Roman" w:hAnsi="Times New Roman" w:hint="eastAsia"/>
          <w:kern w:val="0"/>
          <w:szCs w:val="21"/>
        </w:rPr>
        <w:t xml:space="preserve"> </w:t>
      </w:r>
      <w:r w:rsidR="000B1412" w:rsidRPr="00250B41">
        <w:rPr>
          <w:rFonts w:ascii="Times New Roman" w:hAnsi="Times New Roman"/>
          <w:kern w:val="0"/>
          <w:szCs w:val="21"/>
        </w:rPr>
        <w:t>PHQ-9 5-9</w:t>
      </w:r>
      <w:r w:rsidR="000B1412" w:rsidRPr="00250B41">
        <w:rPr>
          <w:rFonts w:ascii="Times New Roman" w:hAnsi="Times New Roman" w:hint="eastAsia"/>
          <w:kern w:val="0"/>
          <w:szCs w:val="21"/>
        </w:rPr>
        <w:t xml:space="preserve"> </w:t>
      </w:r>
      <w:r w:rsidRPr="00250B41">
        <w:rPr>
          <w:rFonts w:ascii="Times New Roman" w:hAnsi="Times New Roman" w:hint="eastAsia"/>
          <w:kern w:val="0"/>
          <w:szCs w:val="21"/>
        </w:rPr>
        <w:t xml:space="preserve">and PHQ-9 </w:t>
      </w:r>
      <w:r w:rsidRPr="00250B41">
        <w:rPr>
          <w:rFonts w:ascii="Times New Roman" w:hAnsi="Times New Roman" w:cs="Times New Roman"/>
          <w:kern w:val="0"/>
          <w:szCs w:val="21"/>
        </w:rPr>
        <w:t>≥</w:t>
      </w:r>
      <w:r w:rsidR="00813577" w:rsidRPr="00250B41">
        <w:rPr>
          <w:rFonts w:ascii="Times New Roman" w:hAnsi="Times New Roman" w:hint="eastAsia"/>
          <w:kern w:val="0"/>
          <w:szCs w:val="21"/>
        </w:rPr>
        <w:t>10 in</w:t>
      </w:r>
      <w:r w:rsidRPr="00250B41">
        <w:rPr>
          <w:rFonts w:ascii="Times New Roman" w:hAnsi="Times New Roman" w:hint="eastAsia"/>
          <w:kern w:val="0"/>
          <w:szCs w:val="21"/>
        </w:rPr>
        <w:t xml:space="preserve"> CHD patients</w:t>
      </w:r>
      <w:r w:rsidR="00813577" w:rsidRPr="00250B41">
        <w:rPr>
          <w:rFonts w:ascii="Times New Roman" w:hAnsi="Times New Roman" w:hint="eastAsia"/>
          <w:kern w:val="0"/>
          <w:szCs w:val="21"/>
        </w:rPr>
        <w:t xml:space="preserve"> (N=582)</w:t>
      </w:r>
      <w:r w:rsidRPr="00250B41">
        <w:rPr>
          <w:rFonts w:ascii="Times New Roman" w:hAnsi="Times New Roman"/>
        </w:rPr>
        <w:t xml:space="preserve">. The </w:t>
      </w:r>
      <w:r w:rsidRPr="00250B41">
        <w:rPr>
          <w:rFonts w:ascii="Times New Roman" w:hAnsi="Times New Roman" w:hint="eastAsia"/>
        </w:rPr>
        <w:t xml:space="preserve">secondary </w:t>
      </w:r>
      <w:r w:rsidRPr="00250B41">
        <w:rPr>
          <w:rFonts w:ascii="Times New Roman" w:hAnsi="Times New Roman"/>
        </w:rPr>
        <w:t xml:space="preserve">composite endpoints were signiﬁcantly higher in the PHQ-9 5-9 group and the PHQ-9 ≥10 group </w:t>
      </w:r>
      <w:r w:rsidRPr="00250B41">
        <w:rPr>
          <w:rFonts w:ascii="Times New Roman" w:hAnsi="Times New Roman" w:hint="eastAsia"/>
        </w:rPr>
        <w:t>compared with</w:t>
      </w:r>
      <w:r w:rsidRPr="00250B41">
        <w:rPr>
          <w:rFonts w:ascii="Times New Roman" w:hAnsi="Times New Roman"/>
        </w:rPr>
        <w:t xml:space="preserve"> the </w:t>
      </w:r>
      <w:r w:rsidRPr="00250B41">
        <w:rPr>
          <w:rFonts w:ascii="Times New Roman" w:hAnsi="Times New Roman" w:hint="eastAsia"/>
        </w:rPr>
        <w:t xml:space="preserve">control </w:t>
      </w:r>
      <w:r w:rsidRPr="00250B41">
        <w:rPr>
          <w:rFonts w:ascii="Times New Roman" w:hAnsi="Times New Roman"/>
        </w:rPr>
        <w:t>PHQ-9 ˂5</w:t>
      </w:r>
      <w:r w:rsidRPr="00250B41">
        <w:rPr>
          <w:rFonts w:ascii="Times New Roman" w:hAnsi="Times New Roman" w:hint="eastAsia"/>
        </w:rPr>
        <w:t xml:space="preserve"> group</w:t>
      </w:r>
      <w:r w:rsidR="00020851" w:rsidRPr="00250B41">
        <w:rPr>
          <w:rFonts w:ascii="Times New Roman" w:hAnsi="Times New Roman"/>
        </w:rPr>
        <w:t xml:space="preserve"> (p &lt; 0.05)</w:t>
      </w:r>
    </w:p>
    <w:p w:rsidR="00E33E79" w:rsidRPr="0072081A" w:rsidRDefault="00E33E79" w:rsidP="002217DF">
      <w:pPr>
        <w:jc w:val="left"/>
        <w:rPr>
          <w:rFonts w:ascii="Times New Roman" w:hAnsi="Times New Roman" w:cs="Times New Roman"/>
        </w:rPr>
      </w:pPr>
    </w:p>
    <w:sectPr w:rsidR="00E33E79" w:rsidRPr="007208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86A" w:rsidRDefault="006F286A" w:rsidP="00060C7E">
      <w:r>
        <w:separator/>
      </w:r>
    </w:p>
  </w:endnote>
  <w:endnote w:type="continuationSeparator" w:id="0">
    <w:p w:rsidR="006F286A" w:rsidRDefault="006F286A" w:rsidP="00060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86A" w:rsidRDefault="006F286A" w:rsidP="00060C7E">
      <w:r>
        <w:separator/>
      </w:r>
    </w:p>
  </w:footnote>
  <w:footnote w:type="continuationSeparator" w:id="0">
    <w:p w:rsidR="006F286A" w:rsidRDefault="006F286A" w:rsidP="00060C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4DE"/>
    <w:rsid w:val="00020851"/>
    <w:rsid w:val="00022926"/>
    <w:rsid w:val="00025769"/>
    <w:rsid w:val="000357E6"/>
    <w:rsid w:val="00036D75"/>
    <w:rsid w:val="00060C7E"/>
    <w:rsid w:val="000671DB"/>
    <w:rsid w:val="000877EF"/>
    <w:rsid w:val="00093827"/>
    <w:rsid w:val="00097337"/>
    <w:rsid w:val="000B1412"/>
    <w:rsid w:val="000B1A37"/>
    <w:rsid w:val="000C1E6D"/>
    <w:rsid w:val="000C53E2"/>
    <w:rsid w:val="000E5103"/>
    <w:rsid w:val="000E653A"/>
    <w:rsid w:val="001107E0"/>
    <w:rsid w:val="00112621"/>
    <w:rsid w:val="00146A73"/>
    <w:rsid w:val="00146ABC"/>
    <w:rsid w:val="0016238F"/>
    <w:rsid w:val="0018164D"/>
    <w:rsid w:val="001B2DD3"/>
    <w:rsid w:val="001C102C"/>
    <w:rsid w:val="002217DF"/>
    <w:rsid w:val="00244528"/>
    <w:rsid w:val="00250B41"/>
    <w:rsid w:val="0027025B"/>
    <w:rsid w:val="00291ADD"/>
    <w:rsid w:val="002A565A"/>
    <w:rsid w:val="002B4968"/>
    <w:rsid w:val="002D24CE"/>
    <w:rsid w:val="002F261E"/>
    <w:rsid w:val="003078E8"/>
    <w:rsid w:val="00312AD0"/>
    <w:rsid w:val="00321749"/>
    <w:rsid w:val="0033332D"/>
    <w:rsid w:val="003358A3"/>
    <w:rsid w:val="00365DA6"/>
    <w:rsid w:val="003757B3"/>
    <w:rsid w:val="003821CE"/>
    <w:rsid w:val="003907B1"/>
    <w:rsid w:val="003A45F8"/>
    <w:rsid w:val="003B574C"/>
    <w:rsid w:val="003D5D94"/>
    <w:rsid w:val="003E1F46"/>
    <w:rsid w:val="003E529C"/>
    <w:rsid w:val="003F3400"/>
    <w:rsid w:val="003F484F"/>
    <w:rsid w:val="004326A4"/>
    <w:rsid w:val="00437176"/>
    <w:rsid w:val="004410D5"/>
    <w:rsid w:val="00441E94"/>
    <w:rsid w:val="0048412E"/>
    <w:rsid w:val="00486BAE"/>
    <w:rsid w:val="004876FA"/>
    <w:rsid w:val="004C070A"/>
    <w:rsid w:val="004D4BD3"/>
    <w:rsid w:val="004E6756"/>
    <w:rsid w:val="00500F07"/>
    <w:rsid w:val="005059FA"/>
    <w:rsid w:val="00512260"/>
    <w:rsid w:val="005216F2"/>
    <w:rsid w:val="00525928"/>
    <w:rsid w:val="00525BC7"/>
    <w:rsid w:val="00532AA1"/>
    <w:rsid w:val="005339FC"/>
    <w:rsid w:val="00550FB5"/>
    <w:rsid w:val="00553383"/>
    <w:rsid w:val="00564DB8"/>
    <w:rsid w:val="0056649A"/>
    <w:rsid w:val="00575167"/>
    <w:rsid w:val="005A4E19"/>
    <w:rsid w:val="005C38FD"/>
    <w:rsid w:val="006363F1"/>
    <w:rsid w:val="00640C8A"/>
    <w:rsid w:val="006666DB"/>
    <w:rsid w:val="0068651D"/>
    <w:rsid w:val="006976A1"/>
    <w:rsid w:val="006A04DE"/>
    <w:rsid w:val="006A1231"/>
    <w:rsid w:val="006D2B88"/>
    <w:rsid w:val="006E43CC"/>
    <w:rsid w:val="006F286A"/>
    <w:rsid w:val="00700870"/>
    <w:rsid w:val="0071676F"/>
    <w:rsid w:val="0072081A"/>
    <w:rsid w:val="00726EA8"/>
    <w:rsid w:val="00760F5D"/>
    <w:rsid w:val="00772F0A"/>
    <w:rsid w:val="00783D5F"/>
    <w:rsid w:val="007B2B6B"/>
    <w:rsid w:val="007C76A6"/>
    <w:rsid w:val="007D0F3F"/>
    <w:rsid w:val="007E0B6B"/>
    <w:rsid w:val="00813577"/>
    <w:rsid w:val="0082230B"/>
    <w:rsid w:val="0082248F"/>
    <w:rsid w:val="00836626"/>
    <w:rsid w:val="00837998"/>
    <w:rsid w:val="00837AB7"/>
    <w:rsid w:val="00852702"/>
    <w:rsid w:val="0087262C"/>
    <w:rsid w:val="00876FDC"/>
    <w:rsid w:val="00892512"/>
    <w:rsid w:val="008D3E75"/>
    <w:rsid w:val="008D6F75"/>
    <w:rsid w:val="008E074C"/>
    <w:rsid w:val="008E6E00"/>
    <w:rsid w:val="008F3890"/>
    <w:rsid w:val="008F4C2B"/>
    <w:rsid w:val="00904E04"/>
    <w:rsid w:val="00933B7B"/>
    <w:rsid w:val="009841EC"/>
    <w:rsid w:val="00992F6C"/>
    <w:rsid w:val="009B76DC"/>
    <w:rsid w:val="00A15A14"/>
    <w:rsid w:val="00A32E01"/>
    <w:rsid w:val="00A33946"/>
    <w:rsid w:val="00A37D49"/>
    <w:rsid w:val="00A42504"/>
    <w:rsid w:val="00A54C3C"/>
    <w:rsid w:val="00A93722"/>
    <w:rsid w:val="00AD57BF"/>
    <w:rsid w:val="00AF3F92"/>
    <w:rsid w:val="00B14BE5"/>
    <w:rsid w:val="00B5731D"/>
    <w:rsid w:val="00B620DD"/>
    <w:rsid w:val="00B632E7"/>
    <w:rsid w:val="00B72721"/>
    <w:rsid w:val="00B771FB"/>
    <w:rsid w:val="00B8027C"/>
    <w:rsid w:val="00B82358"/>
    <w:rsid w:val="00BD6C59"/>
    <w:rsid w:val="00BE4A63"/>
    <w:rsid w:val="00BE5009"/>
    <w:rsid w:val="00C268D9"/>
    <w:rsid w:val="00C43620"/>
    <w:rsid w:val="00C46E03"/>
    <w:rsid w:val="00C60775"/>
    <w:rsid w:val="00CA0096"/>
    <w:rsid w:val="00CA56BE"/>
    <w:rsid w:val="00CE5D74"/>
    <w:rsid w:val="00CF1CC8"/>
    <w:rsid w:val="00D210DA"/>
    <w:rsid w:val="00D21931"/>
    <w:rsid w:val="00D46499"/>
    <w:rsid w:val="00D50089"/>
    <w:rsid w:val="00D6689F"/>
    <w:rsid w:val="00D777D8"/>
    <w:rsid w:val="00D97560"/>
    <w:rsid w:val="00DD27C3"/>
    <w:rsid w:val="00DD328F"/>
    <w:rsid w:val="00DE3F4E"/>
    <w:rsid w:val="00E039CA"/>
    <w:rsid w:val="00E15D6B"/>
    <w:rsid w:val="00E2393B"/>
    <w:rsid w:val="00E31A0A"/>
    <w:rsid w:val="00E33E79"/>
    <w:rsid w:val="00E431AF"/>
    <w:rsid w:val="00E5037C"/>
    <w:rsid w:val="00E50F58"/>
    <w:rsid w:val="00E65E7F"/>
    <w:rsid w:val="00EE7CBE"/>
    <w:rsid w:val="00EF13B4"/>
    <w:rsid w:val="00F0752C"/>
    <w:rsid w:val="00F120DD"/>
    <w:rsid w:val="00F236D5"/>
    <w:rsid w:val="00F2494C"/>
    <w:rsid w:val="00F649A3"/>
    <w:rsid w:val="00F753D9"/>
    <w:rsid w:val="00F84501"/>
    <w:rsid w:val="00FB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0C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60C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60C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60C7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60C7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60C7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0C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60C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60C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60C7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60C7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60C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E3E29-2DBC-4A18-AB52-BD051296D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1072</Words>
  <Characters>6116</Characters>
  <Application>Microsoft Office Word</Application>
  <DocSecurity>0</DocSecurity>
  <Lines>50</Lines>
  <Paragraphs>14</Paragraphs>
  <ScaleCrop>false</ScaleCrop>
  <Company/>
  <LinksUpToDate>false</LinksUpToDate>
  <CharactersWithSpaces>7174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小王子的玫瑰花</dc:creator>
  <cp:lastModifiedBy>小王子的玫瑰花</cp:lastModifiedBy>
  <cp:revision>2</cp:revision>
  <dcterms:created xsi:type="dcterms:W3CDTF">2024-05-06T15:43:00Z</dcterms:created>
  <dcterms:modified xsi:type="dcterms:W3CDTF">2024-05-06T15:43:00Z</dcterms:modified>
</cp:coreProperties>
</file>