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E8382">
      <w:pPr>
        <w:ind w:right="2100" w:rightChars="1000"/>
        <w:jc w:val="center"/>
        <w:rPr>
          <w:rFonts w:hint="eastAsia"/>
          <w:b/>
          <w:bCs/>
          <w:sz w:val="24"/>
          <w:szCs w:val="24"/>
        </w:rPr>
      </w:pPr>
      <w:r>
        <w:rPr>
          <w:rFonts w:hint="eastAsia"/>
          <w:b/>
          <w:bCs/>
          <w:sz w:val="24"/>
          <w:szCs w:val="24"/>
          <w:lang w:val="en-US" w:eastAsia="zh-CN"/>
        </w:rPr>
        <w:t xml:space="preserve">         </w:t>
      </w:r>
      <w:r>
        <w:rPr>
          <w:rFonts w:hint="eastAsia"/>
          <w:b/>
          <w:bCs/>
          <w:sz w:val="24"/>
          <w:szCs w:val="24"/>
        </w:rPr>
        <w:t>Supplemental materials</w:t>
      </w:r>
    </w:p>
    <w:p w14:paraId="439A4438">
      <w:pPr>
        <w:jc w:val="left"/>
        <w:rPr>
          <w:rFonts w:hint="eastAsia"/>
          <w:b/>
          <w:bCs/>
          <w:sz w:val="24"/>
          <w:szCs w:val="24"/>
        </w:rPr>
      </w:pPr>
    </w:p>
    <w:p w14:paraId="423DF34C">
      <w:pPr>
        <w:jc w:val="left"/>
        <w:rPr>
          <w:rFonts w:hint="eastAsia"/>
          <w:b/>
          <w:bCs/>
          <w:sz w:val="24"/>
          <w:szCs w:val="24"/>
        </w:rPr>
      </w:pPr>
      <w:r>
        <w:rPr>
          <w:rFonts w:hint="eastAsia"/>
          <w:b/>
          <w:bCs/>
          <w:sz w:val="24"/>
          <w:szCs w:val="24"/>
        </w:rPr>
        <w:t xml:space="preserve">Table 1 </w:t>
      </w:r>
      <w:r>
        <w:rPr>
          <w:rFonts w:hint="eastAsia"/>
          <w:b w:val="0"/>
          <w:bCs w:val="0"/>
          <w:color w:val="000000" w:themeColor="text1"/>
          <w:sz w:val="24"/>
          <w:szCs w:val="24"/>
          <w14:textFill>
            <w14:solidFill>
              <w14:schemeClr w14:val="tx1"/>
            </w14:solidFill>
          </w14:textFill>
        </w:rPr>
        <w:t>TRIPOD checklist for prediction model development and validation</w:t>
      </w:r>
    </w:p>
    <w:tbl>
      <w:tblPr>
        <w:tblStyle w:val="17"/>
        <w:tblpPr w:leftFromText="180" w:rightFromText="180" w:vertAnchor="text" w:horzAnchor="page" w:tblpX="1640" w:tblpY="381"/>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709"/>
        <w:gridCol w:w="567"/>
        <w:gridCol w:w="6374"/>
      </w:tblGrid>
      <w:tr w14:paraId="100C9B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27" w:hRule="atLeast"/>
        </w:trPr>
        <w:tc>
          <w:tcPr>
            <w:tcW w:w="1701" w:type="dxa"/>
            <w:tcBorders>
              <w:bottom w:val="single" w:color="auto" w:sz="4" w:space="0"/>
            </w:tcBorders>
            <w:shd w:val="clear" w:color="auto" w:fill="FFCCCC"/>
            <w:noWrap/>
            <w:vAlign w:val="top"/>
          </w:tcPr>
          <w:p w14:paraId="4ABD4956">
            <w:pPr>
              <w:spacing w:line="200" w:lineRule="exact"/>
              <w:jc w:val="left"/>
              <w:rPr>
                <w:rFonts w:ascii="Times New Roman" w:hAnsi="Times New Roman" w:cs="Times New Roman"/>
                <w:b/>
                <w:bCs/>
                <w:sz w:val="18"/>
                <w:szCs w:val="18"/>
              </w:rPr>
            </w:pPr>
            <w:r>
              <w:rPr>
                <w:rFonts w:hint="eastAsia" w:ascii="Times New Roman" w:hAnsi="Times New Roman" w:cs="Times New Roman"/>
                <w:b/>
                <w:bCs/>
                <w:sz w:val="18"/>
                <w:szCs w:val="18"/>
              </w:rPr>
              <w:t>Section/Topic</w:t>
            </w:r>
          </w:p>
        </w:tc>
        <w:tc>
          <w:tcPr>
            <w:tcW w:w="709" w:type="dxa"/>
            <w:tcBorders>
              <w:bottom w:val="single" w:color="auto" w:sz="4" w:space="0"/>
            </w:tcBorders>
            <w:shd w:val="clear" w:color="auto" w:fill="FFCCCC"/>
            <w:noWrap/>
            <w:vAlign w:val="top"/>
          </w:tcPr>
          <w:p w14:paraId="150E5FB6">
            <w:pPr>
              <w:spacing w:line="200" w:lineRule="exact"/>
              <w:jc w:val="left"/>
              <w:rPr>
                <w:rFonts w:ascii="Times New Roman" w:hAnsi="Times New Roman" w:cs="Times New Roman"/>
                <w:b/>
                <w:bCs/>
                <w:sz w:val="18"/>
                <w:szCs w:val="18"/>
              </w:rPr>
            </w:pPr>
            <w:r>
              <w:rPr>
                <w:rFonts w:hint="eastAsia" w:ascii="Times New Roman" w:hAnsi="Times New Roman" w:cs="Times New Roman"/>
                <w:b/>
                <w:bCs/>
                <w:sz w:val="18"/>
                <w:szCs w:val="18"/>
              </w:rPr>
              <w:t>Item</w:t>
            </w:r>
          </w:p>
        </w:tc>
        <w:tc>
          <w:tcPr>
            <w:tcW w:w="567" w:type="dxa"/>
            <w:tcBorders>
              <w:bottom w:val="single" w:color="auto" w:sz="4" w:space="0"/>
            </w:tcBorders>
            <w:shd w:val="clear" w:color="auto" w:fill="FFCCCC"/>
            <w:noWrap/>
            <w:vAlign w:val="top"/>
          </w:tcPr>
          <w:p w14:paraId="73D13C2D">
            <w:pPr>
              <w:spacing w:line="200" w:lineRule="exact"/>
              <w:jc w:val="left"/>
              <w:rPr>
                <w:rFonts w:ascii="Times New Roman" w:hAnsi="Times New Roman" w:cs="Times New Roman"/>
                <w:b/>
                <w:bCs/>
                <w:sz w:val="18"/>
                <w:szCs w:val="18"/>
              </w:rPr>
            </w:pPr>
          </w:p>
        </w:tc>
        <w:tc>
          <w:tcPr>
            <w:tcW w:w="6374" w:type="dxa"/>
            <w:tcBorders>
              <w:bottom w:val="single" w:color="auto" w:sz="4" w:space="0"/>
            </w:tcBorders>
            <w:shd w:val="clear" w:color="auto" w:fill="FFCCCC"/>
            <w:vAlign w:val="top"/>
          </w:tcPr>
          <w:p w14:paraId="63C86E5B">
            <w:pPr>
              <w:spacing w:line="200" w:lineRule="exact"/>
              <w:jc w:val="left"/>
              <w:rPr>
                <w:rFonts w:ascii="Times New Roman" w:hAnsi="Times New Roman" w:cs="Times New Roman"/>
                <w:b/>
                <w:bCs/>
                <w:sz w:val="18"/>
                <w:szCs w:val="18"/>
              </w:rPr>
            </w:pPr>
            <w:r>
              <w:rPr>
                <w:rFonts w:hint="eastAsia" w:ascii="Times New Roman" w:hAnsi="Times New Roman" w:cs="Times New Roman"/>
                <w:b/>
                <w:bCs/>
                <w:sz w:val="18"/>
                <w:szCs w:val="18"/>
              </w:rPr>
              <w:t>Checklist Item</w:t>
            </w:r>
          </w:p>
        </w:tc>
      </w:tr>
      <w:tr w14:paraId="15365D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shd w:val="clear" w:color="auto" w:fill="FFCCCC"/>
            <w:noWrap/>
            <w:vAlign w:val="top"/>
          </w:tcPr>
          <w:p w14:paraId="0FBE5101">
            <w:pPr>
              <w:spacing w:line="200" w:lineRule="exact"/>
              <w:jc w:val="left"/>
              <w:rPr>
                <w:rFonts w:ascii="Times New Roman" w:hAnsi="Times New Roman" w:cs="Times New Roman"/>
                <w:b/>
                <w:bCs/>
                <w:sz w:val="18"/>
                <w:szCs w:val="18"/>
              </w:rPr>
            </w:pPr>
            <w:r>
              <w:rPr>
                <w:rFonts w:hint="eastAsia" w:ascii="Times New Roman" w:hAnsi="Times New Roman" w:cs="Times New Roman"/>
                <w:b/>
                <w:bCs/>
                <w:sz w:val="18"/>
                <w:szCs w:val="18"/>
              </w:rPr>
              <w:t>Title and abstract</w:t>
            </w:r>
          </w:p>
        </w:tc>
        <w:tc>
          <w:tcPr>
            <w:tcW w:w="709" w:type="dxa"/>
            <w:tcBorders>
              <w:top w:val="single" w:color="auto" w:sz="4" w:space="0"/>
              <w:bottom w:val="single" w:color="auto" w:sz="4" w:space="0"/>
            </w:tcBorders>
            <w:shd w:val="clear" w:color="auto" w:fill="FFCCCC"/>
            <w:noWrap/>
            <w:vAlign w:val="top"/>
          </w:tcPr>
          <w:p w14:paraId="70C564E4">
            <w:pPr>
              <w:spacing w:line="200" w:lineRule="exact"/>
              <w:jc w:val="left"/>
              <w:rPr>
                <w:rFonts w:ascii="Times New Roman" w:hAnsi="Times New Roman" w:cs="Times New Roman"/>
                <w:sz w:val="18"/>
                <w:szCs w:val="18"/>
              </w:rPr>
            </w:pPr>
          </w:p>
        </w:tc>
        <w:tc>
          <w:tcPr>
            <w:tcW w:w="567" w:type="dxa"/>
            <w:tcBorders>
              <w:top w:val="single" w:color="auto" w:sz="4" w:space="0"/>
              <w:bottom w:val="single" w:color="auto" w:sz="4" w:space="0"/>
            </w:tcBorders>
            <w:shd w:val="clear" w:color="auto" w:fill="FFCCCC"/>
            <w:noWrap/>
            <w:vAlign w:val="top"/>
          </w:tcPr>
          <w:p w14:paraId="22D430A7">
            <w:pPr>
              <w:spacing w:line="200" w:lineRule="exact"/>
              <w:jc w:val="left"/>
              <w:rPr>
                <w:rFonts w:ascii="Times New Roman" w:hAnsi="Times New Roman" w:cs="Times New Roman"/>
                <w:sz w:val="18"/>
                <w:szCs w:val="18"/>
              </w:rPr>
            </w:pPr>
          </w:p>
        </w:tc>
        <w:tc>
          <w:tcPr>
            <w:tcW w:w="6374" w:type="dxa"/>
            <w:tcBorders>
              <w:top w:val="single" w:color="auto" w:sz="4" w:space="0"/>
              <w:bottom w:val="single" w:color="auto" w:sz="4" w:space="0"/>
            </w:tcBorders>
            <w:shd w:val="clear" w:color="auto" w:fill="FFCCCC"/>
            <w:vAlign w:val="top"/>
          </w:tcPr>
          <w:p w14:paraId="55E0C7F6">
            <w:pPr>
              <w:spacing w:line="200" w:lineRule="exact"/>
              <w:jc w:val="left"/>
              <w:rPr>
                <w:rFonts w:ascii="Times New Roman" w:hAnsi="Times New Roman" w:cs="Times New Roman"/>
                <w:sz w:val="18"/>
                <w:szCs w:val="18"/>
              </w:rPr>
            </w:pPr>
          </w:p>
        </w:tc>
      </w:tr>
      <w:tr w14:paraId="5FC9C5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47BB129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Title</w:t>
            </w:r>
          </w:p>
        </w:tc>
        <w:tc>
          <w:tcPr>
            <w:tcW w:w="709" w:type="dxa"/>
            <w:tcBorders>
              <w:top w:val="single" w:color="auto" w:sz="4" w:space="0"/>
              <w:bottom w:val="single" w:color="auto" w:sz="4" w:space="0"/>
            </w:tcBorders>
            <w:noWrap/>
            <w:vAlign w:val="top"/>
          </w:tcPr>
          <w:p w14:paraId="7A89391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w:t>
            </w:r>
          </w:p>
        </w:tc>
        <w:tc>
          <w:tcPr>
            <w:tcW w:w="567" w:type="dxa"/>
            <w:tcBorders>
              <w:top w:val="single" w:color="auto" w:sz="4" w:space="0"/>
              <w:bottom w:val="single" w:color="auto" w:sz="4" w:space="0"/>
            </w:tcBorders>
            <w:noWrap/>
            <w:vAlign w:val="top"/>
          </w:tcPr>
          <w:p w14:paraId="7911884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14B72143">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Auxiliary identification of depression patients using interpretable machine learning models based on heart rate variability: a retrospective study</w:t>
            </w:r>
          </w:p>
        </w:tc>
      </w:tr>
      <w:tr w14:paraId="492A5D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3A165B86">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Abstract</w:t>
            </w:r>
          </w:p>
        </w:tc>
        <w:tc>
          <w:tcPr>
            <w:tcW w:w="709" w:type="dxa"/>
            <w:tcBorders>
              <w:top w:val="single" w:color="auto" w:sz="4" w:space="0"/>
              <w:bottom w:val="single" w:color="auto" w:sz="4" w:space="0"/>
            </w:tcBorders>
            <w:noWrap/>
            <w:vAlign w:val="top"/>
          </w:tcPr>
          <w:p w14:paraId="0E7BC088">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2</w:t>
            </w:r>
          </w:p>
        </w:tc>
        <w:tc>
          <w:tcPr>
            <w:tcW w:w="567" w:type="dxa"/>
            <w:tcBorders>
              <w:top w:val="single" w:color="auto" w:sz="4" w:space="0"/>
              <w:bottom w:val="single" w:color="auto" w:sz="4" w:space="0"/>
            </w:tcBorders>
            <w:noWrap/>
            <w:vAlign w:val="top"/>
          </w:tcPr>
          <w:p w14:paraId="408FC0FC">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403FF2F6">
            <w:pPr>
              <w:spacing w:line="200" w:lineRule="exact"/>
              <w:jc w:val="left"/>
              <w:rPr>
                <w:rFonts w:hint="eastAsia" w:ascii="Times New Roman" w:hAnsi="Times New Roman" w:cs="Times New Roman"/>
                <w:sz w:val="18"/>
                <w:szCs w:val="18"/>
              </w:rPr>
            </w:pPr>
            <w:r>
              <w:rPr>
                <w:rFonts w:hint="eastAsia" w:ascii="Times New Roman" w:hAnsi="Times New Roman" w:cs="Times New Roman"/>
                <w:sz w:val="18"/>
                <w:szCs w:val="18"/>
              </w:rPr>
              <w:t>Objective</w:t>
            </w:r>
          </w:p>
          <w:p w14:paraId="18E80DE6">
            <w:pPr>
              <w:spacing w:line="200" w:lineRule="exact"/>
              <w:jc w:val="left"/>
              <w:rPr>
                <w:rFonts w:hint="eastAsia" w:ascii="Times New Roman" w:hAnsi="Times New Roman" w:cs="Times New Roman"/>
                <w:sz w:val="18"/>
                <w:szCs w:val="18"/>
              </w:rPr>
            </w:pPr>
            <w:r>
              <w:rPr>
                <w:rFonts w:hint="eastAsia" w:ascii="Times New Roman" w:hAnsi="Times New Roman" w:cs="Times New Roman"/>
                <w:sz w:val="18"/>
                <w:szCs w:val="18"/>
              </w:rPr>
              <w:t>Depression has emerged as a global public health concern with high incidence and disability rates, which are timely imperative to identify and intervene in clinical practice. The objective of this study was to explore the association between heart rate variability (HRV) and depression, with the aim of establishing and validating a machine learning model for the auxiliary diagnosis of depression.</w:t>
            </w:r>
          </w:p>
          <w:p w14:paraId="40270A94">
            <w:pPr>
              <w:spacing w:line="200" w:lineRule="exact"/>
              <w:jc w:val="left"/>
              <w:rPr>
                <w:rFonts w:hint="eastAsia" w:ascii="Times New Roman" w:hAnsi="Times New Roman" w:cs="Times New Roman"/>
                <w:sz w:val="18"/>
                <w:szCs w:val="18"/>
              </w:rPr>
            </w:pPr>
            <w:r>
              <w:rPr>
                <w:rFonts w:hint="eastAsia" w:ascii="Times New Roman" w:hAnsi="Times New Roman" w:cs="Times New Roman"/>
                <w:sz w:val="18"/>
                <w:szCs w:val="18"/>
              </w:rPr>
              <w:t>Methods</w:t>
            </w:r>
          </w:p>
          <w:p w14:paraId="2B1BACF7">
            <w:pPr>
              <w:spacing w:line="200" w:lineRule="exact"/>
              <w:jc w:val="left"/>
              <w:rPr>
                <w:rFonts w:hint="eastAsia" w:ascii="Times New Roman" w:hAnsi="Times New Roman" w:cs="Times New Roman"/>
                <w:sz w:val="18"/>
                <w:szCs w:val="18"/>
              </w:rPr>
            </w:pPr>
            <w:r>
              <w:rPr>
                <w:rFonts w:hint="eastAsia" w:ascii="Times New Roman" w:hAnsi="Times New Roman" w:cs="Times New Roman"/>
                <w:sz w:val="18"/>
                <w:szCs w:val="18"/>
              </w:rPr>
              <w:t>The data of 465 outpatients from the Affiliated Hospital of Southwest Medical University were selected for the study. The study population was then randomly divided into training and validation sets in a 7:3 ratio. Logistic regression (LR), support vector machine (SVM), random forest (RF) and eXtreme gradient boosting (XGBoost) algorithm models were used to construct risk prediction models in the training set, and the model performance was verified in the test set. The four models were evaluated by the area under the receiver operating characteristic curve (ROC) calibration curve and the decision curve analysis (DCA). Furthermore, we employed the SHapley Additive exPlanations (SHAP) method to illustrate the effects of the features attributed to the model.</w:t>
            </w:r>
          </w:p>
          <w:p w14:paraId="2EE33E12">
            <w:pPr>
              <w:spacing w:line="200" w:lineRule="exact"/>
              <w:jc w:val="left"/>
              <w:rPr>
                <w:rFonts w:hint="eastAsia" w:ascii="Times New Roman" w:hAnsi="Times New Roman" w:cs="Times New Roman"/>
                <w:sz w:val="18"/>
                <w:szCs w:val="18"/>
              </w:rPr>
            </w:pPr>
            <w:r>
              <w:rPr>
                <w:rFonts w:hint="eastAsia" w:ascii="Times New Roman" w:hAnsi="Times New Roman" w:cs="Times New Roman"/>
                <w:sz w:val="18"/>
                <w:szCs w:val="18"/>
              </w:rPr>
              <w:t>Results</w:t>
            </w:r>
          </w:p>
          <w:p w14:paraId="7BA73ABB">
            <w:pPr>
              <w:spacing w:line="200" w:lineRule="exact"/>
              <w:jc w:val="left"/>
              <w:rPr>
                <w:rFonts w:hint="eastAsia" w:ascii="Times New Roman" w:hAnsi="Times New Roman" w:cs="Times New Roman"/>
                <w:sz w:val="18"/>
                <w:szCs w:val="18"/>
              </w:rPr>
            </w:pPr>
            <w:r>
              <w:rPr>
                <w:rFonts w:hint="eastAsia" w:ascii="Times New Roman" w:hAnsi="Times New Roman" w:cs="Times New Roman"/>
                <w:sz w:val="18"/>
                <w:szCs w:val="18"/>
              </w:rPr>
              <w:t>There were 237 people in the depressed group and 228 in the non-depressed group.  In the training set (n=325) and test set (n=140), the AUC values of the XGBoost model are 0.92 [95% confidence interval (CI) 0.888,0.95] and 0.82 (95% CI 0.754,0.892)] respectively, which are higher than the other three models. The XGBoost model has excellent predictive efficacy and clinical utility. The SHAP method was ranked according to the importance of the degree of influence on the model, with heart rate, Standard deviation of the NN intervals(SDNN),Standard deviation of the distances of the points from the major axis(SD2), sex and Relationship between SD1 and SD2 (SD1/SD2) considered to be the top 6 predictors.</w:t>
            </w:r>
          </w:p>
          <w:p w14:paraId="293BC38A">
            <w:pPr>
              <w:spacing w:line="200" w:lineRule="exact"/>
              <w:jc w:val="left"/>
              <w:rPr>
                <w:rFonts w:hint="eastAsia" w:ascii="Times New Roman" w:hAnsi="Times New Roman" w:cs="Times New Roman"/>
                <w:sz w:val="18"/>
                <w:szCs w:val="18"/>
              </w:rPr>
            </w:pPr>
            <w:r>
              <w:rPr>
                <w:rFonts w:hint="eastAsia" w:ascii="Times New Roman" w:hAnsi="Times New Roman" w:cs="Times New Roman"/>
                <w:sz w:val="18"/>
                <w:szCs w:val="18"/>
              </w:rPr>
              <w:t>Conclusion</w:t>
            </w:r>
          </w:p>
          <w:p w14:paraId="720E2F04">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This study provides a reference for the feasibility of heart rate variability as a potential biomarker for depression. The XGBoost model based on SHAP provides clinicians with a quantitative auxiliary diagnostic tool, which is conducive to improving the accuracy and efficiency of diagnosis, and can also be used for the monitoring and prevention of depression.</w:t>
            </w:r>
          </w:p>
        </w:tc>
      </w:tr>
      <w:tr w14:paraId="11CE8A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shd w:val="clear" w:color="auto" w:fill="FFCCCC"/>
            <w:noWrap/>
            <w:vAlign w:val="top"/>
          </w:tcPr>
          <w:p w14:paraId="54E70621">
            <w:pPr>
              <w:spacing w:line="200" w:lineRule="exact"/>
              <w:jc w:val="left"/>
              <w:rPr>
                <w:rFonts w:ascii="Times New Roman" w:hAnsi="Times New Roman" w:cs="Times New Roman"/>
                <w:b/>
                <w:bCs/>
                <w:sz w:val="18"/>
                <w:szCs w:val="18"/>
              </w:rPr>
            </w:pPr>
            <w:r>
              <w:rPr>
                <w:rFonts w:hint="eastAsia" w:ascii="Times New Roman" w:hAnsi="Times New Roman" w:cs="Times New Roman"/>
                <w:b/>
                <w:bCs/>
                <w:sz w:val="18"/>
                <w:szCs w:val="18"/>
              </w:rPr>
              <w:t>Introduction</w:t>
            </w:r>
          </w:p>
        </w:tc>
        <w:tc>
          <w:tcPr>
            <w:tcW w:w="709" w:type="dxa"/>
            <w:tcBorders>
              <w:top w:val="single" w:color="auto" w:sz="4" w:space="0"/>
              <w:bottom w:val="single" w:color="auto" w:sz="4" w:space="0"/>
            </w:tcBorders>
            <w:shd w:val="clear" w:color="auto" w:fill="FFCCCC"/>
            <w:noWrap/>
            <w:vAlign w:val="top"/>
          </w:tcPr>
          <w:p w14:paraId="5882EF9C">
            <w:pPr>
              <w:spacing w:line="200" w:lineRule="exact"/>
              <w:jc w:val="left"/>
              <w:rPr>
                <w:rFonts w:ascii="Times New Roman" w:hAnsi="Times New Roman" w:cs="Times New Roman"/>
                <w:b/>
                <w:bCs/>
                <w:sz w:val="18"/>
                <w:szCs w:val="18"/>
              </w:rPr>
            </w:pPr>
          </w:p>
        </w:tc>
        <w:tc>
          <w:tcPr>
            <w:tcW w:w="567" w:type="dxa"/>
            <w:tcBorders>
              <w:top w:val="single" w:color="auto" w:sz="4" w:space="0"/>
              <w:bottom w:val="single" w:color="auto" w:sz="4" w:space="0"/>
            </w:tcBorders>
            <w:shd w:val="clear" w:color="auto" w:fill="FFCCCC"/>
            <w:noWrap/>
            <w:vAlign w:val="top"/>
          </w:tcPr>
          <w:p w14:paraId="0CD4C1D7">
            <w:pPr>
              <w:spacing w:line="200" w:lineRule="exact"/>
              <w:jc w:val="left"/>
              <w:rPr>
                <w:rFonts w:ascii="Times New Roman" w:hAnsi="Times New Roman" w:cs="Times New Roman"/>
                <w:b/>
                <w:bCs/>
                <w:sz w:val="18"/>
                <w:szCs w:val="18"/>
              </w:rPr>
            </w:pPr>
          </w:p>
        </w:tc>
        <w:tc>
          <w:tcPr>
            <w:tcW w:w="6374" w:type="dxa"/>
            <w:tcBorders>
              <w:top w:val="single" w:color="auto" w:sz="4" w:space="0"/>
              <w:bottom w:val="single" w:color="auto" w:sz="4" w:space="0"/>
            </w:tcBorders>
            <w:shd w:val="clear" w:color="auto" w:fill="FFCCCC"/>
            <w:vAlign w:val="top"/>
          </w:tcPr>
          <w:p w14:paraId="77415FCB">
            <w:pPr>
              <w:spacing w:line="200" w:lineRule="exact"/>
              <w:jc w:val="left"/>
              <w:rPr>
                <w:rFonts w:ascii="Times New Roman" w:hAnsi="Times New Roman" w:cs="Times New Roman"/>
                <w:b/>
                <w:bCs/>
                <w:sz w:val="18"/>
                <w:szCs w:val="18"/>
              </w:rPr>
            </w:pPr>
          </w:p>
        </w:tc>
      </w:tr>
      <w:tr w14:paraId="6E53A6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299574F1">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Background and objectives</w:t>
            </w:r>
          </w:p>
        </w:tc>
        <w:tc>
          <w:tcPr>
            <w:tcW w:w="709" w:type="dxa"/>
            <w:tcBorders>
              <w:top w:val="single" w:color="auto" w:sz="4" w:space="0"/>
              <w:bottom w:val="single" w:color="auto" w:sz="4" w:space="0"/>
            </w:tcBorders>
            <w:noWrap/>
            <w:vAlign w:val="top"/>
          </w:tcPr>
          <w:p w14:paraId="35F6D52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3a</w:t>
            </w:r>
          </w:p>
        </w:tc>
        <w:tc>
          <w:tcPr>
            <w:tcW w:w="567" w:type="dxa"/>
            <w:tcBorders>
              <w:top w:val="single" w:color="auto" w:sz="4" w:space="0"/>
              <w:bottom w:val="single" w:color="auto" w:sz="4" w:space="0"/>
            </w:tcBorders>
            <w:noWrap/>
            <w:vAlign w:val="top"/>
          </w:tcPr>
          <w:p w14:paraId="3AC8063D">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38CFC99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Currently, the traditional diagnosis of depression usually adopts clinical symptoms and depression scale for qualitative diagnosis, and cannot be quantitatively evaluated, which may lead to missed diagnosis or misdiagnosis. In order to overcome the limitations of traditional diagnostic methods, researchers are constantly exploring new diagnostic models for depression, which have been developed based on markers such as magnetic resonance imaging (MRI), electroencephalography (EEG), and serotonin levels</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rPr>
              <w:t>These models can avoid the subjectivity of traditional diagnostic methods to some extent. However, these machine learning models based on imaging and biological indicators still have problems such as high cost, invasiveness and complexity, so it is urgent to find a biomarker with real-time monitoring, non-invasiveness and low cost.</w:t>
            </w:r>
          </w:p>
        </w:tc>
      </w:tr>
      <w:tr w14:paraId="633BE5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bottom w:val="single" w:color="auto" w:sz="4" w:space="0"/>
            </w:tcBorders>
            <w:noWrap/>
            <w:vAlign w:val="top"/>
          </w:tcPr>
          <w:p w14:paraId="69B4465A">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578EA66B">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3b</w:t>
            </w:r>
          </w:p>
        </w:tc>
        <w:tc>
          <w:tcPr>
            <w:tcW w:w="567" w:type="dxa"/>
            <w:tcBorders>
              <w:top w:val="single" w:color="auto" w:sz="4" w:space="0"/>
              <w:bottom w:val="single" w:color="auto" w:sz="4" w:space="0"/>
            </w:tcBorders>
            <w:noWrap/>
            <w:vAlign w:val="top"/>
          </w:tcPr>
          <w:p w14:paraId="6737E2B3">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2DA26827">
            <w:pPr>
              <w:spacing w:line="200" w:lineRule="exact"/>
              <w:jc w:val="left"/>
              <w:rPr>
                <w:rFonts w:hint="eastAsia" w:ascii="Times New Roman" w:hAnsi="Times New Roman" w:cs="Times New Roman"/>
                <w:sz w:val="18"/>
                <w:szCs w:val="18"/>
              </w:rPr>
            </w:pPr>
            <w:r>
              <w:rPr>
                <w:rFonts w:hint="eastAsia" w:ascii="Times New Roman" w:hAnsi="Times New Roman" w:cs="Times New Roman"/>
                <w:sz w:val="18"/>
                <w:szCs w:val="18"/>
              </w:rPr>
              <w:t>Although previous studies have compared some HRV indicators between depressed people and healthy people, few studies have comprehensively compared the differences in the time domain, frequency domain and nonlinear parameters of HRV between depressed people and healthy people, and established a depression diagnosis model based on heart rate variability.</w:t>
            </w:r>
          </w:p>
          <w:p w14:paraId="4D620E2A">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In this study, we aimed to investigate the correlation between HRV and depression, determine the predictive factors of the depression model, and explore the feasibility of HRV as a potential biomarker for depression. At the same time, we established a clinical prediction model based on heart rate variability to assist clinicians in more accurately identifying depression patients, thereby enabling timely optimization of diagnostic and treatment strategies.</w:t>
            </w:r>
          </w:p>
        </w:tc>
      </w:tr>
      <w:tr w14:paraId="5EC066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shd w:val="clear" w:color="auto" w:fill="FFCCCC"/>
            <w:noWrap/>
            <w:vAlign w:val="top"/>
          </w:tcPr>
          <w:p w14:paraId="27A5FF80">
            <w:pPr>
              <w:spacing w:line="200" w:lineRule="exact"/>
              <w:jc w:val="left"/>
              <w:rPr>
                <w:rFonts w:ascii="Times New Roman" w:hAnsi="Times New Roman" w:cs="Times New Roman"/>
                <w:b/>
                <w:bCs/>
                <w:sz w:val="18"/>
                <w:szCs w:val="18"/>
              </w:rPr>
            </w:pPr>
            <w:r>
              <w:rPr>
                <w:rFonts w:hint="eastAsia" w:ascii="Times New Roman" w:hAnsi="Times New Roman" w:cs="Times New Roman"/>
                <w:b/>
                <w:bCs/>
                <w:sz w:val="18"/>
                <w:szCs w:val="18"/>
              </w:rPr>
              <w:t>Methods</w:t>
            </w:r>
          </w:p>
        </w:tc>
        <w:tc>
          <w:tcPr>
            <w:tcW w:w="709" w:type="dxa"/>
            <w:tcBorders>
              <w:top w:val="single" w:color="auto" w:sz="4" w:space="0"/>
              <w:bottom w:val="single" w:color="auto" w:sz="4" w:space="0"/>
            </w:tcBorders>
            <w:shd w:val="clear" w:color="auto" w:fill="FFCCCC"/>
            <w:noWrap/>
            <w:vAlign w:val="top"/>
          </w:tcPr>
          <w:p w14:paraId="44A91E1B">
            <w:pPr>
              <w:spacing w:line="200" w:lineRule="exact"/>
              <w:jc w:val="left"/>
              <w:rPr>
                <w:rFonts w:ascii="Times New Roman" w:hAnsi="Times New Roman" w:cs="Times New Roman"/>
                <w:b/>
                <w:bCs/>
                <w:sz w:val="18"/>
                <w:szCs w:val="18"/>
              </w:rPr>
            </w:pPr>
          </w:p>
        </w:tc>
        <w:tc>
          <w:tcPr>
            <w:tcW w:w="567" w:type="dxa"/>
            <w:tcBorders>
              <w:top w:val="single" w:color="auto" w:sz="4" w:space="0"/>
              <w:bottom w:val="single" w:color="auto" w:sz="4" w:space="0"/>
            </w:tcBorders>
            <w:shd w:val="clear" w:color="auto" w:fill="FFCCCC"/>
            <w:noWrap/>
            <w:vAlign w:val="top"/>
          </w:tcPr>
          <w:p w14:paraId="640961F9">
            <w:pPr>
              <w:spacing w:line="200" w:lineRule="exact"/>
              <w:jc w:val="left"/>
              <w:rPr>
                <w:rFonts w:ascii="Times New Roman" w:hAnsi="Times New Roman" w:cs="Times New Roman"/>
                <w:b/>
                <w:bCs/>
                <w:sz w:val="18"/>
                <w:szCs w:val="18"/>
              </w:rPr>
            </w:pPr>
          </w:p>
        </w:tc>
        <w:tc>
          <w:tcPr>
            <w:tcW w:w="6374" w:type="dxa"/>
            <w:tcBorders>
              <w:top w:val="single" w:color="auto" w:sz="4" w:space="0"/>
              <w:bottom w:val="single" w:color="auto" w:sz="4" w:space="0"/>
            </w:tcBorders>
            <w:shd w:val="clear" w:color="auto" w:fill="FFCCCC"/>
            <w:vAlign w:val="top"/>
          </w:tcPr>
          <w:p w14:paraId="514FC325">
            <w:pPr>
              <w:spacing w:line="200" w:lineRule="exact"/>
              <w:jc w:val="left"/>
              <w:rPr>
                <w:rFonts w:ascii="Times New Roman" w:hAnsi="Times New Roman" w:cs="Times New Roman"/>
                <w:b/>
                <w:bCs/>
                <w:sz w:val="18"/>
                <w:szCs w:val="18"/>
              </w:rPr>
            </w:pPr>
          </w:p>
        </w:tc>
      </w:tr>
      <w:tr w14:paraId="638920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17B4C7BA">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Source of data</w:t>
            </w:r>
          </w:p>
        </w:tc>
        <w:tc>
          <w:tcPr>
            <w:tcW w:w="709" w:type="dxa"/>
            <w:tcBorders>
              <w:top w:val="single" w:color="auto" w:sz="4" w:space="0"/>
              <w:bottom w:val="single" w:color="auto" w:sz="4" w:space="0"/>
            </w:tcBorders>
            <w:noWrap/>
            <w:vAlign w:val="top"/>
          </w:tcPr>
          <w:p w14:paraId="151A8C9E">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4a</w:t>
            </w:r>
          </w:p>
        </w:tc>
        <w:tc>
          <w:tcPr>
            <w:tcW w:w="567" w:type="dxa"/>
            <w:tcBorders>
              <w:top w:val="single" w:color="auto" w:sz="4" w:space="0"/>
              <w:bottom w:val="single" w:color="auto" w:sz="4" w:space="0"/>
            </w:tcBorders>
            <w:noWrap/>
            <w:vAlign w:val="top"/>
          </w:tcPr>
          <w:p w14:paraId="510C4F3A">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74FF02F3">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 xml:space="preserve">This retrospective study was approved by the Institutional Review Board of the Southwestern Medical University Hospital (No. KY2020221), and the requirement for written informed consent was waived. This study protocol complies with the principles of the Declaration of Helsinki.All patients were randomly divided into a training set (n = 325) and a validation set (n=140), with a ratio of approximately 7:3. </w:t>
            </w:r>
          </w:p>
        </w:tc>
      </w:tr>
      <w:tr w14:paraId="2A14B9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bottom w:val="single" w:color="auto" w:sz="4" w:space="0"/>
            </w:tcBorders>
            <w:noWrap/>
            <w:vAlign w:val="top"/>
          </w:tcPr>
          <w:p w14:paraId="5A0215D6">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3110405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4b</w:t>
            </w:r>
          </w:p>
        </w:tc>
        <w:tc>
          <w:tcPr>
            <w:tcW w:w="567" w:type="dxa"/>
            <w:tcBorders>
              <w:top w:val="single" w:color="auto" w:sz="4" w:space="0"/>
              <w:bottom w:val="single" w:color="auto" w:sz="4" w:space="0"/>
            </w:tcBorders>
            <w:noWrap/>
            <w:vAlign w:val="top"/>
          </w:tcPr>
          <w:p w14:paraId="0211B4FA">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21BA5204">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This is a retrospective study</w:t>
            </w:r>
            <w:r>
              <w:rPr>
                <w:rFonts w:hint="eastAsia" w:ascii="Times New Roman" w:hAnsi="Times New Roman" w:cs="Times New Roman"/>
                <w:sz w:val="18"/>
                <w:szCs w:val="18"/>
                <w:lang w:val="en-US" w:eastAsia="zh-CN"/>
              </w:rPr>
              <w:t xml:space="preserve">. </w:t>
            </w:r>
            <w:r>
              <w:rPr>
                <w:rFonts w:hint="eastAsia" w:ascii="Times New Roman" w:hAnsi="Times New Roman" w:cs="Times New Roman"/>
                <w:sz w:val="18"/>
                <w:szCs w:val="18"/>
              </w:rPr>
              <w:t xml:space="preserve">We collected outpatient who underwent depression examination between November 2021 and March 2022. </w:t>
            </w:r>
          </w:p>
        </w:tc>
      </w:tr>
      <w:tr w14:paraId="4C78A3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640199AF">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Participants</w:t>
            </w:r>
          </w:p>
        </w:tc>
        <w:tc>
          <w:tcPr>
            <w:tcW w:w="709" w:type="dxa"/>
            <w:tcBorders>
              <w:top w:val="single" w:color="auto" w:sz="4" w:space="0"/>
              <w:bottom w:val="single" w:color="auto" w:sz="4" w:space="0"/>
            </w:tcBorders>
            <w:noWrap/>
            <w:vAlign w:val="top"/>
          </w:tcPr>
          <w:p w14:paraId="09AB9DC0">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5a</w:t>
            </w:r>
          </w:p>
        </w:tc>
        <w:tc>
          <w:tcPr>
            <w:tcW w:w="567" w:type="dxa"/>
            <w:tcBorders>
              <w:top w:val="single" w:color="auto" w:sz="4" w:space="0"/>
              <w:bottom w:val="single" w:color="auto" w:sz="4" w:space="0"/>
            </w:tcBorders>
            <w:noWrap/>
            <w:vAlign w:val="top"/>
          </w:tcPr>
          <w:p w14:paraId="00585FE5">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200C9A1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 xml:space="preserve">The initial data for this study came from Department of Psychiatry, the Affiliated Hospital of Southwest Medical University. A total of 621 outpatients who underwent depression examination were enrolled in the study. </w:t>
            </w:r>
          </w:p>
        </w:tc>
      </w:tr>
      <w:tr w14:paraId="0CBD88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noWrap/>
            <w:vAlign w:val="top"/>
          </w:tcPr>
          <w:p w14:paraId="728AB052">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423D5EED">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5b</w:t>
            </w:r>
          </w:p>
        </w:tc>
        <w:tc>
          <w:tcPr>
            <w:tcW w:w="567" w:type="dxa"/>
            <w:tcBorders>
              <w:top w:val="single" w:color="auto" w:sz="4" w:space="0"/>
              <w:bottom w:val="single" w:color="auto" w:sz="4" w:space="0"/>
            </w:tcBorders>
            <w:noWrap/>
            <w:vAlign w:val="top"/>
          </w:tcPr>
          <w:p w14:paraId="34629B7C">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20328AAE">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lang w:val="en-US" w:eastAsia="zh-CN"/>
              </w:rPr>
              <w:t>T</w:t>
            </w:r>
            <w:r>
              <w:rPr>
                <w:rFonts w:hint="eastAsia" w:ascii="Times New Roman" w:hAnsi="Times New Roman" w:cs="Times New Roman"/>
                <w:sz w:val="18"/>
                <w:szCs w:val="18"/>
              </w:rPr>
              <w:t>he inclusion criteria were as follows: (i) participants were 14 years of age and older; (ii) participants were required to complete both the Depression Assessment Scale and HRV tests. The exclusion criteria were as follows: (i) patients who did not follow the requirements of the HRV test; (ii) patients with irregular heart rhythm, arterial fibrillation or atrioventricular conduction block; (iii) pregnant women.</w:t>
            </w:r>
          </w:p>
        </w:tc>
      </w:tr>
      <w:tr w14:paraId="271AD5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bottom w:val="single" w:color="auto" w:sz="4" w:space="0"/>
            </w:tcBorders>
            <w:noWrap/>
            <w:vAlign w:val="top"/>
          </w:tcPr>
          <w:p w14:paraId="7CECAFAE">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2EB10FCF">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5c</w:t>
            </w:r>
          </w:p>
        </w:tc>
        <w:tc>
          <w:tcPr>
            <w:tcW w:w="567" w:type="dxa"/>
            <w:tcBorders>
              <w:top w:val="single" w:color="auto" w:sz="4" w:space="0"/>
              <w:bottom w:val="single" w:color="auto" w:sz="4" w:space="0"/>
            </w:tcBorders>
            <w:noWrap/>
            <w:vAlign w:val="top"/>
          </w:tcPr>
          <w:p w14:paraId="326497EE">
            <w:pPr>
              <w:spacing w:line="200" w:lineRule="exact"/>
              <w:jc w:val="left"/>
              <w:rPr>
                <w:rFonts w:ascii="Times New Roman" w:hAnsi="Times New Roman" w:cs="Times New Roman"/>
                <w:sz w:val="18"/>
                <w:szCs w:val="18"/>
              </w:rPr>
            </w:pPr>
            <w:r>
              <w:rPr>
                <w:rFonts w:ascii="Times New Roman" w:hAnsi="Times New Roman" w:cs="Times New Roman"/>
                <w:sz w:val="18"/>
                <w:szCs w:val="18"/>
              </w:rPr>
              <w:t>NA</w:t>
            </w:r>
          </w:p>
        </w:tc>
        <w:tc>
          <w:tcPr>
            <w:tcW w:w="6374" w:type="dxa"/>
            <w:tcBorders>
              <w:top w:val="single" w:color="auto" w:sz="4" w:space="0"/>
              <w:bottom w:val="single" w:color="auto" w:sz="4" w:space="0"/>
            </w:tcBorders>
            <w:vAlign w:val="top"/>
          </w:tcPr>
          <w:p w14:paraId="15DECDC1">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No intervention was involved in this study</w:t>
            </w:r>
          </w:p>
        </w:tc>
      </w:tr>
      <w:tr w14:paraId="20ED7E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36A56816">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Outcome</w:t>
            </w:r>
          </w:p>
        </w:tc>
        <w:tc>
          <w:tcPr>
            <w:tcW w:w="709" w:type="dxa"/>
            <w:tcBorders>
              <w:top w:val="single" w:color="auto" w:sz="4" w:space="0"/>
              <w:bottom w:val="single" w:color="auto" w:sz="4" w:space="0"/>
            </w:tcBorders>
            <w:noWrap/>
            <w:vAlign w:val="top"/>
          </w:tcPr>
          <w:p w14:paraId="248D76BB">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6a</w:t>
            </w:r>
          </w:p>
        </w:tc>
        <w:tc>
          <w:tcPr>
            <w:tcW w:w="567" w:type="dxa"/>
            <w:tcBorders>
              <w:top w:val="single" w:color="auto" w:sz="4" w:space="0"/>
              <w:bottom w:val="single" w:color="auto" w:sz="4" w:space="0"/>
            </w:tcBorders>
            <w:noWrap/>
            <w:vAlign w:val="top"/>
          </w:tcPr>
          <w:p w14:paraId="4B922238">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313559B5">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In this study, the Hamilton Depression (HAMD) Scale integrated clinical symptoms were used to diagnose depression</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rPr>
              <w:t xml:space="preserve"> which provided clinicians with diagnostic decisions.</w:t>
            </w:r>
          </w:p>
        </w:tc>
      </w:tr>
      <w:tr w14:paraId="0FDC6C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bottom w:val="single" w:color="auto" w:sz="4" w:space="0"/>
            </w:tcBorders>
            <w:noWrap/>
            <w:vAlign w:val="top"/>
          </w:tcPr>
          <w:p w14:paraId="18756B91">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3D70DDC4">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6b</w:t>
            </w:r>
          </w:p>
        </w:tc>
        <w:tc>
          <w:tcPr>
            <w:tcW w:w="567" w:type="dxa"/>
            <w:tcBorders>
              <w:top w:val="single" w:color="auto" w:sz="4" w:space="0"/>
              <w:bottom w:val="single" w:color="auto" w:sz="4" w:space="0"/>
            </w:tcBorders>
            <w:noWrap/>
            <w:vAlign w:val="top"/>
          </w:tcPr>
          <w:p w14:paraId="5F2B214C">
            <w:pPr>
              <w:spacing w:line="200" w:lineRule="exact"/>
              <w:jc w:val="left"/>
              <w:rPr>
                <w:rFonts w:ascii="Times New Roman" w:hAnsi="Times New Roman" w:cs="Times New Roman"/>
                <w:sz w:val="18"/>
                <w:szCs w:val="18"/>
              </w:rPr>
            </w:pPr>
            <w:r>
              <w:rPr>
                <w:rFonts w:ascii="Times New Roman" w:hAnsi="Times New Roman" w:cs="Times New Roman"/>
                <w:sz w:val="18"/>
                <w:szCs w:val="18"/>
              </w:rPr>
              <w:t>NA</w:t>
            </w:r>
          </w:p>
        </w:tc>
        <w:tc>
          <w:tcPr>
            <w:tcW w:w="6374" w:type="dxa"/>
            <w:tcBorders>
              <w:top w:val="single" w:color="auto" w:sz="4" w:space="0"/>
              <w:bottom w:val="single" w:color="auto" w:sz="4" w:space="0"/>
            </w:tcBorders>
            <w:vAlign w:val="top"/>
          </w:tcPr>
          <w:p w14:paraId="4F1D7161">
            <w:pPr>
              <w:spacing w:line="200" w:lineRule="exact"/>
              <w:jc w:val="left"/>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rPr>
              <w:t>This study was retrospective and did not involve blindness</w:t>
            </w:r>
            <w:r>
              <w:rPr>
                <w:rFonts w:hint="eastAsia" w:ascii="Times New Roman" w:hAnsi="Times New Roman" w:cs="Times New Roman"/>
                <w:sz w:val="18"/>
                <w:szCs w:val="18"/>
                <w:lang w:val="en-US" w:eastAsia="zh-CN"/>
              </w:rPr>
              <w:t>.</w:t>
            </w:r>
          </w:p>
        </w:tc>
      </w:tr>
      <w:tr w14:paraId="6080A9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01C37C66">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Predictors</w:t>
            </w:r>
          </w:p>
        </w:tc>
        <w:tc>
          <w:tcPr>
            <w:tcW w:w="709" w:type="dxa"/>
            <w:tcBorders>
              <w:top w:val="single" w:color="auto" w:sz="4" w:space="0"/>
              <w:bottom w:val="single" w:color="auto" w:sz="4" w:space="0"/>
            </w:tcBorders>
            <w:noWrap/>
            <w:vAlign w:val="top"/>
          </w:tcPr>
          <w:p w14:paraId="16DACB3A">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7a</w:t>
            </w:r>
          </w:p>
        </w:tc>
        <w:tc>
          <w:tcPr>
            <w:tcW w:w="567" w:type="dxa"/>
            <w:tcBorders>
              <w:top w:val="single" w:color="auto" w:sz="4" w:space="0"/>
              <w:bottom w:val="single" w:color="auto" w:sz="4" w:space="0"/>
            </w:tcBorders>
            <w:noWrap/>
            <w:vAlign w:val="top"/>
          </w:tcPr>
          <w:p w14:paraId="37DAD0C6">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1BD227DF">
            <w:pPr>
              <w:spacing w:line="200" w:lineRule="exact"/>
              <w:jc w:val="left"/>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rPr>
              <w:t>A total of 17 characteristic variables were extracted from the medical case reports of outpatients with depression, respectively, including 2 demographic characteristic variables (sex, age), 2 clinical characteristic variables (body mass index (BMI), heart rate) and 13 HRV characteristic variables</w:t>
            </w:r>
            <w:r>
              <w:rPr>
                <w:rFonts w:hint="eastAsia" w:ascii="Times New Roman" w:hAnsi="Times New Roman" w:cs="Times New Roman"/>
                <w:sz w:val="18"/>
                <w:szCs w:val="18"/>
                <w:lang w:val="en-US" w:eastAsia="zh-CN"/>
              </w:rPr>
              <w:t xml:space="preserve">.Ultimately, a total of 6 characteristic variables were used to develop prediction models. </w:t>
            </w:r>
          </w:p>
        </w:tc>
      </w:tr>
      <w:tr w14:paraId="0D7EB6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bottom w:val="single" w:color="auto" w:sz="4" w:space="0"/>
            </w:tcBorders>
            <w:noWrap/>
            <w:vAlign w:val="top"/>
          </w:tcPr>
          <w:p w14:paraId="714F5306">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59893EAA">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7b</w:t>
            </w:r>
          </w:p>
        </w:tc>
        <w:tc>
          <w:tcPr>
            <w:tcW w:w="567" w:type="dxa"/>
            <w:tcBorders>
              <w:top w:val="single" w:color="auto" w:sz="4" w:space="0"/>
              <w:bottom w:val="single" w:color="auto" w:sz="4" w:space="0"/>
            </w:tcBorders>
            <w:noWrap/>
            <w:vAlign w:val="top"/>
          </w:tcPr>
          <w:p w14:paraId="33B80683">
            <w:pPr>
              <w:spacing w:line="200" w:lineRule="exact"/>
              <w:jc w:val="left"/>
              <w:rPr>
                <w:rFonts w:ascii="Times New Roman" w:hAnsi="Times New Roman" w:cs="Times New Roman"/>
                <w:sz w:val="18"/>
                <w:szCs w:val="18"/>
              </w:rPr>
            </w:pPr>
            <w:r>
              <w:rPr>
                <w:rFonts w:ascii="Times New Roman" w:hAnsi="Times New Roman" w:cs="Times New Roman"/>
                <w:sz w:val="18"/>
                <w:szCs w:val="18"/>
              </w:rPr>
              <w:t>NA</w:t>
            </w:r>
          </w:p>
        </w:tc>
        <w:tc>
          <w:tcPr>
            <w:tcW w:w="6374" w:type="dxa"/>
            <w:tcBorders>
              <w:top w:val="single" w:color="auto" w:sz="4" w:space="0"/>
              <w:bottom w:val="single" w:color="auto" w:sz="4" w:space="0"/>
            </w:tcBorders>
            <w:vAlign w:val="top"/>
          </w:tcPr>
          <w:p w14:paraId="5221E84A">
            <w:pPr>
              <w:spacing w:line="200" w:lineRule="exact"/>
              <w:jc w:val="left"/>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rPr>
              <w:t>This study was retrospective and did not involve blindness</w:t>
            </w:r>
            <w:r>
              <w:rPr>
                <w:rFonts w:hint="eastAsia" w:ascii="Times New Roman" w:hAnsi="Times New Roman" w:cs="Times New Roman"/>
                <w:sz w:val="18"/>
                <w:szCs w:val="18"/>
                <w:lang w:val="en-US" w:eastAsia="zh-CN"/>
              </w:rPr>
              <w:t>.</w:t>
            </w:r>
          </w:p>
        </w:tc>
      </w:tr>
      <w:tr w14:paraId="71B900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246C5360">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Sample size</w:t>
            </w:r>
          </w:p>
        </w:tc>
        <w:tc>
          <w:tcPr>
            <w:tcW w:w="709" w:type="dxa"/>
            <w:tcBorders>
              <w:top w:val="single" w:color="auto" w:sz="4" w:space="0"/>
              <w:bottom w:val="single" w:color="auto" w:sz="4" w:space="0"/>
            </w:tcBorders>
            <w:noWrap/>
            <w:vAlign w:val="top"/>
          </w:tcPr>
          <w:p w14:paraId="55EFF1F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8</w:t>
            </w:r>
          </w:p>
        </w:tc>
        <w:tc>
          <w:tcPr>
            <w:tcW w:w="567" w:type="dxa"/>
            <w:tcBorders>
              <w:top w:val="single" w:color="auto" w:sz="4" w:space="0"/>
              <w:bottom w:val="single" w:color="auto" w:sz="4" w:space="0"/>
            </w:tcBorders>
            <w:noWrap/>
            <w:vAlign w:val="top"/>
          </w:tcPr>
          <w:p w14:paraId="2384E05B">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780159AB">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As this study is a retrospective study and limited by hospital facilities, we have obtained as much data as possible within the limited scope.</w:t>
            </w:r>
          </w:p>
        </w:tc>
      </w:tr>
      <w:tr w14:paraId="64D0DA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22EBABDC">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Missing data</w:t>
            </w:r>
          </w:p>
        </w:tc>
        <w:tc>
          <w:tcPr>
            <w:tcW w:w="709" w:type="dxa"/>
            <w:tcBorders>
              <w:top w:val="single" w:color="auto" w:sz="4" w:space="0"/>
              <w:bottom w:val="single" w:color="auto" w:sz="4" w:space="0"/>
            </w:tcBorders>
            <w:noWrap/>
            <w:vAlign w:val="top"/>
          </w:tcPr>
          <w:p w14:paraId="6B255D95">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9</w:t>
            </w:r>
          </w:p>
        </w:tc>
        <w:tc>
          <w:tcPr>
            <w:tcW w:w="567" w:type="dxa"/>
            <w:tcBorders>
              <w:top w:val="single" w:color="auto" w:sz="4" w:space="0"/>
              <w:bottom w:val="single" w:color="auto" w:sz="4" w:space="0"/>
            </w:tcBorders>
            <w:noWrap/>
            <w:vAlign w:val="top"/>
          </w:tcPr>
          <w:p w14:paraId="00503C7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255665BA">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We excluded 142 subjects who lacked complete heart rate variability reports. There is no missing data from the study,</w:t>
            </w:r>
          </w:p>
        </w:tc>
      </w:tr>
      <w:tr w14:paraId="3014C9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0365CD35">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Statistical analysis methods</w:t>
            </w:r>
          </w:p>
        </w:tc>
        <w:tc>
          <w:tcPr>
            <w:tcW w:w="709" w:type="dxa"/>
            <w:tcBorders>
              <w:top w:val="single" w:color="auto" w:sz="4" w:space="0"/>
              <w:bottom w:val="single" w:color="auto" w:sz="4" w:space="0"/>
            </w:tcBorders>
            <w:noWrap/>
            <w:vAlign w:val="top"/>
          </w:tcPr>
          <w:p w14:paraId="5D1F1BB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10a</w:t>
            </w:r>
          </w:p>
        </w:tc>
        <w:tc>
          <w:tcPr>
            <w:tcW w:w="567" w:type="dxa"/>
            <w:tcBorders>
              <w:top w:val="single" w:color="auto" w:sz="4" w:space="0"/>
              <w:bottom w:val="single" w:color="auto" w:sz="4" w:space="0"/>
            </w:tcBorders>
            <w:noWrap/>
            <w:vAlign w:val="top"/>
          </w:tcPr>
          <w:p w14:paraId="2C3FEE3D">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w:t>
            </w:r>
          </w:p>
        </w:tc>
        <w:tc>
          <w:tcPr>
            <w:tcW w:w="6374" w:type="dxa"/>
            <w:tcBorders>
              <w:top w:val="single" w:color="auto" w:sz="4" w:space="0"/>
              <w:bottom w:val="single" w:color="auto" w:sz="4" w:space="0"/>
            </w:tcBorders>
            <w:vAlign w:val="top"/>
          </w:tcPr>
          <w:p w14:paraId="2F040248">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All statistical analysis and calculations were performed using R (v. 3.6.1, R Foundation for Statistical Computing), Python (version 3.11.7) and SPSS 26.0. Continuous variables are expressed as medians and interquartile ranges, and categorical variables are expressed as frequency (percentage). Continuous variables between groups were compared using Mann-Whitney U test, and categorical variables between groups were compared using Chi-square test. All P values were two-tailed, and P &lt; 0.05 was considered statistically significant.</w:t>
            </w:r>
          </w:p>
        </w:tc>
      </w:tr>
      <w:tr w14:paraId="7F9F89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noWrap/>
            <w:vAlign w:val="top"/>
          </w:tcPr>
          <w:p w14:paraId="66C14C90">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2C993771">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10b</w:t>
            </w:r>
          </w:p>
        </w:tc>
        <w:tc>
          <w:tcPr>
            <w:tcW w:w="567" w:type="dxa"/>
            <w:tcBorders>
              <w:top w:val="single" w:color="auto" w:sz="4" w:space="0"/>
              <w:bottom w:val="single" w:color="auto" w:sz="4" w:space="0"/>
            </w:tcBorders>
            <w:noWrap/>
            <w:vAlign w:val="top"/>
          </w:tcPr>
          <w:p w14:paraId="60F4CCD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w:t>
            </w:r>
          </w:p>
        </w:tc>
        <w:tc>
          <w:tcPr>
            <w:tcW w:w="6374" w:type="dxa"/>
            <w:tcBorders>
              <w:top w:val="single" w:color="auto" w:sz="4" w:space="0"/>
              <w:bottom w:val="single" w:color="auto" w:sz="4" w:space="0"/>
            </w:tcBorders>
            <w:vAlign w:val="top"/>
          </w:tcPr>
          <w:p w14:paraId="329D3A2F">
            <w:pPr>
              <w:spacing w:line="200" w:lineRule="exact"/>
              <w:jc w:val="left"/>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rPr>
              <w:t>The models established in this study are predictive diagnostic models</w:t>
            </w:r>
            <w:r>
              <w:rPr>
                <w:rFonts w:hint="eastAsia" w:ascii="Times New Roman" w:hAnsi="Times New Roman" w:cs="Times New Roman"/>
                <w:sz w:val="18"/>
                <w:szCs w:val="18"/>
                <w:lang w:val="en-US" w:eastAsia="zh-CN"/>
              </w:rPr>
              <w:t xml:space="preserve">. LR makes predictions by learning the relationship between data features and target variables, and the output result can be expressed as probability. SVM maps vectors into a higher-dimensional space and is able to handle the interaction of nonlinear features . RF combines different decision trees, and the algorithm is generally stable. The XGBoost model uses the gradient enhancement framework, which is also an integrated method based on decision trees, and has the characteristics of high efficiency and flexibility. We adopted a methodology that combines bootstrap validation with 10-fold cross-validation, utilizing grid search to determine the optimal parameters. </w:t>
            </w:r>
          </w:p>
        </w:tc>
      </w:tr>
      <w:tr w14:paraId="76D474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noWrap/>
            <w:vAlign w:val="top"/>
          </w:tcPr>
          <w:p w14:paraId="36F8AB0C">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17B4DF9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10c</w:t>
            </w:r>
          </w:p>
        </w:tc>
        <w:tc>
          <w:tcPr>
            <w:tcW w:w="567" w:type="dxa"/>
            <w:tcBorders>
              <w:top w:val="single" w:color="auto" w:sz="4" w:space="0"/>
              <w:bottom w:val="single" w:color="auto" w:sz="4" w:space="0"/>
            </w:tcBorders>
            <w:noWrap/>
            <w:vAlign w:val="top"/>
          </w:tcPr>
          <w:p w14:paraId="1413072D">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V</w:t>
            </w:r>
          </w:p>
        </w:tc>
        <w:tc>
          <w:tcPr>
            <w:tcW w:w="6374" w:type="dxa"/>
            <w:tcBorders>
              <w:top w:val="single" w:color="auto" w:sz="4" w:space="0"/>
              <w:bottom w:val="single" w:color="auto" w:sz="4" w:space="0"/>
            </w:tcBorders>
            <w:vAlign w:val="top"/>
          </w:tcPr>
          <w:p w14:paraId="02745450">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Within each fold of the 10-fold cross-validation, we employed resampling techniques on the original training set to generate bootstrap training sets. Subsequently, we trained the machine learning model on these bootstrap sets and evaluated its predictive performance on a separate test set[A3-A4]. This resampling and model validation process was meticulously repeated 1000 times to ensure thorough validation of the model. The results obtained in this manner provide stronger evidence of the model's stability and reliability, adhering to academic rigor and precision.</w:t>
            </w:r>
          </w:p>
        </w:tc>
      </w:tr>
      <w:tr w14:paraId="661173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noWrap/>
            <w:vAlign w:val="top"/>
          </w:tcPr>
          <w:p w14:paraId="1DFE7712">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4609F1F5">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10d</w:t>
            </w:r>
          </w:p>
        </w:tc>
        <w:tc>
          <w:tcPr>
            <w:tcW w:w="567" w:type="dxa"/>
            <w:tcBorders>
              <w:top w:val="single" w:color="auto" w:sz="4" w:space="0"/>
              <w:bottom w:val="single" w:color="auto" w:sz="4" w:space="0"/>
            </w:tcBorders>
            <w:noWrap/>
            <w:vAlign w:val="top"/>
          </w:tcPr>
          <w:p w14:paraId="42DD8EBE">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670FE503">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The prediction performance of these model was evaluated by calculating the area of ROC curve, sensitivity (SEN), specificity (SPE), positive predictive value (PPV) , negative predictive value (NPV), F1 score respectively and calibration curve. The DCA of all models was performed to quantify the net benefit of patients under different threshold probabilities in the cohort to assess the clinical value of the prediction models in our study.</w:t>
            </w:r>
          </w:p>
        </w:tc>
      </w:tr>
      <w:tr w14:paraId="034F8B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bottom w:val="single" w:color="auto" w:sz="4" w:space="0"/>
            </w:tcBorders>
            <w:noWrap/>
            <w:vAlign w:val="top"/>
          </w:tcPr>
          <w:p w14:paraId="2741E64C">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5ED34A98">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10e</w:t>
            </w:r>
          </w:p>
        </w:tc>
        <w:tc>
          <w:tcPr>
            <w:tcW w:w="567" w:type="dxa"/>
            <w:tcBorders>
              <w:top w:val="single" w:color="auto" w:sz="4" w:space="0"/>
              <w:bottom w:val="single" w:color="auto" w:sz="4" w:space="0"/>
            </w:tcBorders>
            <w:noWrap/>
            <w:vAlign w:val="top"/>
          </w:tcPr>
          <w:p w14:paraId="65AF436A">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V</w:t>
            </w:r>
          </w:p>
        </w:tc>
        <w:tc>
          <w:tcPr>
            <w:tcW w:w="6374" w:type="dxa"/>
            <w:tcBorders>
              <w:top w:val="single" w:color="auto" w:sz="4" w:space="0"/>
              <w:bottom w:val="single" w:color="auto" w:sz="4" w:space="0"/>
            </w:tcBorders>
            <w:vAlign w:val="top"/>
          </w:tcPr>
          <w:p w14:paraId="22EB80F0">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Through the combination of 10-fold cross-validation and bootstrap validation, our model prediction index has been improved. The details are shown in Table 2.</w:t>
            </w:r>
          </w:p>
        </w:tc>
      </w:tr>
      <w:tr w14:paraId="145DAB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471DB594">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Risk groups</w:t>
            </w:r>
          </w:p>
        </w:tc>
        <w:tc>
          <w:tcPr>
            <w:tcW w:w="709" w:type="dxa"/>
            <w:tcBorders>
              <w:top w:val="single" w:color="auto" w:sz="4" w:space="0"/>
              <w:bottom w:val="single" w:color="auto" w:sz="4" w:space="0"/>
            </w:tcBorders>
            <w:noWrap/>
            <w:vAlign w:val="top"/>
          </w:tcPr>
          <w:p w14:paraId="655B6464">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11</w:t>
            </w:r>
          </w:p>
        </w:tc>
        <w:tc>
          <w:tcPr>
            <w:tcW w:w="567" w:type="dxa"/>
            <w:tcBorders>
              <w:top w:val="single" w:color="auto" w:sz="4" w:space="0"/>
              <w:bottom w:val="single" w:color="auto" w:sz="4" w:space="0"/>
            </w:tcBorders>
            <w:noWrap/>
            <w:vAlign w:val="top"/>
          </w:tcPr>
          <w:p w14:paraId="31959BC2">
            <w:pPr>
              <w:spacing w:line="200" w:lineRule="exact"/>
              <w:jc w:val="left"/>
              <w:rPr>
                <w:rFonts w:ascii="Times New Roman" w:hAnsi="Times New Roman" w:cs="Times New Roman"/>
                <w:sz w:val="18"/>
                <w:szCs w:val="18"/>
              </w:rPr>
            </w:pPr>
            <w:r>
              <w:rPr>
                <w:rFonts w:ascii="Times New Roman" w:hAnsi="Times New Roman" w:cs="Times New Roman"/>
                <w:sz w:val="18"/>
                <w:szCs w:val="18"/>
              </w:rPr>
              <w:t>NA</w:t>
            </w:r>
          </w:p>
        </w:tc>
        <w:tc>
          <w:tcPr>
            <w:tcW w:w="6374" w:type="dxa"/>
            <w:tcBorders>
              <w:top w:val="single" w:color="auto" w:sz="4" w:space="0"/>
              <w:bottom w:val="single" w:color="auto" w:sz="4" w:space="0"/>
            </w:tcBorders>
            <w:vAlign w:val="top"/>
          </w:tcPr>
          <w:p w14:paraId="22AAE1EE">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Provide details on how risk groups were created, if done.</w:t>
            </w:r>
          </w:p>
        </w:tc>
      </w:tr>
      <w:tr w14:paraId="14C654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6DBAE3D2">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Development vs. validation</w:t>
            </w:r>
          </w:p>
        </w:tc>
        <w:tc>
          <w:tcPr>
            <w:tcW w:w="709" w:type="dxa"/>
            <w:tcBorders>
              <w:top w:val="single" w:color="auto" w:sz="4" w:space="0"/>
              <w:bottom w:val="single" w:color="auto" w:sz="4" w:space="0"/>
            </w:tcBorders>
            <w:noWrap/>
            <w:vAlign w:val="top"/>
          </w:tcPr>
          <w:p w14:paraId="0E39251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12</w:t>
            </w:r>
          </w:p>
        </w:tc>
        <w:tc>
          <w:tcPr>
            <w:tcW w:w="567" w:type="dxa"/>
            <w:tcBorders>
              <w:top w:val="single" w:color="auto" w:sz="4" w:space="0"/>
              <w:bottom w:val="single" w:color="auto" w:sz="4" w:space="0"/>
            </w:tcBorders>
            <w:noWrap/>
            <w:vAlign w:val="top"/>
          </w:tcPr>
          <w:p w14:paraId="1321DA66">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V</w:t>
            </w:r>
          </w:p>
        </w:tc>
        <w:tc>
          <w:tcPr>
            <w:tcW w:w="6374" w:type="dxa"/>
            <w:tcBorders>
              <w:top w:val="single" w:color="auto" w:sz="4" w:space="0"/>
              <w:bottom w:val="single" w:color="auto" w:sz="4" w:space="0"/>
            </w:tcBorders>
            <w:vAlign w:val="top"/>
          </w:tcPr>
          <w:p w14:paraId="3E36001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Our study was an internal validation, so the data inclusion criteria, outcome metrics, predictors, and data sets were identical.</w:t>
            </w:r>
          </w:p>
        </w:tc>
      </w:tr>
      <w:tr w14:paraId="4FE446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shd w:val="clear" w:color="auto" w:fill="FFCCCC"/>
            <w:noWrap/>
            <w:vAlign w:val="top"/>
          </w:tcPr>
          <w:p w14:paraId="205AC843">
            <w:pPr>
              <w:spacing w:line="200" w:lineRule="exact"/>
              <w:jc w:val="left"/>
              <w:rPr>
                <w:rFonts w:ascii="Times New Roman" w:hAnsi="Times New Roman" w:cs="Times New Roman"/>
                <w:b/>
                <w:bCs/>
                <w:sz w:val="18"/>
                <w:szCs w:val="18"/>
              </w:rPr>
            </w:pPr>
            <w:r>
              <w:rPr>
                <w:rFonts w:hint="eastAsia" w:ascii="Times New Roman" w:hAnsi="Times New Roman" w:cs="Times New Roman"/>
                <w:b/>
                <w:bCs/>
                <w:sz w:val="18"/>
                <w:szCs w:val="18"/>
              </w:rPr>
              <w:t>Results</w:t>
            </w:r>
          </w:p>
        </w:tc>
        <w:tc>
          <w:tcPr>
            <w:tcW w:w="709" w:type="dxa"/>
            <w:tcBorders>
              <w:top w:val="single" w:color="auto" w:sz="4" w:space="0"/>
              <w:bottom w:val="single" w:color="auto" w:sz="4" w:space="0"/>
            </w:tcBorders>
            <w:shd w:val="clear" w:color="auto" w:fill="FFCCCC"/>
            <w:noWrap/>
            <w:vAlign w:val="top"/>
          </w:tcPr>
          <w:p w14:paraId="1136BFA3">
            <w:pPr>
              <w:spacing w:line="200" w:lineRule="exact"/>
              <w:jc w:val="left"/>
              <w:rPr>
                <w:rFonts w:ascii="Times New Roman" w:hAnsi="Times New Roman" w:cs="Times New Roman"/>
                <w:b/>
                <w:bCs/>
                <w:sz w:val="18"/>
                <w:szCs w:val="18"/>
              </w:rPr>
            </w:pPr>
          </w:p>
        </w:tc>
        <w:tc>
          <w:tcPr>
            <w:tcW w:w="567" w:type="dxa"/>
            <w:tcBorders>
              <w:top w:val="single" w:color="auto" w:sz="4" w:space="0"/>
              <w:bottom w:val="single" w:color="auto" w:sz="4" w:space="0"/>
            </w:tcBorders>
            <w:shd w:val="clear" w:color="auto" w:fill="FFCCCC"/>
            <w:noWrap/>
            <w:vAlign w:val="top"/>
          </w:tcPr>
          <w:p w14:paraId="1E568A77">
            <w:pPr>
              <w:spacing w:line="200" w:lineRule="exact"/>
              <w:jc w:val="left"/>
              <w:rPr>
                <w:rFonts w:ascii="Times New Roman" w:hAnsi="Times New Roman" w:cs="Times New Roman"/>
                <w:b/>
                <w:bCs/>
                <w:sz w:val="18"/>
                <w:szCs w:val="18"/>
              </w:rPr>
            </w:pPr>
          </w:p>
        </w:tc>
        <w:tc>
          <w:tcPr>
            <w:tcW w:w="6374" w:type="dxa"/>
            <w:tcBorders>
              <w:top w:val="single" w:color="auto" w:sz="4" w:space="0"/>
              <w:bottom w:val="single" w:color="auto" w:sz="4" w:space="0"/>
            </w:tcBorders>
            <w:shd w:val="clear" w:color="auto" w:fill="FFCCCC"/>
            <w:vAlign w:val="top"/>
          </w:tcPr>
          <w:p w14:paraId="27DDADE2">
            <w:pPr>
              <w:spacing w:line="200" w:lineRule="exact"/>
              <w:jc w:val="left"/>
              <w:rPr>
                <w:rFonts w:ascii="Times New Roman" w:hAnsi="Times New Roman" w:cs="Times New Roman"/>
                <w:b/>
                <w:bCs/>
                <w:sz w:val="18"/>
                <w:szCs w:val="18"/>
              </w:rPr>
            </w:pPr>
          </w:p>
        </w:tc>
      </w:tr>
      <w:tr w14:paraId="1685F6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307765F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Participants</w:t>
            </w:r>
          </w:p>
        </w:tc>
        <w:tc>
          <w:tcPr>
            <w:tcW w:w="709" w:type="dxa"/>
            <w:tcBorders>
              <w:top w:val="single" w:color="auto" w:sz="4" w:space="0"/>
              <w:bottom w:val="single" w:color="auto" w:sz="4" w:space="0"/>
            </w:tcBorders>
            <w:noWrap/>
            <w:vAlign w:val="top"/>
          </w:tcPr>
          <w:p w14:paraId="49CE7F2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13a</w:t>
            </w:r>
          </w:p>
        </w:tc>
        <w:tc>
          <w:tcPr>
            <w:tcW w:w="567" w:type="dxa"/>
            <w:tcBorders>
              <w:top w:val="single" w:color="auto" w:sz="4" w:space="0"/>
              <w:bottom w:val="single" w:color="auto" w:sz="4" w:space="0"/>
            </w:tcBorders>
            <w:noWrap/>
            <w:vAlign w:val="top"/>
          </w:tcPr>
          <w:p w14:paraId="0680AF5F">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2AA15E6E">
            <w:pPr>
              <w:spacing w:line="200" w:lineRule="exact"/>
              <w:jc w:val="left"/>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rPr>
              <w:t>The participation of the study subjects is shown in Figure 1 and Figure 2</w:t>
            </w:r>
            <w:r>
              <w:rPr>
                <w:rFonts w:hint="eastAsia" w:ascii="Times New Roman" w:hAnsi="Times New Roman" w:cs="Times New Roman"/>
                <w:sz w:val="18"/>
                <w:szCs w:val="18"/>
                <w:lang w:val="en-US" w:eastAsia="zh-CN"/>
              </w:rPr>
              <w:t>.</w:t>
            </w:r>
          </w:p>
        </w:tc>
      </w:tr>
      <w:tr w14:paraId="380176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 w:hRule="atLeast"/>
        </w:trPr>
        <w:tc>
          <w:tcPr>
            <w:tcW w:w="1701" w:type="dxa"/>
            <w:noWrap/>
            <w:vAlign w:val="top"/>
          </w:tcPr>
          <w:p w14:paraId="72AEE8EA">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0FC7524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13b</w:t>
            </w:r>
          </w:p>
        </w:tc>
        <w:tc>
          <w:tcPr>
            <w:tcW w:w="567" w:type="dxa"/>
            <w:tcBorders>
              <w:top w:val="single" w:color="auto" w:sz="4" w:space="0"/>
              <w:bottom w:val="single" w:color="auto" w:sz="4" w:space="0"/>
            </w:tcBorders>
            <w:noWrap/>
            <w:vAlign w:val="top"/>
          </w:tcPr>
          <w:p w14:paraId="4AED11B8">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091AC4D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A total of 465 outpatients were included in this study, with 237 in the depression group and 228 in the non-depression group. The specific baseline characteristics of all patients are shown in Table 1. The median age was 20 (17,36) years, with 60.6% females and 39.4% males. The median heart rate in the depressed group was 85, higher than 76.09 in the non-depressed group. There were significant differences in sex, age, heart rate and HRV characteristics ( SDNN, SDNN5, pNN50, rmsSD, SDSD, SD1, SD2, VLF, LF ) between the two groups ( P</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rPr>
              <w:t>0.0</w:t>
            </w:r>
            <w:r>
              <w:rPr>
                <w:rFonts w:hint="eastAsia" w:ascii="Times New Roman" w:hAnsi="Times New Roman" w:cs="Times New Roman"/>
                <w:sz w:val="18"/>
                <w:szCs w:val="18"/>
                <w:lang w:val="en-US" w:eastAsia="zh-CN"/>
              </w:rPr>
              <w:t>5</w:t>
            </w:r>
            <w:r>
              <w:rPr>
                <w:rFonts w:hint="eastAsia" w:ascii="Times New Roman" w:hAnsi="Times New Roman" w:cs="Times New Roman"/>
                <w:sz w:val="18"/>
                <w:szCs w:val="18"/>
              </w:rPr>
              <w:t>).</w:t>
            </w:r>
          </w:p>
        </w:tc>
      </w:tr>
      <w:tr w14:paraId="4AA415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bottom w:val="single" w:color="auto" w:sz="4" w:space="0"/>
            </w:tcBorders>
            <w:noWrap/>
            <w:vAlign w:val="top"/>
          </w:tcPr>
          <w:p w14:paraId="1C4EBBE9">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161629E4">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13c</w:t>
            </w:r>
          </w:p>
        </w:tc>
        <w:tc>
          <w:tcPr>
            <w:tcW w:w="567" w:type="dxa"/>
            <w:tcBorders>
              <w:top w:val="single" w:color="auto" w:sz="4" w:space="0"/>
              <w:bottom w:val="single" w:color="auto" w:sz="4" w:space="0"/>
            </w:tcBorders>
            <w:noWrap/>
            <w:vAlign w:val="top"/>
          </w:tcPr>
          <w:p w14:paraId="4F4FF0C3">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V</w:t>
            </w:r>
          </w:p>
        </w:tc>
        <w:tc>
          <w:tcPr>
            <w:tcW w:w="6374" w:type="dxa"/>
            <w:tcBorders>
              <w:top w:val="single" w:color="auto" w:sz="4" w:space="0"/>
              <w:bottom w:val="single" w:color="auto" w:sz="4" w:space="0"/>
            </w:tcBorders>
            <w:vAlign w:val="top"/>
          </w:tcPr>
          <w:p w14:paraId="51E2E783">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The training set included 162 depressed patients and 163 non-depressed patients. The test set consisted of 75 depressed patients and 65 non-depressed patients.</w:t>
            </w:r>
          </w:p>
        </w:tc>
      </w:tr>
      <w:tr w14:paraId="4E3455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1E41963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Model development</w:t>
            </w:r>
          </w:p>
        </w:tc>
        <w:tc>
          <w:tcPr>
            <w:tcW w:w="709" w:type="dxa"/>
            <w:tcBorders>
              <w:top w:val="single" w:color="auto" w:sz="4" w:space="0"/>
              <w:bottom w:val="single" w:color="auto" w:sz="4" w:space="0"/>
            </w:tcBorders>
            <w:noWrap/>
            <w:vAlign w:val="top"/>
          </w:tcPr>
          <w:p w14:paraId="7572981A">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14a</w:t>
            </w:r>
          </w:p>
        </w:tc>
        <w:tc>
          <w:tcPr>
            <w:tcW w:w="567" w:type="dxa"/>
            <w:tcBorders>
              <w:top w:val="single" w:color="auto" w:sz="4" w:space="0"/>
              <w:bottom w:val="single" w:color="auto" w:sz="4" w:space="0"/>
            </w:tcBorders>
            <w:noWrap/>
            <w:vAlign w:val="top"/>
          </w:tcPr>
          <w:p w14:paraId="67247E71">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w:t>
            </w:r>
          </w:p>
        </w:tc>
        <w:tc>
          <w:tcPr>
            <w:tcW w:w="6374" w:type="dxa"/>
            <w:tcBorders>
              <w:top w:val="single" w:color="auto" w:sz="4" w:space="0"/>
              <w:bottom w:val="single" w:color="auto" w:sz="4" w:space="0"/>
            </w:tcBorders>
            <w:vAlign w:val="top"/>
          </w:tcPr>
          <w:p w14:paraId="505AB9A9">
            <w:pPr>
              <w:spacing w:line="200" w:lineRule="exact"/>
              <w:jc w:val="left"/>
              <w:rPr>
                <w:rFonts w:hint="eastAsia" w:ascii="Times New Roman" w:hAnsi="Times New Roman" w:cs="Times New Roman" w:eastAsiaTheme="minorEastAsia"/>
                <w:sz w:val="18"/>
                <w:szCs w:val="18"/>
                <w:lang w:eastAsia="zh-CN"/>
              </w:rPr>
            </w:pPr>
            <w:r>
              <w:rPr>
                <w:rFonts w:hint="eastAsia" w:ascii="Times New Roman" w:hAnsi="Times New Roman" w:cs="Times New Roman"/>
                <w:sz w:val="18"/>
                <w:szCs w:val="18"/>
              </w:rPr>
              <w:t>We have saved the number of participants and outcome events in each analysis</w:t>
            </w:r>
            <w:r>
              <w:rPr>
                <w:rFonts w:hint="eastAsia" w:ascii="Times New Roman" w:hAnsi="Times New Roman" w:cs="Times New Roman"/>
                <w:sz w:val="18"/>
                <w:szCs w:val="18"/>
                <w:lang w:eastAsia="zh-CN"/>
              </w:rPr>
              <w:t>。</w:t>
            </w:r>
          </w:p>
        </w:tc>
      </w:tr>
      <w:tr w14:paraId="46634E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bottom w:val="single" w:color="auto" w:sz="4" w:space="0"/>
            </w:tcBorders>
            <w:noWrap/>
            <w:vAlign w:val="top"/>
          </w:tcPr>
          <w:p w14:paraId="09383F59">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4C017342">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14b</w:t>
            </w:r>
          </w:p>
        </w:tc>
        <w:tc>
          <w:tcPr>
            <w:tcW w:w="567" w:type="dxa"/>
            <w:tcBorders>
              <w:top w:val="single" w:color="auto" w:sz="4" w:space="0"/>
              <w:bottom w:val="single" w:color="auto" w:sz="4" w:space="0"/>
            </w:tcBorders>
            <w:noWrap/>
            <w:vAlign w:val="top"/>
          </w:tcPr>
          <w:p w14:paraId="3782A2B3">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w:t>
            </w:r>
          </w:p>
        </w:tc>
        <w:tc>
          <w:tcPr>
            <w:tcW w:w="6374" w:type="dxa"/>
            <w:tcBorders>
              <w:top w:val="single" w:color="auto" w:sz="4" w:space="0"/>
              <w:bottom w:val="single" w:color="auto" w:sz="4" w:space="0"/>
            </w:tcBorders>
            <w:vAlign w:val="top"/>
          </w:tcPr>
          <w:p w14:paraId="5072D688">
            <w:pPr>
              <w:spacing w:line="200" w:lineRule="exact"/>
              <w:jc w:val="left"/>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rPr>
              <w:t>The unadjusted associations between each candidate predictor and the results are shown in Table 1 and supporting table 2</w:t>
            </w:r>
            <w:r>
              <w:rPr>
                <w:rFonts w:hint="eastAsia" w:ascii="Times New Roman" w:hAnsi="Times New Roman" w:cs="Times New Roman"/>
                <w:sz w:val="18"/>
                <w:szCs w:val="18"/>
                <w:lang w:val="en-US" w:eastAsia="zh-CN"/>
              </w:rPr>
              <w:t>.</w:t>
            </w:r>
          </w:p>
        </w:tc>
      </w:tr>
      <w:tr w14:paraId="77F77A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029D08CD">
            <w:pPr>
              <w:spacing w:line="200" w:lineRule="exact"/>
              <w:jc w:val="left"/>
              <w:rPr>
                <w:rFonts w:ascii="Times New Roman" w:hAnsi="Times New Roman" w:cs="Times New Roman"/>
                <w:sz w:val="18"/>
                <w:szCs w:val="18"/>
                <w:highlight w:val="none"/>
              </w:rPr>
            </w:pPr>
            <w:r>
              <w:rPr>
                <w:rFonts w:hint="eastAsia" w:ascii="Times New Roman" w:hAnsi="Times New Roman" w:cs="Times New Roman"/>
                <w:sz w:val="18"/>
                <w:szCs w:val="18"/>
                <w:highlight w:val="none"/>
              </w:rPr>
              <w:t>Model specification</w:t>
            </w:r>
          </w:p>
        </w:tc>
        <w:tc>
          <w:tcPr>
            <w:tcW w:w="709" w:type="dxa"/>
            <w:tcBorders>
              <w:top w:val="single" w:color="auto" w:sz="4" w:space="0"/>
              <w:bottom w:val="single" w:color="auto" w:sz="4" w:space="0"/>
            </w:tcBorders>
            <w:noWrap/>
            <w:vAlign w:val="top"/>
          </w:tcPr>
          <w:p w14:paraId="621EE90C">
            <w:pPr>
              <w:spacing w:line="200" w:lineRule="exact"/>
              <w:jc w:val="left"/>
              <w:rPr>
                <w:rFonts w:ascii="Times New Roman" w:hAnsi="Times New Roman" w:cs="Times New Roman"/>
                <w:sz w:val="18"/>
                <w:szCs w:val="18"/>
                <w:highlight w:val="none"/>
              </w:rPr>
            </w:pPr>
            <w:r>
              <w:rPr>
                <w:rFonts w:hint="eastAsia" w:ascii="Times New Roman" w:hAnsi="Times New Roman" w:cs="Times New Roman"/>
                <w:sz w:val="18"/>
                <w:szCs w:val="18"/>
                <w:highlight w:val="none"/>
              </w:rPr>
              <w:t>15a</w:t>
            </w:r>
          </w:p>
        </w:tc>
        <w:tc>
          <w:tcPr>
            <w:tcW w:w="567" w:type="dxa"/>
            <w:tcBorders>
              <w:top w:val="single" w:color="auto" w:sz="4" w:space="0"/>
              <w:bottom w:val="single" w:color="auto" w:sz="4" w:space="0"/>
            </w:tcBorders>
            <w:noWrap/>
            <w:vAlign w:val="top"/>
          </w:tcPr>
          <w:p w14:paraId="61B9FF00">
            <w:pPr>
              <w:spacing w:line="200" w:lineRule="exact"/>
              <w:jc w:val="left"/>
              <w:rPr>
                <w:rFonts w:ascii="Times New Roman" w:hAnsi="Times New Roman" w:cs="Times New Roman"/>
                <w:sz w:val="18"/>
                <w:szCs w:val="18"/>
                <w:highlight w:val="none"/>
              </w:rPr>
            </w:pPr>
            <w:r>
              <w:rPr>
                <w:rFonts w:hint="eastAsia" w:ascii="Times New Roman" w:hAnsi="Times New Roman" w:cs="Times New Roman"/>
                <w:sz w:val="18"/>
                <w:szCs w:val="18"/>
                <w:highlight w:val="none"/>
              </w:rPr>
              <w:t>D</w:t>
            </w:r>
          </w:p>
        </w:tc>
        <w:tc>
          <w:tcPr>
            <w:tcW w:w="6374" w:type="dxa"/>
            <w:tcBorders>
              <w:top w:val="single" w:color="auto" w:sz="4" w:space="0"/>
              <w:bottom w:val="single" w:color="auto" w:sz="4" w:space="0"/>
            </w:tcBorders>
            <w:vAlign w:val="top"/>
          </w:tcPr>
          <w:p w14:paraId="7493414A">
            <w:pPr>
              <w:spacing w:line="200" w:lineRule="exact"/>
              <w:jc w:val="left"/>
              <w:rPr>
                <w:rFonts w:hint="eastAsia" w:ascii="Times New Roman" w:hAnsi="Times New Roman" w:cs="Times New Roman"/>
                <w:sz w:val="18"/>
                <w:szCs w:val="18"/>
                <w:highlight w:val="none"/>
              </w:rPr>
            </w:pPr>
            <w:r>
              <w:rPr>
                <w:rFonts w:hint="eastAsia" w:ascii="Times New Roman" w:hAnsi="Times New Roman" w:cs="Times New Roman"/>
                <w:sz w:val="18"/>
                <w:szCs w:val="18"/>
                <w:highlight w:val="none"/>
              </w:rPr>
              <w:t>Since we have generated a logistic regression nomogram, here we use the logistic regression model as an example.For binary classification problems, we have a dependent variable y that can only take two values, such as 0 and 1, representing negative and positive results respectively. We also have a series of independent variables x1,x2,... ,xm, they are the factors that affect the dependent variable. Logistic regression models try to find relationships between these independent and dependent variables.</w:t>
            </w:r>
          </w:p>
          <w:p w14:paraId="32BE9D4C">
            <w:pPr>
              <w:spacing w:line="200" w:lineRule="exact"/>
              <w:jc w:val="left"/>
              <w:rPr>
                <w:rFonts w:hint="eastAsia" w:ascii="Times New Roman" w:hAnsi="Times New Roman" w:cs="Times New Roman"/>
                <w:sz w:val="18"/>
                <w:szCs w:val="18"/>
                <w:highlight w:val="none"/>
              </w:rPr>
            </w:pPr>
            <w:r>
              <w:rPr>
                <w:highlight w:val="none"/>
              </w:rPr>
              <w:drawing>
                <wp:anchor distT="0" distB="0" distL="114300" distR="114300" simplePos="0" relativeHeight="251659264" behindDoc="0" locked="0" layoutInCell="1" allowOverlap="1">
                  <wp:simplePos x="0" y="0"/>
                  <wp:positionH relativeFrom="column">
                    <wp:posOffset>-13970</wp:posOffset>
                  </wp:positionH>
                  <wp:positionV relativeFrom="paragraph">
                    <wp:posOffset>8255</wp:posOffset>
                  </wp:positionV>
                  <wp:extent cx="3906520" cy="386080"/>
                  <wp:effectExtent l="0" t="0" r="8255" b="444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rcRect t="21447"/>
                          <a:stretch>
                            <a:fillRect/>
                          </a:stretch>
                        </pic:blipFill>
                        <pic:spPr>
                          <a:xfrm>
                            <a:off x="0" y="0"/>
                            <a:ext cx="3906520" cy="386080"/>
                          </a:xfrm>
                          <a:prstGeom prst="rect">
                            <a:avLst/>
                          </a:prstGeom>
                          <a:noFill/>
                          <a:ln>
                            <a:noFill/>
                          </a:ln>
                        </pic:spPr>
                      </pic:pic>
                    </a:graphicData>
                  </a:graphic>
                </wp:anchor>
              </w:drawing>
            </w:r>
          </w:p>
          <w:p w14:paraId="4EF2A537">
            <w:pPr>
              <w:spacing w:line="200" w:lineRule="exact"/>
              <w:jc w:val="left"/>
              <w:rPr>
                <w:rFonts w:hint="eastAsia" w:ascii="Times New Roman" w:hAnsi="Times New Roman" w:eastAsia="微软雅黑" w:cs="Times New Roman"/>
                <w:sz w:val="18"/>
                <w:szCs w:val="18"/>
                <w:highlight w:val="none"/>
                <w:lang w:val="en-US" w:eastAsia="zh-CN"/>
              </w:rPr>
            </w:pPr>
            <w:r>
              <w:rPr>
                <w:rFonts w:hint="eastAsia" w:ascii="Times New Roman" w:hAnsi="Times New Roman" w:cs="Times New Roman"/>
                <w:sz w:val="18"/>
                <w:szCs w:val="18"/>
                <w:highlight w:val="none"/>
              </w:rPr>
              <w:t>Here, P(y=1) _ x1,x2... ,xm) represents the probability that the dependent variable takes on the value of 1 given the independent variable. And beta 0, beta 1, beta 2... Beta m are model parameters that need to be estimated from the data.</w:t>
            </w:r>
          </w:p>
        </w:tc>
      </w:tr>
      <w:tr w14:paraId="4A1B1E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bottom w:val="single" w:color="auto" w:sz="4" w:space="0"/>
            </w:tcBorders>
            <w:noWrap/>
            <w:vAlign w:val="top"/>
          </w:tcPr>
          <w:p w14:paraId="7BEF1C1B">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385509A8">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15b</w:t>
            </w:r>
          </w:p>
        </w:tc>
        <w:tc>
          <w:tcPr>
            <w:tcW w:w="567" w:type="dxa"/>
            <w:tcBorders>
              <w:top w:val="single" w:color="auto" w:sz="4" w:space="0"/>
              <w:bottom w:val="single" w:color="auto" w:sz="4" w:space="0"/>
            </w:tcBorders>
            <w:noWrap/>
            <w:vAlign w:val="top"/>
          </w:tcPr>
          <w:p w14:paraId="347E9A84">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w:t>
            </w:r>
          </w:p>
        </w:tc>
        <w:tc>
          <w:tcPr>
            <w:tcW w:w="6374" w:type="dxa"/>
            <w:tcBorders>
              <w:top w:val="single" w:color="auto" w:sz="4" w:space="0"/>
              <w:bottom w:val="single" w:color="auto" w:sz="4" w:space="0"/>
            </w:tcBorders>
            <w:vAlign w:val="top"/>
          </w:tcPr>
          <w:p w14:paraId="457B90D0">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 xml:space="preserve">We construct a </w:t>
            </w:r>
            <w:r>
              <w:rPr>
                <w:rFonts w:hint="eastAsia" w:ascii="Times New Roman" w:hAnsi="Times New Roman" w:cs="Times New Roman"/>
                <w:sz w:val="18"/>
                <w:szCs w:val="18"/>
                <w:highlight w:val="none"/>
              </w:rPr>
              <w:t>nomogram</w:t>
            </w:r>
            <w:r>
              <w:rPr>
                <w:rFonts w:hint="eastAsia" w:ascii="Times New Roman" w:hAnsi="Times New Roman" w:cs="Times New Roman"/>
                <w:sz w:val="18"/>
                <w:szCs w:val="18"/>
              </w:rPr>
              <w:t xml:space="preserve"> based on logistic regression</w:t>
            </w:r>
            <w:r>
              <w:rPr>
                <w:rFonts w:hint="eastAsia" w:ascii="Times New Roman" w:hAnsi="Times New Roman" w:cs="Times New Roman"/>
                <w:sz w:val="18"/>
                <w:szCs w:val="18"/>
                <w:lang w:val="en-US" w:eastAsia="zh-CN"/>
              </w:rPr>
              <w:t xml:space="preserve">(Supporting Figure </w:t>
            </w:r>
            <w:r>
              <w:rPr>
                <w:rFonts w:hint="eastAsia" w:cs="Times New Roman"/>
                <w:sz w:val="18"/>
                <w:szCs w:val="18"/>
                <w:lang w:val="en-US" w:eastAsia="zh-CN"/>
              </w:rPr>
              <w:t>1</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rPr>
              <w:t>. Users can enter a number based on their condition to obtain a probability score for depression.</w:t>
            </w:r>
          </w:p>
        </w:tc>
      </w:tr>
      <w:tr w14:paraId="1914B1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2E2BC6A8">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Model performance</w:t>
            </w:r>
          </w:p>
        </w:tc>
        <w:tc>
          <w:tcPr>
            <w:tcW w:w="709" w:type="dxa"/>
            <w:tcBorders>
              <w:top w:val="single" w:color="auto" w:sz="4" w:space="0"/>
              <w:bottom w:val="single" w:color="auto" w:sz="4" w:space="0"/>
            </w:tcBorders>
            <w:noWrap/>
            <w:vAlign w:val="top"/>
          </w:tcPr>
          <w:p w14:paraId="0159D96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16</w:t>
            </w:r>
          </w:p>
        </w:tc>
        <w:tc>
          <w:tcPr>
            <w:tcW w:w="567" w:type="dxa"/>
            <w:tcBorders>
              <w:top w:val="single" w:color="auto" w:sz="4" w:space="0"/>
              <w:bottom w:val="single" w:color="auto" w:sz="4" w:space="0"/>
            </w:tcBorders>
            <w:noWrap/>
            <w:vAlign w:val="top"/>
          </w:tcPr>
          <w:p w14:paraId="14DD6CBC">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6A4D108D">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The performance indicators of all Prediction Models are described in 3.2 Development and Validation of Prediction Models.</w:t>
            </w:r>
          </w:p>
        </w:tc>
      </w:tr>
      <w:tr w14:paraId="7AE9C2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5ED5171A">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Model-updating</w:t>
            </w:r>
          </w:p>
        </w:tc>
        <w:tc>
          <w:tcPr>
            <w:tcW w:w="709" w:type="dxa"/>
            <w:tcBorders>
              <w:top w:val="single" w:color="auto" w:sz="4" w:space="0"/>
              <w:bottom w:val="single" w:color="auto" w:sz="4" w:space="0"/>
            </w:tcBorders>
            <w:noWrap/>
            <w:vAlign w:val="top"/>
          </w:tcPr>
          <w:p w14:paraId="5AF8C1AF">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17</w:t>
            </w:r>
          </w:p>
        </w:tc>
        <w:tc>
          <w:tcPr>
            <w:tcW w:w="567" w:type="dxa"/>
            <w:tcBorders>
              <w:top w:val="single" w:color="auto" w:sz="4" w:space="0"/>
              <w:bottom w:val="single" w:color="auto" w:sz="4" w:space="0"/>
            </w:tcBorders>
            <w:noWrap/>
            <w:vAlign w:val="top"/>
          </w:tcPr>
          <w:p w14:paraId="2A8AFBD2">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V</w:t>
            </w:r>
          </w:p>
        </w:tc>
        <w:tc>
          <w:tcPr>
            <w:tcW w:w="6374" w:type="dxa"/>
            <w:tcBorders>
              <w:top w:val="single" w:color="auto" w:sz="4" w:space="0"/>
              <w:bottom w:val="single" w:color="auto" w:sz="4" w:space="0"/>
            </w:tcBorders>
            <w:vAlign w:val="top"/>
          </w:tcPr>
          <w:p w14:paraId="09152F98">
            <w:pPr>
              <w:spacing w:line="200" w:lineRule="exact"/>
              <w:jc w:val="left"/>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rPr>
              <w:t>The current performance indicators of the model were obtained by using bootstrap verification, and the specific indicators are shown in Table 2</w:t>
            </w:r>
            <w:r>
              <w:rPr>
                <w:rFonts w:hint="eastAsia" w:ascii="Times New Roman" w:hAnsi="Times New Roman" w:cs="Times New Roman"/>
                <w:sz w:val="18"/>
                <w:szCs w:val="18"/>
                <w:lang w:val="en-US" w:eastAsia="zh-CN"/>
              </w:rPr>
              <w:t>.</w:t>
            </w:r>
          </w:p>
        </w:tc>
      </w:tr>
      <w:tr w14:paraId="7B31A9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shd w:val="clear" w:color="auto" w:fill="FFCCCC"/>
            <w:noWrap/>
            <w:vAlign w:val="top"/>
          </w:tcPr>
          <w:p w14:paraId="09B2D23A">
            <w:pPr>
              <w:spacing w:line="200" w:lineRule="exact"/>
              <w:jc w:val="left"/>
              <w:rPr>
                <w:rFonts w:ascii="Times New Roman" w:hAnsi="Times New Roman" w:cs="Times New Roman"/>
                <w:b/>
                <w:bCs/>
                <w:sz w:val="18"/>
                <w:szCs w:val="18"/>
              </w:rPr>
            </w:pPr>
            <w:r>
              <w:rPr>
                <w:rFonts w:hint="eastAsia" w:ascii="Times New Roman" w:hAnsi="Times New Roman" w:cs="Times New Roman"/>
                <w:b/>
                <w:bCs/>
                <w:sz w:val="18"/>
                <w:szCs w:val="18"/>
              </w:rPr>
              <w:t>Discussion</w:t>
            </w:r>
          </w:p>
        </w:tc>
        <w:tc>
          <w:tcPr>
            <w:tcW w:w="709" w:type="dxa"/>
            <w:tcBorders>
              <w:top w:val="single" w:color="auto" w:sz="4" w:space="0"/>
              <w:bottom w:val="single" w:color="auto" w:sz="4" w:space="0"/>
            </w:tcBorders>
            <w:shd w:val="clear" w:color="auto" w:fill="FFCCCC"/>
            <w:noWrap/>
            <w:vAlign w:val="top"/>
          </w:tcPr>
          <w:p w14:paraId="7FE371EC">
            <w:pPr>
              <w:spacing w:line="200" w:lineRule="exact"/>
              <w:jc w:val="left"/>
              <w:rPr>
                <w:rFonts w:ascii="Times New Roman" w:hAnsi="Times New Roman" w:cs="Times New Roman"/>
                <w:b/>
                <w:bCs/>
                <w:sz w:val="18"/>
                <w:szCs w:val="18"/>
              </w:rPr>
            </w:pPr>
          </w:p>
        </w:tc>
        <w:tc>
          <w:tcPr>
            <w:tcW w:w="567" w:type="dxa"/>
            <w:tcBorders>
              <w:top w:val="single" w:color="auto" w:sz="4" w:space="0"/>
              <w:bottom w:val="single" w:color="auto" w:sz="4" w:space="0"/>
            </w:tcBorders>
            <w:shd w:val="clear" w:color="auto" w:fill="FFCCCC"/>
            <w:noWrap/>
            <w:vAlign w:val="top"/>
          </w:tcPr>
          <w:p w14:paraId="7790FF3C">
            <w:pPr>
              <w:spacing w:line="200" w:lineRule="exact"/>
              <w:jc w:val="left"/>
              <w:rPr>
                <w:rFonts w:ascii="Times New Roman" w:hAnsi="Times New Roman" w:cs="Times New Roman"/>
                <w:b/>
                <w:bCs/>
                <w:sz w:val="18"/>
                <w:szCs w:val="18"/>
              </w:rPr>
            </w:pPr>
          </w:p>
        </w:tc>
        <w:tc>
          <w:tcPr>
            <w:tcW w:w="6374" w:type="dxa"/>
            <w:tcBorders>
              <w:top w:val="single" w:color="auto" w:sz="4" w:space="0"/>
              <w:bottom w:val="single" w:color="auto" w:sz="4" w:space="0"/>
            </w:tcBorders>
            <w:shd w:val="clear" w:color="auto" w:fill="FFCCCC"/>
            <w:vAlign w:val="top"/>
          </w:tcPr>
          <w:p w14:paraId="6358B68E">
            <w:pPr>
              <w:spacing w:line="200" w:lineRule="exact"/>
              <w:jc w:val="left"/>
              <w:rPr>
                <w:rFonts w:ascii="Times New Roman" w:hAnsi="Times New Roman" w:cs="Times New Roman"/>
                <w:b/>
                <w:bCs/>
                <w:sz w:val="18"/>
                <w:szCs w:val="18"/>
              </w:rPr>
            </w:pPr>
          </w:p>
        </w:tc>
      </w:tr>
      <w:tr w14:paraId="690522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369A4DDC">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Limitations</w:t>
            </w:r>
          </w:p>
        </w:tc>
        <w:tc>
          <w:tcPr>
            <w:tcW w:w="709" w:type="dxa"/>
            <w:tcBorders>
              <w:top w:val="single" w:color="auto" w:sz="4" w:space="0"/>
              <w:bottom w:val="single" w:color="auto" w:sz="4" w:space="0"/>
            </w:tcBorders>
            <w:noWrap/>
            <w:vAlign w:val="top"/>
          </w:tcPr>
          <w:p w14:paraId="2F10444E">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18</w:t>
            </w:r>
          </w:p>
        </w:tc>
        <w:tc>
          <w:tcPr>
            <w:tcW w:w="567" w:type="dxa"/>
            <w:tcBorders>
              <w:top w:val="single" w:color="auto" w:sz="4" w:space="0"/>
              <w:bottom w:val="single" w:color="auto" w:sz="4" w:space="0"/>
            </w:tcBorders>
            <w:noWrap/>
            <w:vAlign w:val="top"/>
          </w:tcPr>
          <w:p w14:paraId="0B4ED99D">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6F881208">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This was a single-center retrospective study, and the results were dependent on the composition of these limited data, which may have biased the results. Therefore, further prospective studies in multicenter populations are needed, and more factors that influence the occurrence of depression can be incorporated to build a comprehensive model combined with heart rate variability.</w:t>
            </w:r>
          </w:p>
        </w:tc>
      </w:tr>
      <w:tr w14:paraId="22BC37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0D99704E">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Interpretation</w:t>
            </w:r>
          </w:p>
        </w:tc>
        <w:tc>
          <w:tcPr>
            <w:tcW w:w="709" w:type="dxa"/>
            <w:tcBorders>
              <w:top w:val="single" w:color="auto" w:sz="4" w:space="0"/>
              <w:bottom w:val="single" w:color="auto" w:sz="4" w:space="0"/>
            </w:tcBorders>
            <w:noWrap/>
            <w:vAlign w:val="top"/>
          </w:tcPr>
          <w:p w14:paraId="167744D4">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19a</w:t>
            </w:r>
          </w:p>
        </w:tc>
        <w:tc>
          <w:tcPr>
            <w:tcW w:w="567" w:type="dxa"/>
            <w:tcBorders>
              <w:top w:val="single" w:color="auto" w:sz="4" w:space="0"/>
              <w:bottom w:val="single" w:color="auto" w:sz="4" w:space="0"/>
            </w:tcBorders>
            <w:noWrap/>
            <w:vAlign w:val="top"/>
          </w:tcPr>
          <w:p w14:paraId="6990CAFD">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V</w:t>
            </w:r>
          </w:p>
        </w:tc>
        <w:tc>
          <w:tcPr>
            <w:tcW w:w="6374" w:type="dxa"/>
            <w:tcBorders>
              <w:top w:val="single" w:color="auto" w:sz="4" w:space="0"/>
              <w:bottom w:val="single" w:color="auto" w:sz="4" w:space="0"/>
            </w:tcBorders>
            <w:vAlign w:val="top"/>
          </w:tcPr>
          <w:p w14:paraId="5169F192">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For validation, discuss the results with reference to performance in the development data, and any other validation data.</w:t>
            </w:r>
          </w:p>
        </w:tc>
      </w:tr>
      <w:tr w14:paraId="5C66DD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bottom w:val="single" w:color="auto" w:sz="4" w:space="0"/>
            </w:tcBorders>
            <w:noWrap/>
            <w:vAlign w:val="top"/>
          </w:tcPr>
          <w:p w14:paraId="18D80436">
            <w:pPr>
              <w:spacing w:line="200" w:lineRule="exact"/>
              <w:jc w:val="left"/>
              <w:rPr>
                <w:rFonts w:ascii="Times New Roman" w:hAnsi="Times New Roman" w:cs="Times New Roman"/>
                <w:sz w:val="18"/>
                <w:szCs w:val="18"/>
              </w:rPr>
            </w:pPr>
          </w:p>
        </w:tc>
        <w:tc>
          <w:tcPr>
            <w:tcW w:w="709" w:type="dxa"/>
            <w:tcBorders>
              <w:top w:val="single" w:color="auto" w:sz="4" w:space="0"/>
              <w:bottom w:val="single" w:color="auto" w:sz="4" w:space="0"/>
            </w:tcBorders>
            <w:noWrap/>
            <w:vAlign w:val="top"/>
          </w:tcPr>
          <w:p w14:paraId="69A517F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19b</w:t>
            </w:r>
          </w:p>
        </w:tc>
        <w:tc>
          <w:tcPr>
            <w:tcW w:w="567" w:type="dxa"/>
            <w:tcBorders>
              <w:top w:val="single" w:color="auto" w:sz="4" w:space="0"/>
              <w:bottom w:val="single" w:color="auto" w:sz="4" w:space="0"/>
            </w:tcBorders>
            <w:noWrap/>
            <w:vAlign w:val="top"/>
          </w:tcPr>
          <w:p w14:paraId="6E9A4CF4">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5D48D965">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The test set performance of the four predictive models is lower than that of the training set, but the AUC of the four test sets is above 0.7, and all have good calibration and clinical utility.</w:t>
            </w:r>
          </w:p>
        </w:tc>
      </w:tr>
      <w:tr w14:paraId="50E7A3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66C5A12E">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Implications</w:t>
            </w:r>
          </w:p>
        </w:tc>
        <w:tc>
          <w:tcPr>
            <w:tcW w:w="709" w:type="dxa"/>
            <w:tcBorders>
              <w:top w:val="single" w:color="auto" w:sz="4" w:space="0"/>
              <w:bottom w:val="single" w:color="auto" w:sz="4" w:space="0"/>
            </w:tcBorders>
            <w:noWrap/>
            <w:vAlign w:val="top"/>
          </w:tcPr>
          <w:p w14:paraId="1EA0F867">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20</w:t>
            </w:r>
          </w:p>
        </w:tc>
        <w:tc>
          <w:tcPr>
            <w:tcW w:w="567" w:type="dxa"/>
            <w:tcBorders>
              <w:top w:val="single" w:color="auto" w:sz="4" w:space="0"/>
              <w:bottom w:val="single" w:color="auto" w:sz="4" w:space="0"/>
            </w:tcBorders>
            <w:noWrap/>
            <w:vAlign w:val="top"/>
          </w:tcPr>
          <w:p w14:paraId="686A9D45">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588C670C">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The XGBoost model based on SHAP provides a quantitative auxiliary diagnostic tool for clinicians, which is conducive to improving the accuracy and efficiency of diagnosis, and can also be used for the monitoring and prevention of depression.This provides strong support for clinical treatment and disease management.</w:t>
            </w:r>
          </w:p>
        </w:tc>
      </w:tr>
      <w:tr w14:paraId="5F26B4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shd w:val="clear" w:color="auto" w:fill="FFCCCC"/>
            <w:noWrap/>
            <w:vAlign w:val="top"/>
          </w:tcPr>
          <w:p w14:paraId="0181A978">
            <w:pPr>
              <w:spacing w:line="200" w:lineRule="exact"/>
              <w:jc w:val="left"/>
              <w:rPr>
                <w:rFonts w:ascii="Times New Roman" w:hAnsi="Times New Roman" w:cs="Times New Roman"/>
                <w:b/>
                <w:bCs/>
                <w:sz w:val="18"/>
                <w:szCs w:val="18"/>
              </w:rPr>
            </w:pPr>
            <w:r>
              <w:rPr>
                <w:rFonts w:hint="eastAsia" w:ascii="Times New Roman" w:hAnsi="Times New Roman" w:cs="Times New Roman"/>
                <w:b/>
                <w:bCs/>
                <w:sz w:val="18"/>
                <w:szCs w:val="18"/>
              </w:rPr>
              <w:t>Other information</w:t>
            </w:r>
          </w:p>
        </w:tc>
        <w:tc>
          <w:tcPr>
            <w:tcW w:w="709" w:type="dxa"/>
            <w:tcBorders>
              <w:top w:val="single" w:color="auto" w:sz="4" w:space="0"/>
              <w:bottom w:val="single" w:color="auto" w:sz="4" w:space="0"/>
            </w:tcBorders>
            <w:shd w:val="clear" w:color="auto" w:fill="FFCCCC"/>
            <w:noWrap/>
            <w:vAlign w:val="top"/>
          </w:tcPr>
          <w:p w14:paraId="360ECB60">
            <w:pPr>
              <w:spacing w:line="200" w:lineRule="exact"/>
              <w:jc w:val="left"/>
              <w:rPr>
                <w:rFonts w:ascii="Times New Roman" w:hAnsi="Times New Roman" w:cs="Times New Roman"/>
                <w:b/>
                <w:bCs/>
                <w:sz w:val="18"/>
                <w:szCs w:val="18"/>
              </w:rPr>
            </w:pPr>
          </w:p>
        </w:tc>
        <w:tc>
          <w:tcPr>
            <w:tcW w:w="567" w:type="dxa"/>
            <w:tcBorders>
              <w:top w:val="single" w:color="auto" w:sz="4" w:space="0"/>
              <w:bottom w:val="single" w:color="auto" w:sz="4" w:space="0"/>
            </w:tcBorders>
            <w:shd w:val="clear" w:color="auto" w:fill="FFCCCC"/>
            <w:noWrap/>
            <w:vAlign w:val="top"/>
          </w:tcPr>
          <w:p w14:paraId="7C08BE62">
            <w:pPr>
              <w:spacing w:line="200" w:lineRule="exact"/>
              <w:jc w:val="left"/>
              <w:rPr>
                <w:rFonts w:ascii="Times New Roman" w:hAnsi="Times New Roman" w:cs="Times New Roman"/>
                <w:b/>
                <w:bCs/>
                <w:sz w:val="18"/>
                <w:szCs w:val="18"/>
              </w:rPr>
            </w:pPr>
          </w:p>
        </w:tc>
        <w:tc>
          <w:tcPr>
            <w:tcW w:w="6374" w:type="dxa"/>
            <w:tcBorders>
              <w:top w:val="single" w:color="auto" w:sz="4" w:space="0"/>
              <w:bottom w:val="single" w:color="auto" w:sz="4" w:space="0"/>
            </w:tcBorders>
            <w:shd w:val="clear" w:color="auto" w:fill="FFCCCC"/>
            <w:vAlign w:val="top"/>
          </w:tcPr>
          <w:p w14:paraId="2580DFB8">
            <w:pPr>
              <w:spacing w:line="200" w:lineRule="exact"/>
              <w:jc w:val="left"/>
              <w:rPr>
                <w:rFonts w:ascii="Times New Roman" w:hAnsi="Times New Roman" w:cs="Times New Roman"/>
                <w:b/>
                <w:bCs/>
                <w:sz w:val="18"/>
                <w:szCs w:val="18"/>
              </w:rPr>
            </w:pPr>
          </w:p>
        </w:tc>
      </w:tr>
      <w:tr w14:paraId="089B9F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bottom w:val="single" w:color="auto" w:sz="4" w:space="0"/>
            </w:tcBorders>
            <w:noWrap/>
            <w:vAlign w:val="top"/>
          </w:tcPr>
          <w:p w14:paraId="66088E78">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Supplementary information</w:t>
            </w:r>
          </w:p>
        </w:tc>
        <w:tc>
          <w:tcPr>
            <w:tcW w:w="709" w:type="dxa"/>
            <w:tcBorders>
              <w:top w:val="single" w:color="auto" w:sz="4" w:space="0"/>
              <w:bottom w:val="single" w:color="auto" w:sz="4" w:space="0"/>
            </w:tcBorders>
            <w:noWrap/>
            <w:vAlign w:val="top"/>
          </w:tcPr>
          <w:p w14:paraId="5C80334B">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21</w:t>
            </w:r>
          </w:p>
        </w:tc>
        <w:tc>
          <w:tcPr>
            <w:tcW w:w="567" w:type="dxa"/>
            <w:tcBorders>
              <w:top w:val="single" w:color="auto" w:sz="4" w:space="0"/>
              <w:bottom w:val="single" w:color="auto" w:sz="4" w:space="0"/>
            </w:tcBorders>
            <w:noWrap/>
            <w:vAlign w:val="top"/>
          </w:tcPr>
          <w:p w14:paraId="3B1FD0D9">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bottom w:val="single" w:color="auto" w:sz="4" w:space="0"/>
            </w:tcBorders>
            <w:vAlign w:val="top"/>
          </w:tcPr>
          <w:p w14:paraId="324B4FB2">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Because the data set used is a non-public data set, the data cannot be disclosed in order to protect patient privacy. The study design is shown in Figure 1 for reference. The results of the optimal model and the other three Delong tests are provided in the support material, which shows that the effect of our XGBoost model is statistically significant.</w:t>
            </w:r>
          </w:p>
        </w:tc>
      </w:tr>
      <w:tr w14:paraId="258AC7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701" w:type="dxa"/>
            <w:tcBorders>
              <w:top w:val="single" w:color="auto" w:sz="4" w:space="0"/>
            </w:tcBorders>
            <w:noWrap/>
            <w:vAlign w:val="top"/>
          </w:tcPr>
          <w:p w14:paraId="1D686A2E">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Funding</w:t>
            </w:r>
          </w:p>
        </w:tc>
        <w:tc>
          <w:tcPr>
            <w:tcW w:w="709" w:type="dxa"/>
            <w:tcBorders>
              <w:top w:val="single" w:color="auto" w:sz="4" w:space="0"/>
            </w:tcBorders>
            <w:noWrap/>
            <w:vAlign w:val="top"/>
          </w:tcPr>
          <w:p w14:paraId="45A9427D">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22</w:t>
            </w:r>
          </w:p>
        </w:tc>
        <w:tc>
          <w:tcPr>
            <w:tcW w:w="567" w:type="dxa"/>
            <w:tcBorders>
              <w:top w:val="single" w:color="auto" w:sz="4" w:space="0"/>
            </w:tcBorders>
            <w:noWrap/>
            <w:vAlign w:val="top"/>
          </w:tcPr>
          <w:p w14:paraId="74437740">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D;V</w:t>
            </w:r>
          </w:p>
        </w:tc>
        <w:tc>
          <w:tcPr>
            <w:tcW w:w="6374" w:type="dxa"/>
            <w:tcBorders>
              <w:top w:val="single" w:color="auto" w:sz="4" w:space="0"/>
            </w:tcBorders>
            <w:vAlign w:val="top"/>
          </w:tcPr>
          <w:p w14:paraId="5ECA8065">
            <w:pPr>
              <w:spacing w:line="200" w:lineRule="exact"/>
              <w:jc w:val="left"/>
              <w:rPr>
                <w:rFonts w:ascii="Times New Roman" w:hAnsi="Times New Roman" w:cs="Times New Roman"/>
                <w:sz w:val="18"/>
                <w:szCs w:val="18"/>
              </w:rPr>
            </w:pPr>
            <w:r>
              <w:rPr>
                <w:rFonts w:hint="eastAsia" w:ascii="Times New Roman" w:hAnsi="Times New Roman" w:cs="Times New Roman"/>
                <w:sz w:val="18"/>
                <w:szCs w:val="18"/>
              </w:rPr>
              <w:t>This research was supported by Sichuan Science and Technology Program (Grant No. 2024NSFSC0491), Central Nervous System Drug Key Laboratory of Sichuan Province (Grant No. 210025-01SZ) and Health Information Association of Sichuan Province (Grant No. 2022001). Funding is only financial and independent of study design, collection, analysis and interpretation of data, writing the study protocol or decision to submit.</w:t>
            </w:r>
          </w:p>
        </w:tc>
      </w:tr>
    </w:tbl>
    <w:p w14:paraId="35ACFA15">
      <w:pPr>
        <w:jc w:val="both"/>
        <w:rPr>
          <w:rFonts w:ascii="Times New Roman" w:hAnsi="Times New Roman" w:cs="Times New Roman"/>
          <w:sz w:val="18"/>
          <w:szCs w:val="18"/>
        </w:rPr>
      </w:pPr>
      <w:r>
        <w:rPr>
          <w:rFonts w:ascii="Times New Roman" w:hAnsi="Times New Roman" w:cs="Times New Roman"/>
          <w:sz w:val="18"/>
          <w:szCs w:val="18"/>
        </w:rPr>
        <w:t>Items relevant only to the development of a prediction model are denoted by D, items relating solely to a validation of a prediction model are denoted by V, and items relating to both are denoted D;V.</w:t>
      </w:r>
      <w:r>
        <w:rPr>
          <w:rFonts w:asciiTheme="minorHAnsi" w:hAnsiTheme="minorHAnsi" w:cstheme="minorBidi"/>
        </w:rPr>
        <w:t xml:space="preserve"> </w:t>
      </w:r>
      <w:r>
        <w:rPr>
          <w:rFonts w:ascii="Times New Roman" w:hAnsi="Times New Roman" w:cs="Times New Roman"/>
          <w:sz w:val="18"/>
          <w:szCs w:val="18"/>
        </w:rPr>
        <w:t>Some of the items were not applicable (NA) to the current study.</w:t>
      </w:r>
    </w:p>
    <w:p w14:paraId="084EFD6F">
      <w:pPr>
        <w:jc w:val="both"/>
        <w:rPr>
          <w:rFonts w:hint="eastAsia"/>
          <w:b/>
          <w:bCs/>
          <w:sz w:val="24"/>
          <w:szCs w:val="24"/>
        </w:rPr>
      </w:pPr>
    </w:p>
    <w:p w14:paraId="2A2B6D4F">
      <w:pPr>
        <w:jc w:val="both"/>
      </w:pPr>
      <w:bookmarkStart w:id="0" w:name="_Hlk156952036"/>
    </w:p>
    <w:p w14:paraId="59B011AD">
      <w:pPr>
        <w:ind w:firstLine="480" w:firstLineChars="200"/>
        <w:jc w:val="both"/>
        <w:rPr>
          <w:rFonts w:ascii="Times New Roman" w:hAnsi="Times New Roman" w:eastAsiaTheme="minorEastAsia"/>
          <w:sz w:val="24"/>
          <w:szCs w:val="24"/>
        </w:rPr>
      </w:pPr>
      <w:r>
        <w:rPr>
          <w:rFonts w:hint="eastAsia" w:ascii="Times New Roman" w:hAnsi="Times New Roman" w:eastAsiaTheme="minorEastAsia"/>
          <w:sz w:val="24"/>
          <w:szCs w:val="24"/>
        </w:rPr>
        <w:t>The Delong test is an essential statistical approach for comparing the AUC values of two models, offering a robust statistical basis for assessing the performance disparities of the models.</w:t>
      </w:r>
      <w:r>
        <w:rPr>
          <w:rFonts w:ascii="Times New Roman" w:hAnsi="Times New Roman" w:eastAsiaTheme="minorEastAsia"/>
          <w:sz w:val="24"/>
          <w:szCs w:val="24"/>
        </w:rPr>
        <w:t>The DeLong test (Supplemental Table 2) showed that the performance of XGBoost model was better than the</w:t>
      </w:r>
      <w:r>
        <w:rPr>
          <w:rFonts w:hint="eastAsia" w:ascii="Times New Roman" w:hAnsi="Times New Roman" w:eastAsiaTheme="minorEastAsia"/>
          <w:sz w:val="24"/>
          <w:szCs w:val="24"/>
        </w:rPr>
        <w:t xml:space="preserve"> other models</w:t>
      </w:r>
      <w:r>
        <w:rPr>
          <w:rFonts w:ascii="Times New Roman" w:hAnsi="Times New Roman" w:eastAsiaTheme="minorEastAsia"/>
          <w:color w:val="000000" w:themeColor="text1"/>
          <w:sz w:val="24"/>
          <w:szCs w:val="24"/>
          <w14:textFill>
            <w14:solidFill>
              <w14:schemeClr w14:val="tx1"/>
            </w14:solidFill>
          </w14:textFill>
        </w:rPr>
        <w:t xml:space="preserve"> (p&lt; 0.0</w:t>
      </w:r>
      <w:r>
        <w:rPr>
          <w:rFonts w:hint="eastAsia" w:ascii="Times New Roman" w:hAnsi="Times New Roman" w:eastAsiaTheme="minorEastAsia"/>
          <w:color w:val="000000" w:themeColor="text1"/>
          <w:sz w:val="24"/>
          <w:szCs w:val="24"/>
          <w14:textFill>
            <w14:solidFill>
              <w14:schemeClr w14:val="tx1"/>
            </w14:solidFill>
          </w14:textFill>
        </w:rPr>
        <w:t>5</w:t>
      </w:r>
      <w:r>
        <w:rPr>
          <w:rFonts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sz w:val="24"/>
          <w:szCs w:val="24"/>
        </w:rPr>
        <w:t>.</w:t>
      </w:r>
    </w:p>
    <w:p w14:paraId="0B3864DE">
      <w:pPr>
        <w:ind w:firstLine="480" w:firstLineChars="200"/>
        <w:jc w:val="both"/>
        <w:rPr>
          <w:rFonts w:ascii="Times New Roman" w:hAnsi="Times New Roman" w:eastAsiaTheme="minorEastAsia"/>
          <w:sz w:val="24"/>
          <w:szCs w:val="24"/>
        </w:rPr>
      </w:pPr>
      <w:bookmarkStart w:id="1" w:name="_GoBack"/>
      <w:bookmarkEnd w:id="1"/>
    </w:p>
    <w:p w14:paraId="29A483C5">
      <w:pPr>
        <w:ind w:firstLine="480" w:firstLineChars="200"/>
        <w:jc w:val="both"/>
        <w:rPr>
          <w:rFonts w:ascii="Times New Roman" w:hAnsi="Times New Roman" w:eastAsiaTheme="minorEastAsia"/>
          <w:sz w:val="24"/>
          <w:szCs w:val="24"/>
        </w:rPr>
      </w:pPr>
    </w:p>
    <w:p w14:paraId="51574A22">
      <w:pPr>
        <w:jc w:val="both"/>
        <w:rPr>
          <w:rFonts w:hint="eastAsia"/>
          <w:sz w:val="24"/>
          <w:szCs w:val="24"/>
        </w:rPr>
      </w:pPr>
      <w:r>
        <w:rPr>
          <w:b/>
          <w:bCs/>
          <w:sz w:val="24"/>
          <w:szCs w:val="24"/>
        </w:rPr>
        <w:t xml:space="preserve">Table </w:t>
      </w:r>
      <w:r>
        <w:rPr>
          <w:rFonts w:hint="eastAsia"/>
          <w:b/>
          <w:bCs/>
          <w:sz w:val="24"/>
          <w:szCs w:val="24"/>
          <w:lang w:val="en-US" w:eastAsia="zh-CN"/>
        </w:rPr>
        <w:t>2</w:t>
      </w:r>
      <w:r>
        <w:rPr>
          <w:b/>
          <w:bCs/>
          <w:sz w:val="24"/>
          <w:szCs w:val="24"/>
        </w:rPr>
        <w:t xml:space="preserve"> </w:t>
      </w:r>
      <w:r>
        <w:rPr>
          <w:rFonts w:hint="eastAsia"/>
          <w:sz w:val="24"/>
          <w:szCs w:val="24"/>
        </w:rPr>
        <w:t>ROC curve comparison between the three models and XGBoost model (Delong test).</w:t>
      </w:r>
    </w:p>
    <w:p w14:paraId="14928EE7">
      <w:pPr>
        <w:jc w:val="both"/>
        <w:rPr>
          <w:rFonts w:hint="eastAsia"/>
          <w:sz w:val="24"/>
          <w:szCs w:val="24"/>
        </w:rPr>
      </w:pPr>
    </w:p>
    <w:tbl>
      <w:tblPr>
        <w:tblStyle w:val="17"/>
        <w:tblW w:w="7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473"/>
        <w:gridCol w:w="2132"/>
        <w:gridCol w:w="1102"/>
        <w:gridCol w:w="1785"/>
      </w:tblGrid>
      <w:tr w14:paraId="5B68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73" w:type="dxa"/>
            <w:tcBorders>
              <w:top w:val="single" w:color="auto" w:sz="12" w:space="0"/>
              <w:left w:val="nil"/>
              <w:bottom w:val="single" w:color="auto" w:sz="6" w:space="0"/>
              <w:right w:val="nil"/>
            </w:tcBorders>
            <w:vAlign w:val="center"/>
          </w:tcPr>
          <w:p w14:paraId="3DF51AFF">
            <w:pPr>
              <w:rPr>
                <w:sz w:val="24"/>
                <w:szCs w:val="24"/>
              </w:rPr>
            </w:pPr>
          </w:p>
        </w:tc>
        <w:tc>
          <w:tcPr>
            <w:tcW w:w="1473" w:type="dxa"/>
            <w:tcBorders>
              <w:top w:val="single" w:color="auto" w:sz="12" w:space="0"/>
              <w:left w:val="nil"/>
              <w:bottom w:val="single" w:color="auto" w:sz="6" w:space="0"/>
              <w:right w:val="nil"/>
            </w:tcBorders>
            <w:vAlign w:val="center"/>
          </w:tcPr>
          <w:p w14:paraId="7256A05E">
            <w:pPr>
              <w:rPr>
                <w:sz w:val="24"/>
                <w:szCs w:val="24"/>
              </w:rPr>
            </w:pPr>
            <w:r>
              <w:rPr>
                <w:rFonts w:hint="eastAsia"/>
                <w:sz w:val="24"/>
                <w:szCs w:val="24"/>
              </w:rPr>
              <w:t>Models</w:t>
            </w:r>
          </w:p>
        </w:tc>
        <w:tc>
          <w:tcPr>
            <w:tcW w:w="2132" w:type="dxa"/>
            <w:tcBorders>
              <w:top w:val="single" w:color="auto" w:sz="12" w:space="0"/>
              <w:left w:val="nil"/>
              <w:bottom w:val="single" w:color="auto" w:sz="6" w:space="0"/>
              <w:right w:val="nil"/>
            </w:tcBorders>
            <w:vAlign w:val="center"/>
          </w:tcPr>
          <w:p w14:paraId="5DB7B77A">
            <w:pPr>
              <w:rPr>
                <w:sz w:val="24"/>
                <w:szCs w:val="24"/>
              </w:rPr>
            </w:pPr>
            <w:r>
              <w:rPr>
                <w:sz w:val="24"/>
                <w:szCs w:val="24"/>
              </w:rPr>
              <w:t>Difference of AUC</w:t>
            </w:r>
          </w:p>
        </w:tc>
        <w:tc>
          <w:tcPr>
            <w:tcW w:w="1102" w:type="dxa"/>
            <w:tcBorders>
              <w:top w:val="single" w:color="auto" w:sz="12" w:space="0"/>
              <w:left w:val="nil"/>
              <w:bottom w:val="single" w:color="auto" w:sz="6" w:space="0"/>
              <w:right w:val="nil"/>
            </w:tcBorders>
            <w:vAlign w:val="center"/>
          </w:tcPr>
          <w:p w14:paraId="61417BE4">
            <w:pPr>
              <w:rPr>
                <w:sz w:val="24"/>
                <w:szCs w:val="24"/>
              </w:rPr>
            </w:pPr>
            <w:r>
              <w:rPr>
                <w:rFonts w:hint="eastAsia"/>
                <w:sz w:val="24"/>
                <w:szCs w:val="24"/>
              </w:rPr>
              <w:t>Z</w:t>
            </w:r>
          </w:p>
        </w:tc>
        <w:tc>
          <w:tcPr>
            <w:tcW w:w="1785" w:type="dxa"/>
            <w:tcBorders>
              <w:top w:val="single" w:color="auto" w:sz="12" w:space="0"/>
              <w:left w:val="nil"/>
              <w:bottom w:val="single" w:color="auto" w:sz="6" w:space="0"/>
              <w:right w:val="nil"/>
            </w:tcBorders>
            <w:vAlign w:val="center"/>
          </w:tcPr>
          <w:p w14:paraId="4B595DDC">
            <w:pPr>
              <w:rPr>
                <w:sz w:val="24"/>
                <w:szCs w:val="24"/>
              </w:rPr>
            </w:pPr>
            <w:r>
              <w:rPr>
                <w:rFonts w:hint="eastAsia"/>
                <w:sz w:val="24"/>
                <w:szCs w:val="24"/>
              </w:rPr>
              <w:t>P</w:t>
            </w:r>
          </w:p>
        </w:tc>
      </w:tr>
      <w:tr w14:paraId="1F98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73" w:type="dxa"/>
            <w:vMerge w:val="restart"/>
            <w:tcBorders>
              <w:top w:val="single" w:color="auto" w:sz="6" w:space="0"/>
              <w:left w:val="nil"/>
              <w:bottom w:val="nil"/>
              <w:right w:val="nil"/>
            </w:tcBorders>
            <w:vAlign w:val="center"/>
          </w:tcPr>
          <w:p w14:paraId="7B219C72">
            <w:pPr>
              <w:rPr>
                <w:sz w:val="24"/>
                <w:szCs w:val="24"/>
              </w:rPr>
            </w:pPr>
            <w:r>
              <w:rPr>
                <w:sz w:val="24"/>
                <w:szCs w:val="24"/>
              </w:rPr>
              <w:t>XGBoost</w:t>
            </w:r>
          </w:p>
        </w:tc>
        <w:tc>
          <w:tcPr>
            <w:tcW w:w="1473" w:type="dxa"/>
            <w:tcBorders>
              <w:top w:val="single" w:color="auto" w:sz="6" w:space="0"/>
              <w:left w:val="nil"/>
              <w:bottom w:val="nil"/>
              <w:right w:val="nil"/>
            </w:tcBorders>
            <w:vAlign w:val="center"/>
          </w:tcPr>
          <w:p w14:paraId="6B6940CB">
            <w:pPr>
              <w:rPr>
                <w:sz w:val="24"/>
                <w:szCs w:val="24"/>
              </w:rPr>
            </w:pPr>
            <w:r>
              <w:rPr>
                <w:rFonts w:hint="eastAsia"/>
                <w:sz w:val="24"/>
                <w:szCs w:val="24"/>
              </w:rPr>
              <w:t>LR</w:t>
            </w:r>
          </w:p>
        </w:tc>
        <w:tc>
          <w:tcPr>
            <w:tcW w:w="2132" w:type="dxa"/>
            <w:tcBorders>
              <w:top w:val="single" w:color="auto" w:sz="6" w:space="0"/>
              <w:left w:val="nil"/>
              <w:bottom w:val="nil"/>
              <w:right w:val="nil"/>
            </w:tcBorders>
            <w:vAlign w:val="center"/>
          </w:tcPr>
          <w:p w14:paraId="33D9404A">
            <w:pPr>
              <w:rPr>
                <w:sz w:val="24"/>
                <w:szCs w:val="24"/>
              </w:rPr>
            </w:pPr>
            <w:r>
              <w:rPr>
                <w:rFonts w:hint="eastAsia"/>
                <w:sz w:val="24"/>
                <w:szCs w:val="24"/>
              </w:rPr>
              <w:t>0.1859</w:t>
            </w:r>
          </w:p>
        </w:tc>
        <w:tc>
          <w:tcPr>
            <w:tcW w:w="1102" w:type="dxa"/>
            <w:tcBorders>
              <w:top w:val="single" w:color="auto" w:sz="6" w:space="0"/>
              <w:left w:val="nil"/>
              <w:bottom w:val="nil"/>
              <w:right w:val="nil"/>
            </w:tcBorders>
            <w:vAlign w:val="center"/>
          </w:tcPr>
          <w:p w14:paraId="163F9FC7">
            <w:pPr>
              <w:rPr>
                <w:rFonts w:hint="eastAsia" w:eastAsiaTheme="minorEastAsia"/>
                <w:color w:val="000000" w:themeColor="text1"/>
                <w:sz w:val="24"/>
                <w:szCs w:val="24"/>
                <w:lang w:eastAsia="zh-CN"/>
                <w14:textFill>
                  <w14:solidFill>
                    <w14:schemeClr w14:val="tx1"/>
                  </w14:solidFill>
                </w14:textFill>
              </w:rPr>
            </w:pPr>
            <w:r>
              <w:rPr>
                <w:rFonts w:hint="eastAsia" w:eastAsiaTheme="minorEastAsia"/>
                <w:color w:val="000000" w:themeColor="text1"/>
                <w:sz w:val="24"/>
                <w:szCs w:val="24"/>
                <w:lang w:eastAsia="zh-CN"/>
                <w14:textFill>
                  <w14:solidFill>
                    <w14:schemeClr w14:val="tx1"/>
                  </w14:solidFill>
                </w14:textFill>
              </w:rPr>
              <w:t xml:space="preserve"> -6.5113</w:t>
            </w:r>
          </w:p>
        </w:tc>
        <w:tc>
          <w:tcPr>
            <w:tcW w:w="1785" w:type="dxa"/>
            <w:tcBorders>
              <w:top w:val="single" w:color="auto" w:sz="6" w:space="0"/>
              <w:left w:val="nil"/>
              <w:bottom w:val="nil"/>
              <w:right w:val="nil"/>
            </w:tcBorders>
            <w:vAlign w:val="center"/>
          </w:tcPr>
          <w:p w14:paraId="7734F20C">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P＜0.00</w:t>
            </w:r>
            <w:r>
              <w:rPr>
                <w:rFonts w:hint="eastAsia"/>
                <w:color w:val="000000" w:themeColor="text1"/>
                <w:sz w:val="24"/>
                <w:szCs w:val="24"/>
                <w:lang w:val="en-US" w:eastAsia="zh-CN"/>
                <w14:textFill>
                  <w14:solidFill>
                    <w14:schemeClr w14:val="tx1"/>
                  </w14:solidFill>
                </w14:textFill>
              </w:rPr>
              <w:t>0</w:t>
            </w:r>
            <w:r>
              <w:rPr>
                <w:rFonts w:hint="eastAsia"/>
                <w:color w:val="000000" w:themeColor="text1"/>
                <w:sz w:val="24"/>
                <w:szCs w:val="24"/>
                <w14:textFill>
                  <w14:solidFill>
                    <w14:schemeClr w14:val="tx1"/>
                  </w14:solidFill>
                </w14:textFill>
              </w:rPr>
              <w:t>1</w:t>
            </w:r>
          </w:p>
        </w:tc>
      </w:tr>
      <w:tr w14:paraId="086B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3" w:type="dxa"/>
            <w:vMerge w:val="continue"/>
            <w:tcBorders>
              <w:top w:val="nil"/>
              <w:left w:val="nil"/>
              <w:bottom w:val="nil"/>
              <w:right w:val="nil"/>
            </w:tcBorders>
            <w:vAlign w:val="center"/>
          </w:tcPr>
          <w:p w14:paraId="0AAD2D0B">
            <w:pPr>
              <w:rPr>
                <w:sz w:val="24"/>
                <w:szCs w:val="24"/>
              </w:rPr>
            </w:pPr>
          </w:p>
        </w:tc>
        <w:tc>
          <w:tcPr>
            <w:tcW w:w="1473" w:type="dxa"/>
            <w:tcBorders>
              <w:top w:val="nil"/>
              <w:left w:val="nil"/>
              <w:bottom w:val="nil"/>
              <w:right w:val="nil"/>
            </w:tcBorders>
            <w:vAlign w:val="center"/>
          </w:tcPr>
          <w:p w14:paraId="7012C37B">
            <w:pPr>
              <w:rPr>
                <w:sz w:val="24"/>
                <w:szCs w:val="24"/>
              </w:rPr>
            </w:pPr>
            <w:r>
              <w:rPr>
                <w:rFonts w:hint="eastAsia"/>
                <w:sz w:val="24"/>
                <w:szCs w:val="24"/>
              </w:rPr>
              <w:t>SVM</w:t>
            </w:r>
          </w:p>
        </w:tc>
        <w:tc>
          <w:tcPr>
            <w:tcW w:w="2132" w:type="dxa"/>
            <w:tcBorders>
              <w:top w:val="nil"/>
              <w:left w:val="nil"/>
              <w:bottom w:val="nil"/>
              <w:right w:val="nil"/>
            </w:tcBorders>
            <w:vAlign w:val="center"/>
          </w:tcPr>
          <w:p w14:paraId="539895B4">
            <w:pPr>
              <w:rPr>
                <w:sz w:val="24"/>
                <w:szCs w:val="24"/>
              </w:rPr>
            </w:pPr>
            <w:r>
              <w:rPr>
                <w:rFonts w:hint="eastAsia"/>
                <w:sz w:val="24"/>
                <w:szCs w:val="24"/>
              </w:rPr>
              <w:t>0.1871</w:t>
            </w:r>
          </w:p>
        </w:tc>
        <w:tc>
          <w:tcPr>
            <w:tcW w:w="1102" w:type="dxa"/>
            <w:tcBorders>
              <w:top w:val="nil"/>
              <w:left w:val="nil"/>
              <w:bottom w:val="nil"/>
              <w:right w:val="nil"/>
            </w:tcBorders>
            <w:vAlign w:val="center"/>
          </w:tcPr>
          <w:p w14:paraId="64AB9171">
            <w:pPr>
              <w:rPr>
                <w:rFonts w:hint="eastAsia" w:eastAsiaTheme="minorEastAsia"/>
                <w:color w:val="000000" w:themeColor="text1"/>
                <w:sz w:val="24"/>
                <w:szCs w:val="24"/>
                <w:lang w:eastAsia="zh-CN"/>
                <w14:textFill>
                  <w14:solidFill>
                    <w14:schemeClr w14:val="tx1"/>
                  </w14:solidFill>
                </w14:textFill>
              </w:rPr>
            </w:pPr>
            <w:r>
              <w:rPr>
                <w:rFonts w:hint="eastAsia" w:eastAsiaTheme="minorEastAsia"/>
                <w:color w:val="000000" w:themeColor="text1"/>
                <w:sz w:val="24"/>
                <w:szCs w:val="24"/>
                <w:lang w:eastAsia="zh-CN"/>
                <w14:textFill>
                  <w14:solidFill>
                    <w14:schemeClr w14:val="tx1"/>
                  </w14:solidFill>
                </w14:textFill>
              </w:rPr>
              <w:t xml:space="preserve"> -6.2364</w:t>
            </w:r>
          </w:p>
        </w:tc>
        <w:tc>
          <w:tcPr>
            <w:tcW w:w="1785" w:type="dxa"/>
            <w:tcBorders>
              <w:top w:val="nil"/>
              <w:left w:val="nil"/>
              <w:bottom w:val="nil"/>
              <w:right w:val="nil"/>
            </w:tcBorders>
            <w:vAlign w:val="center"/>
          </w:tcPr>
          <w:p w14:paraId="46928236">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P＜0.00</w:t>
            </w:r>
            <w:r>
              <w:rPr>
                <w:rFonts w:hint="eastAsia"/>
                <w:color w:val="000000" w:themeColor="text1"/>
                <w:sz w:val="24"/>
                <w:szCs w:val="24"/>
                <w:lang w:val="en-US" w:eastAsia="zh-CN"/>
                <w14:textFill>
                  <w14:solidFill>
                    <w14:schemeClr w14:val="tx1"/>
                  </w14:solidFill>
                </w14:textFill>
              </w:rPr>
              <w:t>0</w:t>
            </w:r>
            <w:r>
              <w:rPr>
                <w:rFonts w:hint="eastAsia"/>
                <w:color w:val="000000" w:themeColor="text1"/>
                <w:sz w:val="24"/>
                <w:szCs w:val="24"/>
                <w14:textFill>
                  <w14:solidFill>
                    <w14:schemeClr w14:val="tx1"/>
                  </w14:solidFill>
                </w14:textFill>
              </w:rPr>
              <w:t>1</w:t>
            </w:r>
          </w:p>
        </w:tc>
      </w:tr>
      <w:tr w14:paraId="0609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73" w:type="dxa"/>
            <w:vMerge w:val="continue"/>
            <w:tcBorders>
              <w:top w:val="nil"/>
              <w:left w:val="nil"/>
              <w:bottom w:val="single" w:color="auto" w:sz="12" w:space="0"/>
              <w:right w:val="nil"/>
            </w:tcBorders>
            <w:vAlign w:val="center"/>
          </w:tcPr>
          <w:p w14:paraId="6298E858">
            <w:pPr>
              <w:rPr>
                <w:sz w:val="24"/>
                <w:szCs w:val="24"/>
              </w:rPr>
            </w:pPr>
          </w:p>
        </w:tc>
        <w:tc>
          <w:tcPr>
            <w:tcW w:w="1473" w:type="dxa"/>
            <w:tcBorders>
              <w:top w:val="nil"/>
              <w:left w:val="nil"/>
              <w:bottom w:val="single" w:color="auto" w:sz="12" w:space="0"/>
              <w:right w:val="nil"/>
            </w:tcBorders>
            <w:vAlign w:val="center"/>
          </w:tcPr>
          <w:p w14:paraId="20C26B7A">
            <w:pPr>
              <w:rPr>
                <w:sz w:val="24"/>
                <w:szCs w:val="24"/>
              </w:rPr>
            </w:pPr>
            <w:r>
              <w:rPr>
                <w:rFonts w:hint="eastAsia"/>
                <w:sz w:val="24"/>
                <w:szCs w:val="24"/>
              </w:rPr>
              <w:t>RF</w:t>
            </w:r>
          </w:p>
        </w:tc>
        <w:tc>
          <w:tcPr>
            <w:tcW w:w="2132" w:type="dxa"/>
            <w:tcBorders>
              <w:top w:val="nil"/>
              <w:left w:val="nil"/>
              <w:bottom w:val="single" w:color="auto" w:sz="12" w:space="0"/>
              <w:right w:val="nil"/>
            </w:tcBorders>
            <w:vAlign w:val="center"/>
          </w:tcPr>
          <w:p w14:paraId="773D9AF8">
            <w:pPr>
              <w:rPr>
                <w:sz w:val="24"/>
                <w:szCs w:val="24"/>
              </w:rPr>
            </w:pPr>
            <w:r>
              <w:rPr>
                <w:rFonts w:hint="eastAsia"/>
                <w:sz w:val="24"/>
                <w:szCs w:val="24"/>
              </w:rPr>
              <w:t>0.0062</w:t>
            </w:r>
          </w:p>
        </w:tc>
        <w:tc>
          <w:tcPr>
            <w:tcW w:w="1102" w:type="dxa"/>
            <w:tcBorders>
              <w:top w:val="nil"/>
              <w:left w:val="nil"/>
              <w:bottom w:val="single" w:color="auto" w:sz="12" w:space="0"/>
              <w:right w:val="nil"/>
            </w:tcBorders>
            <w:vAlign w:val="center"/>
          </w:tcPr>
          <w:p w14:paraId="30899D17">
            <w:pPr>
              <w:rPr>
                <w:rFonts w:hint="default" w:eastAsiaTheme="minorEastAsia"/>
                <w:color w:val="000000" w:themeColor="text1"/>
                <w:sz w:val="24"/>
                <w:szCs w:val="24"/>
                <w:lang w:val="en-US" w:eastAsia="zh-CN"/>
                <w14:textFill>
                  <w14:solidFill>
                    <w14:schemeClr w14:val="tx1"/>
                  </w14:solidFill>
                </w14:textFill>
              </w:rPr>
            </w:pPr>
            <w:r>
              <w:rPr>
                <w:rFonts w:hint="default" w:eastAsiaTheme="minorEastAsia"/>
                <w:color w:val="000000" w:themeColor="text1"/>
                <w:sz w:val="24"/>
                <w:szCs w:val="24"/>
                <w:lang w:val="en-US" w:eastAsia="zh-CN"/>
                <w14:textFill>
                  <w14:solidFill>
                    <w14:schemeClr w14:val="tx1"/>
                  </w14:solidFill>
                </w14:textFill>
              </w:rPr>
              <w:t xml:space="preserve"> -2.3496</w:t>
            </w:r>
          </w:p>
        </w:tc>
        <w:tc>
          <w:tcPr>
            <w:tcW w:w="1785" w:type="dxa"/>
            <w:tcBorders>
              <w:top w:val="nil"/>
              <w:left w:val="nil"/>
              <w:bottom w:val="single" w:color="auto" w:sz="12" w:space="0"/>
              <w:right w:val="nil"/>
            </w:tcBorders>
            <w:vAlign w:val="center"/>
          </w:tcPr>
          <w:p w14:paraId="24D4D42C">
            <w:pPr>
              <w:rPr>
                <w:rFonts w:hint="default" w:eastAsiaTheme="minorEastAsia"/>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0.0</w:t>
            </w:r>
            <w:r>
              <w:rPr>
                <w:rFonts w:hint="eastAsia"/>
                <w:color w:val="000000" w:themeColor="text1"/>
                <w:sz w:val="24"/>
                <w:szCs w:val="24"/>
                <w:lang w:val="en-US" w:eastAsia="zh-CN"/>
                <w14:textFill>
                  <w14:solidFill>
                    <w14:schemeClr w14:val="tx1"/>
                  </w14:solidFill>
                </w14:textFill>
              </w:rPr>
              <w:t>188</w:t>
            </w:r>
          </w:p>
        </w:tc>
      </w:tr>
    </w:tbl>
    <w:p w14:paraId="411D2D89">
      <w:pPr>
        <w:jc w:val="both"/>
      </w:pPr>
    </w:p>
    <w:p w14:paraId="5717AA96">
      <w:pPr>
        <w:jc w:val="both"/>
      </w:pPr>
    </w:p>
    <w:p w14:paraId="0F6E52F8">
      <w:pPr>
        <w:jc w:val="both"/>
      </w:pPr>
    </w:p>
    <w:p w14:paraId="42F516ED">
      <w:pPr>
        <w:jc w:val="both"/>
      </w:pPr>
    </w:p>
    <w:p w14:paraId="1EE8086F">
      <w:pPr>
        <w:jc w:val="both"/>
      </w:pPr>
    </w:p>
    <w:p w14:paraId="274560E7">
      <w:pPr>
        <w:jc w:val="both"/>
      </w:pPr>
    </w:p>
    <w:p w14:paraId="7E6D1C71">
      <w:pPr>
        <w:jc w:val="both"/>
      </w:pPr>
    </w:p>
    <w:p w14:paraId="23BABE4B">
      <w:pPr>
        <w:jc w:val="both"/>
      </w:pPr>
    </w:p>
    <w:p w14:paraId="01929A6F">
      <w:pPr>
        <w:jc w:val="both"/>
      </w:pPr>
    </w:p>
    <w:p w14:paraId="0CB9A759">
      <w:pPr>
        <w:jc w:val="both"/>
      </w:pPr>
    </w:p>
    <w:p w14:paraId="1AF21D87">
      <w:pPr>
        <w:jc w:val="both"/>
      </w:pPr>
    </w:p>
    <w:p w14:paraId="78564068">
      <w:pPr>
        <w:jc w:val="both"/>
      </w:pPr>
    </w:p>
    <w:p w14:paraId="3CD0233F">
      <w:pPr>
        <w:jc w:val="both"/>
      </w:pPr>
    </w:p>
    <w:p w14:paraId="0B736989">
      <w:pPr>
        <w:jc w:val="both"/>
      </w:pPr>
    </w:p>
    <w:p w14:paraId="3282C5D0">
      <w:pPr>
        <w:jc w:val="both"/>
      </w:pPr>
    </w:p>
    <w:p w14:paraId="393CBFDC">
      <w:pPr>
        <w:jc w:val="both"/>
      </w:pPr>
    </w:p>
    <w:p w14:paraId="5F08C1E2">
      <w:pPr>
        <w:jc w:val="both"/>
      </w:pPr>
    </w:p>
    <w:p w14:paraId="0BA8C9C7">
      <w:pPr>
        <w:jc w:val="both"/>
      </w:pPr>
    </w:p>
    <w:p w14:paraId="24AAE0E3">
      <w:pPr>
        <w:jc w:val="both"/>
      </w:pPr>
    </w:p>
    <w:p w14:paraId="311C66EF">
      <w:pPr>
        <w:jc w:val="both"/>
      </w:pPr>
    </w:p>
    <w:p w14:paraId="4E3A88B8">
      <w:pPr>
        <w:jc w:val="both"/>
      </w:pPr>
    </w:p>
    <w:p w14:paraId="0B86B34D">
      <w:pPr>
        <w:jc w:val="both"/>
      </w:pPr>
    </w:p>
    <w:p w14:paraId="15224841">
      <w:pPr>
        <w:jc w:val="both"/>
      </w:pPr>
    </w:p>
    <w:p w14:paraId="6A966C64">
      <w:pPr>
        <w:jc w:val="both"/>
      </w:pPr>
    </w:p>
    <w:p w14:paraId="19D0888F">
      <w:pPr>
        <w:jc w:val="both"/>
      </w:pPr>
    </w:p>
    <w:p w14:paraId="1B499D13">
      <w:pPr>
        <w:jc w:val="both"/>
      </w:pPr>
    </w:p>
    <w:p w14:paraId="3DE00A98">
      <w:pPr>
        <w:jc w:val="both"/>
      </w:pPr>
    </w:p>
    <w:p w14:paraId="52D5ED12">
      <w:pPr>
        <w:jc w:val="both"/>
      </w:pPr>
    </w:p>
    <w:p w14:paraId="0E0E1D87">
      <w:pPr>
        <w:jc w:val="both"/>
      </w:pPr>
    </w:p>
    <w:p w14:paraId="154BD87B">
      <w:pPr>
        <w:jc w:val="both"/>
      </w:pPr>
    </w:p>
    <w:p w14:paraId="3B4E2C34">
      <w:pPr>
        <w:spacing w:line="276"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In univariate logistic-regression analysis, significant differences were found in sex, age, heart rate, and HRV characteristics (SDNN5, pNN50, rmsSD, SDSD, SD1, SD2, VLF, LF, and TP) between the two groups (P &lt; 0.05).</w:t>
      </w:r>
      <w:r>
        <w:rPr>
          <w:rFonts w:hint="eastAsia" w:eastAsia="宋体"/>
          <w:sz w:val="24"/>
          <w:szCs w:val="24"/>
          <w:lang w:val="en-US" w:eastAsia="zh-CN"/>
        </w:rPr>
        <w:t xml:space="preserve"> </w:t>
      </w:r>
      <w:r>
        <w:rPr>
          <w:rFonts w:hint="eastAsia" w:ascii="Times New Roman" w:hAnsi="Times New Roman" w:eastAsia="宋体"/>
          <w:sz w:val="24"/>
          <w:szCs w:val="24"/>
        </w:rPr>
        <w:t>Multivariate logistic regression analysis revealed that significant differences existed in sex, age, heart rate, and HRV characteristic SDNN between the two groups (P &lt; 0.05).</w:t>
      </w:r>
    </w:p>
    <w:p w14:paraId="62685091">
      <w:pPr>
        <w:spacing w:line="276" w:lineRule="auto"/>
        <w:ind w:firstLine="480" w:firstLineChars="200"/>
        <w:jc w:val="both"/>
        <w:rPr>
          <w:rFonts w:hint="eastAsia" w:ascii="Times New Roman" w:hAnsi="Times New Roman" w:eastAsia="宋体"/>
          <w:sz w:val="24"/>
          <w:szCs w:val="24"/>
        </w:rPr>
      </w:pPr>
    </w:p>
    <w:p w14:paraId="3C77B3F3">
      <w:pPr>
        <w:spacing w:line="276" w:lineRule="auto"/>
        <w:jc w:val="both"/>
      </w:pPr>
      <w:r>
        <w:rPr>
          <w:b/>
          <w:bCs/>
          <w:sz w:val="24"/>
          <w:szCs w:val="24"/>
        </w:rPr>
        <w:t xml:space="preserve">Table </w:t>
      </w:r>
      <w:r>
        <w:rPr>
          <w:rFonts w:hint="eastAsia"/>
          <w:b/>
          <w:bCs/>
          <w:sz w:val="24"/>
          <w:szCs w:val="24"/>
          <w:lang w:val="en-US" w:eastAsia="zh-CN"/>
        </w:rPr>
        <w:t>3</w:t>
      </w:r>
      <w:r>
        <w:rPr>
          <w:b/>
          <w:bCs/>
          <w:sz w:val="24"/>
          <w:szCs w:val="24"/>
        </w:rPr>
        <w:t xml:space="preserve"> </w:t>
      </w:r>
      <w:bookmarkEnd w:id="0"/>
      <w:r>
        <w:rPr>
          <w:sz w:val="24"/>
          <w:szCs w:val="24"/>
        </w:rPr>
        <w:t>Univariate and Multivariate logistic-regression analysis for influenciong factors of depression.</w:t>
      </w:r>
    </w:p>
    <w:p w14:paraId="1CB9FFB0">
      <w:pPr>
        <w:jc w:val="both"/>
      </w:pPr>
    </w:p>
    <w:tbl>
      <w:tblPr>
        <w:tblStyle w:val="16"/>
        <w:tblW w:w="4850" w:type="pct"/>
        <w:jc w:val="center"/>
        <w:tblLayout w:type="fixed"/>
        <w:tblCellMar>
          <w:top w:w="0" w:type="dxa"/>
          <w:left w:w="108" w:type="dxa"/>
          <w:bottom w:w="0" w:type="dxa"/>
          <w:right w:w="108" w:type="dxa"/>
        </w:tblCellMar>
      </w:tblPr>
      <w:tblGrid>
        <w:gridCol w:w="1332"/>
        <w:gridCol w:w="1140"/>
        <w:gridCol w:w="2712"/>
        <w:gridCol w:w="22"/>
        <w:gridCol w:w="1144"/>
        <w:gridCol w:w="22"/>
        <w:gridCol w:w="2591"/>
      </w:tblGrid>
      <w:tr w14:paraId="00264239">
        <w:tblPrEx>
          <w:tblCellMar>
            <w:top w:w="0" w:type="dxa"/>
            <w:left w:w="108" w:type="dxa"/>
            <w:bottom w:w="0" w:type="dxa"/>
            <w:right w:w="108" w:type="dxa"/>
          </w:tblCellMar>
        </w:tblPrEx>
        <w:trPr>
          <w:trHeight w:val="291" w:hRule="atLeast"/>
          <w:tblHeader/>
          <w:jc w:val="center"/>
        </w:trPr>
        <w:tc>
          <w:tcPr>
            <w:tcW w:w="1197" w:type="dxa"/>
            <w:vMerge w:val="restart"/>
            <w:tcBorders>
              <w:top w:val="single" w:color="auto" w:sz="12" w:space="0"/>
              <w:left w:val="nil"/>
              <w:bottom w:val="single" w:color="000000" w:sz="8" w:space="0"/>
              <w:right w:val="nil"/>
            </w:tcBorders>
            <w:shd w:val="clear" w:color="auto" w:fill="FFFFFF"/>
            <w:tcMar>
              <w:left w:w="0" w:type="dxa"/>
              <w:right w:w="0" w:type="dxa"/>
            </w:tcMar>
            <w:vAlign w:val="center"/>
          </w:tcPr>
          <w:p w14:paraId="58909BD3">
            <w:pPr>
              <w:spacing w:line="276" w:lineRule="auto"/>
            </w:pPr>
            <w:r>
              <w:rPr>
                <w:lang w:bidi="ar"/>
              </w:rPr>
              <w:t>Variables</w:t>
            </w:r>
          </w:p>
        </w:tc>
        <w:tc>
          <w:tcPr>
            <w:tcW w:w="4511" w:type="dxa"/>
            <w:gridSpan w:val="4"/>
            <w:tcBorders>
              <w:top w:val="single" w:color="auto" w:sz="12" w:space="0"/>
              <w:left w:val="nil"/>
              <w:bottom w:val="nil"/>
              <w:right w:val="nil"/>
            </w:tcBorders>
            <w:shd w:val="clear" w:color="auto" w:fill="FFFFFF"/>
            <w:tcMar>
              <w:left w:w="0" w:type="dxa"/>
              <w:right w:w="0" w:type="dxa"/>
            </w:tcMar>
            <w:vAlign w:val="center"/>
          </w:tcPr>
          <w:p w14:paraId="23925CB2">
            <w:pPr>
              <w:spacing w:line="276" w:lineRule="auto"/>
            </w:pPr>
            <w:r>
              <w:rPr>
                <w:lang w:bidi="ar"/>
              </w:rPr>
              <w:t>Univariate analysis</w:t>
            </w:r>
          </w:p>
        </w:tc>
        <w:tc>
          <w:tcPr>
            <w:tcW w:w="20" w:type="dxa"/>
            <w:tcBorders>
              <w:top w:val="single" w:color="auto" w:sz="12" w:space="0"/>
              <w:left w:val="nil"/>
              <w:bottom w:val="nil"/>
              <w:right w:val="nil"/>
            </w:tcBorders>
            <w:shd w:val="clear" w:color="auto" w:fill="FFFFFF"/>
            <w:tcMar>
              <w:left w:w="0" w:type="dxa"/>
              <w:right w:w="0" w:type="dxa"/>
            </w:tcMar>
            <w:vAlign w:val="center"/>
          </w:tcPr>
          <w:p w14:paraId="719D2139">
            <w:pPr>
              <w:spacing w:line="276" w:lineRule="auto"/>
            </w:pPr>
          </w:p>
        </w:tc>
        <w:tc>
          <w:tcPr>
            <w:tcW w:w="2329" w:type="dxa"/>
            <w:tcBorders>
              <w:top w:val="single" w:color="auto" w:sz="12" w:space="0"/>
              <w:left w:val="nil"/>
              <w:bottom w:val="nil"/>
              <w:right w:val="nil"/>
            </w:tcBorders>
            <w:shd w:val="clear" w:color="auto" w:fill="FFFFFF"/>
            <w:tcMar>
              <w:left w:w="0" w:type="dxa"/>
              <w:right w:w="0" w:type="dxa"/>
            </w:tcMar>
            <w:vAlign w:val="center"/>
          </w:tcPr>
          <w:p w14:paraId="347868CD">
            <w:pPr>
              <w:spacing w:line="276" w:lineRule="auto"/>
            </w:pPr>
            <w:r>
              <w:rPr>
                <w:rFonts w:eastAsia="宋体"/>
                <w:lang w:bidi="ar"/>
              </w:rPr>
              <w:t>M</w:t>
            </w:r>
            <w:r>
              <w:rPr>
                <w:lang w:bidi="ar"/>
              </w:rPr>
              <w:t>ultivariate analysis</w:t>
            </w:r>
          </w:p>
        </w:tc>
      </w:tr>
      <w:tr w14:paraId="0E1E7402">
        <w:tblPrEx>
          <w:tblCellMar>
            <w:top w:w="0" w:type="dxa"/>
            <w:left w:w="108" w:type="dxa"/>
            <w:bottom w:w="0" w:type="dxa"/>
            <w:right w:w="108" w:type="dxa"/>
          </w:tblCellMar>
        </w:tblPrEx>
        <w:trPr>
          <w:trHeight w:val="291" w:hRule="atLeast"/>
          <w:tblHeader/>
          <w:jc w:val="center"/>
        </w:trPr>
        <w:tc>
          <w:tcPr>
            <w:tcW w:w="1197" w:type="dxa"/>
            <w:vMerge w:val="continue"/>
            <w:tcBorders>
              <w:top w:val="single" w:color="auto" w:sz="12" w:space="0"/>
              <w:left w:val="nil"/>
              <w:bottom w:val="single" w:color="000000" w:sz="8" w:space="0"/>
              <w:right w:val="nil"/>
            </w:tcBorders>
            <w:shd w:val="clear" w:color="auto" w:fill="FFFFFF"/>
            <w:tcMar>
              <w:left w:w="0" w:type="dxa"/>
              <w:right w:w="0" w:type="dxa"/>
            </w:tcMar>
            <w:vAlign w:val="center"/>
          </w:tcPr>
          <w:p w14:paraId="3228BFA6">
            <w:pPr>
              <w:spacing w:line="276" w:lineRule="auto"/>
              <w:rPr>
                <w:lang w:eastAsia="en-US"/>
              </w:rPr>
            </w:pPr>
          </w:p>
        </w:tc>
        <w:tc>
          <w:tcPr>
            <w:tcW w:w="1025" w:type="dxa"/>
            <w:tcBorders>
              <w:top w:val="single" w:color="000000" w:sz="8" w:space="0"/>
              <w:left w:val="nil"/>
              <w:bottom w:val="single" w:color="000000" w:sz="8" w:space="0"/>
              <w:right w:val="nil"/>
            </w:tcBorders>
            <w:shd w:val="clear" w:color="auto" w:fill="FFFFFF"/>
            <w:tcMar>
              <w:left w:w="0" w:type="dxa"/>
              <w:right w:w="0" w:type="dxa"/>
            </w:tcMar>
            <w:vAlign w:val="center"/>
          </w:tcPr>
          <w:p w14:paraId="1A38FDF6">
            <w:pPr>
              <w:spacing w:line="276" w:lineRule="auto"/>
            </w:pPr>
            <w:r>
              <w:rPr>
                <w:rFonts w:eastAsia="Times New Roman"/>
                <w:lang w:bidi="ar"/>
              </w:rPr>
              <w:t>P</w:t>
            </w:r>
            <w:r>
              <w:rPr>
                <w:lang w:bidi="ar"/>
              </w:rPr>
              <w:t xml:space="preserve"> value</w:t>
            </w:r>
          </w:p>
        </w:tc>
        <w:tc>
          <w:tcPr>
            <w:tcW w:w="2438" w:type="dxa"/>
            <w:tcBorders>
              <w:top w:val="single" w:color="000000" w:sz="8" w:space="0"/>
              <w:left w:val="nil"/>
              <w:bottom w:val="single" w:color="000000" w:sz="8" w:space="0"/>
              <w:right w:val="nil"/>
            </w:tcBorders>
            <w:shd w:val="clear" w:color="auto" w:fill="FFFFFF"/>
            <w:tcMar>
              <w:left w:w="0" w:type="dxa"/>
              <w:right w:w="0" w:type="dxa"/>
            </w:tcMar>
            <w:vAlign w:val="center"/>
          </w:tcPr>
          <w:p w14:paraId="65AA98DF">
            <w:pPr>
              <w:spacing w:line="276" w:lineRule="auto"/>
            </w:pPr>
            <w:r>
              <w:rPr>
                <w:lang w:bidi="ar"/>
              </w:rPr>
              <w:t>OR (95%CI)</w:t>
            </w:r>
          </w:p>
        </w:tc>
        <w:tc>
          <w:tcPr>
            <w:tcW w:w="20" w:type="dxa"/>
            <w:tcBorders>
              <w:top w:val="single" w:color="000000" w:sz="8" w:space="0"/>
              <w:left w:val="nil"/>
              <w:bottom w:val="single" w:color="000000" w:sz="8" w:space="0"/>
              <w:right w:val="nil"/>
            </w:tcBorders>
            <w:shd w:val="clear" w:color="auto" w:fill="FFFFFF"/>
            <w:tcMar>
              <w:left w:w="0" w:type="dxa"/>
              <w:right w:w="0" w:type="dxa"/>
            </w:tcMar>
            <w:vAlign w:val="center"/>
          </w:tcPr>
          <w:p w14:paraId="5356BA40">
            <w:pPr>
              <w:spacing w:line="276" w:lineRule="auto"/>
            </w:pPr>
          </w:p>
        </w:tc>
        <w:tc>
          <w:tcPr>
            <w:tcW w:w="1028" w:type="dxa"/>
            <w:tcBorders>
              <w:top w:val="single" w:color="000000" w:sz="8" w:space="0"/>
              <w:left w:val="nil"/>
              <w:bottom w:val="single" w:color="000000" w:sz="8" w:space="0"/>
              <w:right w:val="nil"/>
            </w:tcBorders>
            <w:shd w:val="clear" w:color="auto" w:fill="FFFFFF"/>
            <w:tcMar>
              <w:left w:w="0" w:type="dxa"/>
              <w:right w:w="0" w:type="dxa"/>
            </w:tcMar>
            <w:vAlign w:val="center"/>
          </w:tcPr>
          <w:p w14:paraId="2A38EF87">
            <w:pPr>
              <w:spacing w:line="276" w:lineRule="auto"/>
            </w:pPr>
            <w:r>
              <w:rPr>
                <w:rFonts w:eastAsia="Times New Roman"/>
                <w:lang w:bidi="ar"/>
              </w:rPr>
              <w:t>P</w:t>
            </w:r>
            <w:r>
              <w:rPr>
                <w:lang w:bidi="ar"/>
              </w:rPr>
              <w:t xml:space="preserve"> value</w:t>
            </w:r>
          </w:p>
        </w:tc>
        <w:tc>
          <w:tcPr>
            <w:tcW w:w="2349" w:type="dxa"/>
            <w:gridSpan w:val="2"/>
            <w:tcBorders>
              <w:top w:val="single" w:color="000000" w:sz="8" w:space="0"/>
              <w:left w:val="nil"/>
              <w:bottom w:val="single" w:color="000000" w:sz="8" w:space="0"/>
              <w:right w:val="nil"/>
            </w:tcBorders>
            <w:shd w:val="clear" w:color="auto" w:fill="FFFFFF"/>
            <w:tcMar>
              <w:left w:w="0" w:type="dxa"/>
              <w:right w:w="0" w:type="dxa"/>
            </w:tcMar>
            <w:vAlign w:val="center"/>
          </w:tcPr>
          <w:p w14:paraId="06148834">
            <w:pPr>
              <w:spacing w:line="276" w:lineRule="auto"/>
            </w:pPr>
            <w:r>
              <w:rPr>
                <w:lang w:bidi="ar"/>
              </w:rPr>
              <w:t>OR (95%CI)</w:t>
            </w:r>
          </w:p>
        </w:tc>
      </w:tr>
      <w:tr w14:paraId="461338DD">
        <w:tblPrEx>
          <w:tblCellMar>
            <w:top w:w="0" w:type="dxa"/>
            <w:left w:w="108" w:type="dxa"/>
            <w:bottom w:w="0" w:type="dxa"/>
            <w:right w:w="108" w:type="dxa"/>
          </w:tblCellMar>
        </w:tblPrEx>
        <w:trPr>
          <w:trHeight w:val="284" w:hRule="atLeast"/>
          <w:jc w:val="center"/>
        </w:trPr>
        <w:tc>
          <w:tcPr>
            <w:tcW w:w="1197" w:type="dxa"/>
            <w:tcBorders>
              <w:top w:val="single" w:color="000000" w:sz="8" w:space="0"/>
              <w:left w:val="nil"/>
              <w:bottom w:val="nil"/>
              <w:right w:val="nil"/>
            </w:tcBorders>
            <w:shd w:val="clear" w:color="auto" w:fill="FFFFFF"/>
            <w:tcMar>
              <w:left w:w="0" w:type="dxa"/>
              <w:right w:w="0" w:type="dxa"/>
            </w:tcMar>
            <w:vAlign w:val="center"/>
          </w:tcPr>
          <w:p w14:paraId="2A933D16">
            <w:pPr>
              <w:spacing w:line="276" w:lineRule="auto"/>
            </w:pPr>
            <w:r>
              <w:rPr>
                <w:lang w:bidi="ar"/>
              </w:rPr>
              <w:t>Age</w:t>
            </w:r>
          </w:p>
        </w:tc>
        <w:tc>
          <w:tcPr>
            <w:tcW w:w="1025" w:type="dxa"/>
            <w:tcBorders>
              <w:top w:val="single" w:color="000000" w:sz="8" w:space="0"/>
              <w:left w:val="nil"/>
              <w:bottom w:val="nil"/>
              <w:right w:val="nil"/>
            </w:tcBorders>
            <w:shd w:val="clear" w:color="auto" w:fill="FFFFFF"/>
            <w:tcMar>
              <w:left w:w="0" w:type="dxa"/>
              <w:right w:w="0" w:type="dxa"/>
            </w:tcMar>
            <w:vAlign w:val="center"/>
          </w:tcPr>
          <w:p w14:paraId="73166DCF">
            <w:pPr>
              <w:spacing w:line="276" w:lineRule="auto"/>
            </w:pPr>
            <w:r>
              <w:rPr>
                <w:b/>
                <w:bCs/>
                <w:lang w:bidi="ar"/>
              </w:rPr>
              <w:t>0.007</w:t>
            </w:r>
          </w:p>
        </w:tc>
        <w:tc>
          <w:tcPr>
            <w:tcW w:w="2438" w:type="dxa"/>
            <w:tcBorders>
              <w:top w:val="single" w:color="000000" w:sz="8" w:space="0"/>
              <w:left w:val="nil"/>
              <w:bottom w:val="nil"/>
              <w:right w:val="nil"/>
            </w:tcBorders>
            <w:shd w:val="clear" w:color="auto" w:fill="FFFFFF"/>
            <w:tcMar>
              <w:left w:w="0" w:type="dxa"/>
              <w:right w:w="0" w:type="dxa"/>
            </w:tcMar>
            <w:vAlign w:val="center"/>
          </w:tcPr>
          <w:p w14:paraId="373645EF">
            <w:pPr>
              <w:spacing w:line="276" w:lineRule="auto"/>
            </w:pPr>
            <w:r>
              <w:rPr>
                <w:lang w:bidi="ar"/>
              </w:rPr>
              <w:t>0.99 (0.98 ~ 0.99)</w:t>
            </w:r>
          </w:p>
        </w:tc>
        <w:tc>
          <w:tcPr>
            <w:tcW w:w="20" w:type="dxa"/>
            <w:tcBorders>
              <w:top w:val="single" w:color="000000" w:sz="8" w:space="0"/>
              <w:left w:val="nil"/>
              <w:bottom w:val="nil"/>
              <w:right w:val="nil"/>
            </w:tcBorders>
            <w:shd w:val="clear" w:color="auto" w:fill="FFFFFF"/>
            <w:tcMar>
              <w:left w:w="0" w:type="dxa"/>
              <w:right w:w="0" w:type="dxa"/>
            </w:tcMar>
            <w:vAlign w:val="center"/>
          </w:tcPr>
          <w:p w14:paraId="6B2DBEBB">
            <w:pPr>
              <w:spacing w:line="276" w:lineRule="auto"/>
            </w:pPr>
          </w:p>
        </w:tc>
        <w:tc>
          <w:tcPr>
            <w:tcW w:w="1028" w:type="dxa"/>
            <w:tcBorders>
              <w:top w:val="single" w:color="000000" w:sz="8" w:space="0"/>
              <w:left w:val="nil"/>
              <w:bottom w:val="nil"/>
              <w:right w:val="nil"/>
            </w:tcBorders>
            <w:shd w:val="clear" w:color="auto" w:fill="FFFFFF"/>
            <w:tcMar>
              <w:left w:w="0" w:type="dxa"/>
              <w:right w:w="0" w:type="dxa"/>
            </w:tcMar>
            <w:vAlign w:val="center"/>
          </w:tcPr>
          <w:p w14:paraId="2C4DD975">
            <w:pPr>
              <w:spacing w:line="276" w:lineRule="auto"/>
              <w:rPr>
                <w:b/>
                <w:bCs/>
              </w:rPr>
            </w:pPr>
            <w:r>
              <w:rPr>
                <w:b/>
                <w:bCs/>
                <w:lang w:bidi="ar"/>
              </w:rPr>
              <w:t>0.048</w:t>
            </w:r>
          </w:p>
        </w:tc>
        <w:tc>
          <w:tcPr>
            <w:tcW w:w="2349" w:type="dxa"/>
            <w:gridSpan w:val="2"/>
            <w:tcBorders>
              <w:top w:val="single" w:color="000000" w:sz="8" w:space="0"/>
              <w:left w:val="nil"/>
              <w:bottom w:val="nil"/>
              <w:right w:val="nil"/>
            </w:tcBorders>
            <w:shd w:val="clear" w:color="auto" w:fill="FFFFFF"/>
            <w:tcMar>
              <w:left w:w="0" w:type="dxa"/>
              <w:right w:w="0" w:type="dxa"/>
            </w:tcMar>
            <w:vAlign w:val="center"/>
          </w:tcPr>
          <w:p w14:paraId="0F705ECD">
            <w:pPr>
              <w:spacing w:line="276" w:lineRule="auto"/>
            </w:pPr>
            <w:r>
              <w:rPr>
                <w:lang w:bidi="ar"/>
              </w:rPr>
              <w:t>0.98 (0.97 ~ 0.99)</w:t>
            </w:r>
          </w:p>
        </w:tc>
      </w:tr>
      <w:tr w14:paraId="50171E5B">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4DB80B5A">
            <w:pPr>
              <w:spacing w:line="276" w:lineRule="auto"/>
            </w:pPr>
            <w:r>
              <w:rPr>
                <w:lang w:bidi="ar"/>
              </w:rPr>
              <w:t>BMI</w:t>
            </w:r>
          </w:p>
        </w:tc>
        <w:tc>
          <w:tcPr>
            <w:tcW w:w="1025" w:type="dxa"/>
            <w:tcBorders>
              <w:top w:val="nil"/>
              <w:left w:val="nil"/>
              <w:bottom w:val="nil"/>
              <w:right w:val="nil"/>
            </w:tcBorders>
            <w:shd w:val="clear" w:color="auto" w:fill="FFFFFF"/>
            <w:tcMar>
              <w:left w:w="0" w:type="dxa"/>
              <w:right w:w="0" w:type="dxa"/>
            </w:tcMar>
            <w:vAlign w:val="center"/>
          </w:tcPr>
          <w:p w14:paraId="58D02502">
            <w:pPr>
              <w:spacing w:line="276" w:lineRule="auto"/>
            </w:pPr>
            <w:r>
              <w:rPr>
                <w:lang w:bidi="ar"/>
              </w:rPr>
              <w:t>0.299</w:t>
            </w:r>
          </w:p>
        </w:tc>
        <w:tc>
          <w:tcPr>
            <w:tcW w:w="2438" w:type="dxa"/>
            <w:tcBorders>
              <w:top w:val="nil"/>
              <w:left w:val="nil"/>
              <w:bottom w:val="nil"/>
              <w:right w:val="nil"/>
            </w:tcBorders>
            <w:shd w:val="clear" w:color="auto" w:fill="FFFFFF"/>
            <w:tcMar>
              <w:left w:w="0" w:type="dxa"/>
              <w:right w:w="0" w:type="dxa"/>
            </w:tcMar>
            <w:vAlign w:val="center"/>
          </w:tcPr>
          <w:p w14:paraId="7056BFF9">
            <w:pPr>
              <w:spacing w:line="276" w:lineRule="auto"/>
            </w:pPr>
            <w:r>
              <w:rPr>
                <w:lang w:bidi="ar"/>
              </w:rPr>
              <w:t>0.98 (0.93 ~ 1.02)</w:t>
            </w:r>
          </w:p>
        </w:tc>
        <w:tc>
          <w:tcPr>
            <w:tcW w:w="20" w:type="dxa"/>
            <w:tcBorders>
              <w:top w:val="nil"/>
              <w:left w:val="nil"/>
              <w:bottom w:val="nil"/>
              <w:right w:val="nil"/>
            </w:tcBorders>
            <w:shd w:val="clear" w:color="auto" w:fill="FFFFFF"/>
            <w:tcMar>
              <w:left w:w="0" w:type="dxa"/>
              <w:right w:w="0" w:type="dxa"/>
            </w:tcMar>
            <w:vAlign w:val="center"/>
          </w:tcPr>
          <w:p w14:paraId="1B452E28">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6CE03F6F">
            <w:pPr>
              <w:spacing w:line="276" w:lineRule="auto"/>
              <w:rPr>
                <w:b/>
                <w:bCs/>
              </w:rPr>
            </w:pPr>
          </w:p>
        </w:tc>
        <w:tc>
          <w:tcPr>
            <w:tcW w:w="2349" w:type="dxa"/>
            <w:gridSpan w:val="2"/>
            <w:tcBorders>
              <w:top w:val="nil"/>
              <w:left w:val="nil"/>
              <w:bottom w:val="nil"/>
              <w:right w:val="nil"/>
            </w:tcBorders>
            <w:shd w:val="clear" w:color="auto" w:fill="FFFFFF"/>
            <w:tcMar>
              <w:left w:w="0" w:type="dxa"/>
              <w:right w:w="0" w:type="dxa"/>
            </w:tcMar>
            <w:vAlign w:val="center"/>
          </w:tcPr>
          <w:p w14:paraId="7B4A5CEC">
            <w:pPr>
              <w:spacing w:line="276" w:lineRule="auto"/>
            </w:pPr>
          </w:p>
        </w:tc>
      </w:tr>
      <w:tr w14:paraId="6644F56B">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635B8863">
            <w:pPr>
              <w:spacing w:line="276" w:lineRule="auto"/>
            </w:pPr>
            <w:r>
              <w:rPr>
                <w:lang w:bidi="ar"/>
              </w:rPr>
              <w:t>Heart rate</w:t>
            </w:r>
          </w:p>
        </w:tc>
        <w:tc>
          <w:tcPr>
            <w:tcW w:w="1025" w:type="dxa"/>
            <w:tcBorders>
              <w:top w:val="nil"/>
              <w:left w:val="nil"/>
              <w:bottom w:val="nil"/>
              <w:right w:val="nil"/>
            </w:tcBorders>
            <w:shd w:val="clear" w:color="auto" w:fill="FFFFFF"/>
            <w:tcMar>
              <w:left w:w="0" w:type="dxa"/>
              <w:right w:w="0" w:type="dxa"/>
            </w:tcMar>
            <w:vAlign w:val="center"/>
          </w:tcPr>
          <w:p w14:paraId="6D2DCFD6">
            <w:pPr>
              <w:spacing w:line="276" w:lineRule="auto"/>
              <w:rPr>
                <w:b/>
                <w:bCs/>
              </w:rPr>
            </w:pPr>
            <w:r>
              <w:rPr>
                <w:b/>
                <w:bCs/>
                <w:lang w:bidi="ar"/>
              </w:rPr>
              <w:t>&lt;.001</w:t>
            </w:r>
          </w:p>
        </w:tc>
        <w:tc>
          <w:tcPr>
            <w:tcW w:w="2438" w:type="dxa"/>
            <w:tcBorders>
              <w:top w:val="nil"/>
              <w:left w:val="nil"/>
              <w:bottom w:val="nil"/>
              <w:right w:val="nil"/>
            </w:tcBorders>
            <w:shd w:val="clear" w:color="auto" w:fill="FFFFFF"/>
            <w:tcMar>
              <w:left w:w="0" w:type="dxa"/>
              <w:right w:w="0" w:type="dxa"/>
            </w:tcMar>
            <w:vAlign w:val="center"/>
          </w:tcPr>
          <w:p w14:paraId="6EEFE50B">
            <w:pPr>
              <w:spacing w:line="276" w:lineRule="auto"/>
            </w:pPr>
            <w:r>
              <w:rPr>
                <w:lang w:bidi="ar"/>
              </w:rPr>
              <w:t>1.05 (1.03 ~ 1.06)</w:t>
            </w:r>
          </w:p>
        </w:tc>
        <w:tc>
          <w:tcPr>
            <w:tcW w:w="20" w:type="dxa"/>
            <w:tcBorders>
              <w:top w:val="nil"/>
              <w:left w:val="nil"/>
              <w:bottom w:val="nil"/>
              <w:right w:val="nil"/>
            </w:tcBorders>
            <w:shd w:val="clear" w:color="auto" w:fill="FFFFFF"/>
            <w:tcMar>
              <w:left w:w="0" w:type="dxa"/>
              <w:right w:w="0" w:type="dxa"/>
            </w:tcMar>
            <w:vAlign w:val="center"/>
          </w:tcPr>
          <w:p w14:paraId="63A0A15A">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42048EA7">
            <w:pPr>
              <w:spacing w:line="276" w:lineRule="auto"/>
              <w:rPr>
                <w:b/>
                <w:bCs/>
              </w:rPr>
            </w:pPr>
            <w:r>
              <w:rPr>
                <w:b/>
                <w:bCs/>
                <w:lang w:bidi="ar"/>
              </w:rPr>
              <w:t>0.007</w:t>
            </w:r>
          </w:p>
        </w:tc>
        <w:tc>
          <w:tcPr>
            <w:tcW w:w="2349" w:type="dxa"/>
            <w:gridSpan w:val="2"/>
            <w:tcBorders>
              <w:top w:val="nil"/>
              <w:left w:val="nil"/>
              <w:bottom w:val="nil"/>
              <w:right w:val="nil"/>
            </w:tcBorders>
            <w:shd w:val="clear" w:color="auto" w:fill="FFFFFF"/>
            <w:tcMar>
              <w:left w:w="0" w:type="dxa"/>
              <w:right w:w="0" w:type="dxa"/>
            </w:tcMar>
            <w:vAlign w:val="center"/>
          </w:tcPr>
          <w:p w14:paraId="7291CF91">
            <w:pPr>
              <w:spacing w:line="276" w:lineRule="auto"/>
            </w:pPr>
            <w:r>
              <w:rPr>
                <w:lang w:bidi="ar"/>
              </w:rPr>
              <w:t>1.03 (1.01 ~ 1.06)</w:t>
            </w:r>
          </w:p>
        </w:tc>
      </w:tr>
      <w:tr w14:paraId="5FA078F8">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5441373D">
            <w:pPr>
              <w:spacing w:line="276" w:lineRule="auto"/>
            </w:pPr>
            <w:r>
              <w:rPr>
                <w:lang w:bidi="ar"/>
              </w:rPr>
              <w:t>SDNN</w:t>
            </w:r>
          </w:p>
        </w:tc>
        <w:tc>
          <w:tcPr>
            <w:tcW w:w="1025" w:type="dxa"/>
            <w:tcBorders>
              <w:top w:val="nil"/>
              <w:left w:val="nil"/>
              <w:bottom w:val="nil"/>
              <w:right w:val="nil"/>
            </w:tcBorders>
            <w:shd w:val="clear" w:color="auto" w:fill="FFFFFF"/>
            <w:tcMar>
              <w:left w:w="0" w:type="dxa"/>
              <w:right w:w="0" w:type="dxa"/>
            </w:tcMar>
            <w:vAlign w:val="center"/>
          </w:tcPr>
          <w:p w14:paraId="77E126B1">
            <w:pPr>
              <w:spacing w:line="276" w:lineRule="auto"/>
              <w:rPr>
                <w:b/>
                <w:bCs/>
              </w:rPr>
            </w:pPr>
            <w:r>
              <w:rPr>
                <w:b/>
                <w:bCs/>
                <w:lang w:bidi="ar"/>
              </w:rPr>
              <w:t>&lt;.001</w:t>
            </w:r>
          </w:p>
        </w:tc>
        <w:tc>
          <w:tcPr>
            <w:tcW w:w="2438" w:type="dxa"/>
            <w:tcBorders>
              <w:top w:val="nil"/>
              <w:left w:val="nil"/>
              <w:bottom w:val="nil"/>
              <w:right w:val="nil"/>
            </w:tcBorders>
            <w:shd w:val="clear" w:color="auto" w:fill="FFFFFF"/>
            <w:tcMar>
              <w:left w:w="0" w:type="dxa"/>
              <w:right w:w="0" w:type="dxa"/>
            </w:tcMar>
            <w:vAlign w:val="center"/>
          </w:tcPr>
          <w:p w14:paraId="675C8485">
            <w:pPr>
              <w:spacing w:line="276" w:lineRule="auto"/>
            </w:pPr>
            <w:r>
              <w:rPr>
                <w:lang w:bidi="ar"/>
              </w:rPr>
              <w:t>0.97 (0.96 ~ 0.98)</w:t>
            </w:r>
          </w:p>
        </w:tc>
        <w:tc>
          <w:tcPr>
            <w:tcW w:w="20" w:type="dxa"/>
            <w:tcBorders>
              <w:top w:val="nil"/>
              <w:left w:val="nil"/>
              <w:bottom w:val="nil"/>
              <w:right w:val="nil"/>
            </w:tcBorders>
            <w:shd w:val="clear" w:color="auto" w:fill="FFFFFF"/>
            <w:tcMar>
              <w:left w:w="0" w:type="dxa"/>
              <w:right w:w="0" w:type="dxa"/>
            </w:tcMar>
            <w:vAlign w:val="center"/>
          </w:tcPr>
          <w:p w14:paraId="45567395">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159C537F">
            <w:pPr>
              <w:spacing w:line="276" w:lineRule="auto"/>
              <w:rPr>
                <w:b/>
                <w:bCs/>
              </w:rPr>
            </w:pPr>
            <w:r>
              <w:rPr>
                <w:rFonts w:eastAsia="Times New Roman"/>
                <w:b/>
                <w:bCs/>
                <w:lang w:bidi="ar"/>
              </w:rPr>
              <w:t>0.</w:t>
            </w:r>
            <w:r>
              <w:rPr>
                <w:b/>
                <w:bCs/>
                <w:lang w:bidi="ar"/>
              </w:rPr>
              <w:t>001</w:t>
            </w:r>
          </w:p>
        </w:tc>
        <w:tc>
          <w:tcPr>
            <w:tcW w:w="2349" w:type="dxa"/>
            <w:gridSpan w:val="2"/>
            <w:tcBorders>
              <w:top w:val="nil"/>
              <w:left w:val="nil"/>
              <w:bottom w:val="nil"/>
              <w:right w:val="nil"/>
            </w:tcBorders>
            <w:shd w:val="clear" w:color="auto" w:fill="FFFFFF"/>
            <w:tcMar>
              <w:left w:w="0" w:type="dxa"/>
              <w:right w:w="0" w:type="dxa"/>
            </w:tcMar>
            <w:vAlign w:val="center"/>
          </w:tcPr>
          <w:p w14:paraId="49204489">
            <w:pPr>
              <w:spacing w:line="276" w:lineRule="auto"/>
            </w:pPr>
            <w:r>
              <w:rPr>
                <w:lang w:bidi="ar"/>
              </w:rPr>
              <w:t>0.98</w:t>
            </w:r>
            <w:r>
              <w:rPr>
                <w:rFonts w:eastAsia="Times New Roman"/>
                <w:lang w:bidi="ar"/>
              </w:rPr>
              <w:t xml:space="preserve"> (0.</w:t>
            </w:r>
            <w:r>
              <w:rPr>
                <w:lang w:bidi="ar"/>
              </w:rPr>
              <w:t>96</w:t>
            </w:r>
            <w:r>
              <w:rPr>
                <w:rFonts w:eastAsia="Times New Roman"/>
                <w:lang w:bidi="ar"/>
              </w:rPr>
              <w:t xml:space="preserve"> ~ </w:t>
            </w:r>
            <w:r>
              <w:rPr>
                <w:lang w:bidi="ar"/>
              </w:rPr>
              <w:t>0.99</w:t>
            </w:r>
            <w:r>
              <w:rPr>
                <w:rFonts w:eastAsia="Times New Roman"/>
                <w:lang w:bidi="ar"/>
              </w:rPr>
              <w:t>)</w:t>
            </w:r>
          </w:p>
        </w:tc>
      </w:tr>
      <w:tr w14:paraId="5E323296">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74A3F34C">
            <w:pPr>
              <w:spacing w:line="276" w:lineRule="auto"/>
            </w:pPr>
            <w:r>
              <w:rPr>
                <w:lang w:bidi="ar"/>
              </w:rPr>
              <w:t>SDNN5</w:t>
            </w:r>
          </w:p>
        </w:tc>
        <w:tc>
          <w:tcPr>
            <w:tcW w:w="1025" w:type="dxa"/>
            <w:tcBorders>
              <w:top w:val="nil"/>
              <w:left w:val="nil"/>
              <w:bottom w:val="nil"/>
              <w:right w:val="nil"/>
            </w:tcBorders>
            <w:shd w:val="clear" w:color="auto" w:fill="FFFFFF"/>
            <w:tcMar>
              <w:left w:w="0" w:type="dxa"/>
              <w:right w:w="0" w:type="dxa"/>
            </w:tcMar>
            <w:vAlign w:val="center"/>
          </w:tcPr>
          <w:p w14:paraId="1138FCF1">
            <w:pPr>
              <w:spacing w:line="276" w:lineRule="auto"/>
              <w:rPr>
                <w:b/>
                <w:bCs/>
              </w:rPr>
            </w:pPr>
            <w:r>
              <w:rPr>
                <w:b/>
                <w:bCs/>
                <w:lang w:bidi="ar"/>
              </w:rPr>
              <w:t>&lt;.001</w:t>
            </w:r>
          </w:p>
        </w:tc>
        <w:tc>
          <w:tcPr>
            <w:tcW w:w="2438" w:type="dxa"/>
            <w:tcBorders>
              <w:top w:val="nil"/>
              <w:left w:val="nil"/>
              <w:bottom w:val="nil"/>
              <w:right w:val="nil"/>
            </w:tcBorders>
            <w:shd w:val="clear" w:color="auto" w:fill="FFFFFF"/>
            <w:tcMar>
              <w:left w:w="0" w:type="dxa"/>
              <w:right w:w="0" w:type="dxa"/>
            </w:tcMar>
            <w:vAlign w:val="center"/>
          </w:tcPr>
          <w:p w14:paraId="21ADB03A">
            <w:pPr>
              <w:spacing w:line="276" w:lineRule="auto"/>
            </w:pPr>
            <w:r>
              <w:rPr>
                <w:lang w:bidi="ar"/>
              </w:rPr>
              <w:t>0.96 (0.95 ~ 0.98)</w:t>
            </w:r>
          </w:p>
        </w:tc>
        <w:tc>
          <w:tcPr>
            <w:tcW w:w="20" w:type="dxa"/>
            <w:tcBorders>
              <w:top w:val="nil"/>
              <w:left w:val="nil"/>
              <w:bottom w:val="nil"/>
              <w:right w:val="nil"/>
            </w:tcBorders>
            <w:shd w:val="clear" w:color="auto" w:fill="FFFFFF"/>
            <w:tcMar>
              <w:left w:w="0" w:type="dxa"/>
              <w:right w:w="0" w:type="dxa"/>
            </w:tcMar>
            <w:vAlign w:val="center"/>
          </w:tcPr>
          <w:p w14:paraId="1480977E">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3D8FD63F">
            <w:pPr>
              <w:spacing w:line="276" w:lineRule="auto"/>
            </w:pPr>
            <w:r>
              <w:rPr>
                <w:lang w:bidi="ar"/>
              </w:rPr>
              <w:t>0.588</w:t>
            </w:r>
          </w:p>
        </w:tc>
        <w:tc>
          <w:tcPr>
            <w:tcW w:w="2349" w:type="dxa"/>
            <w:gridSpan w:val="2"/>
            <w:tcBorders>
              <w:top w:val="nil"/>
              <w:left w:val="nil"/>
              <w:bottom w:val="nil"/>
              <w:right w:val="nil"/>
            </w:tcBorders>
            <w:shd w:val="clear" w:color="auto" w:fill="FFFFFF"/>
            <w:tcMar>
              <w:left w:w="0" w:type="dxa"/>
              <w:right w:w="0" w:type="dxa"/>
            </w:tcMar>
            <w:vAlign w:val="center"/>
          </w:tcPr>
          <w:p w14:paraId="620E8353">
            <w:pPr>
              <w:spacing w:line="276" w:lineRule="auto"/>
            </w:pPr>
            <w:r>
              <w:rPr>
                <w:lang w:bidi="ar"/>
              </w:rPr>
              <w:t>1.02 (0.94 ~ 1.11)</w:t>
            </w:r>
          </w:p>
        </w:tc>
      </w:tr>
      <w:tr w14:paraId="2AE6CA7A">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56545767">
            <w:pPr>
              <w:spacing w:line="276" w:lineRule="auto"/>
            </w:pPr>
            <w:r>
              <w:rPr>
                <w:lang w:bidi="ar"/>
              </w:rPr>
              <w:t>Pnn50</w:t>
            </w:r>
          </w:p>
        </w:tc>
        <w:tc>
          <w:tcPr>
            <w:tcW w:w="1025" w:type="dxa"/>
            <w:tcBorders>
              <w:top w:val="nil"/>
              <w:left w:val="nil"/>
              <w:bottom w:val="nil"/>
              <w:right w:val="nil"/>
            </w:tcBorders>
            <w:shd w:val="clear" w:color="auto" w:fill="FFFFFF"/>
            <w:tcMar>
              <w:left w:w="0" w:type="dxa"/>
              <w:right w:w="0" w:type="dxa"/>
            </w:tcMar>
            <w:vAlign w:val="center"/>
          </w:tcPr>
          <w:p w14:paraId="6CEB8A58">
            <w:pPr>
              <w:spacing w:line="276" w:lineRule="auto"/>
              <w:rPr>
                <w:b/>
                <w:bCs/>
              </w:rPr>
            </w:pPr>
            <w:r>
              <w:rPr>
                <w:b/>
                <w:bCs/>
                <w:lang w:bidi="ar"/>
              </w:rPr>
              <w:t>0.011</w:t>
            </w:r>
          </w:p>
        </w:tc>
        <w:tc>
          <w:tcPr>
            <w:tcW w:w="2438" w:type="dxa"/>
            <w:tcBorders>
              <w:top w:val="nil"/>
              <w:left w:val="nil"/>
              <w:bottom w:val="nil"/>
              <w:right w:val="nil"/>
            </w:tcBorders>
            <w:shd w:val="clear" w:color="auto" w:fill="FFFFFF"/>
            <w:tcMar>
              <w:left w:w="0" w:type="dxa"/>
              <w:right w:w="0" w:type="dxa"/>
            </w:tcMar>
            <w:vAlign w:val="center"/>
          </w:tcPr>
          <w:p w14:paraId="6BF5888B">
            <w:pPr>
              <w:spacing w:line="276" w:lineRule="auto"/>
            </w:pPr>
            <w:r>
              <w:rPr>
                <w:lang w:bidi="ar"/>
              </w:rPr>
              <w:t>0.98 (0.97 ~ 0.99)</w:t>
            </w:r>
          </w:p>
        </w:tc>
        <w:tc>
          <w:tcPr>
            <w:tcW w:w="20" w:type="dxa"/>
            <w:tcBorders>
              <w:top w:val="nil"/>
              <w:left w:val="nil"/>
              <w:bottom w:val="nil"/>
              <w:right w:val="nil"/>
            </w:tcBorders>
            <w:shd w:val="clear" w:color="auto" w:fill="FFFFFF"/>
            <w:tcMar>
              <w:left w:w="0" w:type="dxa"/>
              <w:right w:w="0" w:type="dxa"/>
            </w:tcMar>
            <w:vAlign w:val="center"/>
          </w:tcPr>
          <w:p w14:paraId="00759973">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405DC354">
            <w:pPr>
              <w:spacing w:line="276" w:lineRule="auto"/>
            </w:pPr>
            <w:r>
              <w:rPr>
                <w:lang w:bidi="ar"/>
              </w:rPr>
              <w:t>0.592</w:t>
            </w:r>
          </w:p>
        </w:tc>
        <w:tc>
          <w:tcPr>
            <w:tcW w:w="2349" w:type="dxa"/>
            <w:gridSpan w:val="2"/>
            <w:tcBorders>
              <w:top w:val="nil"/>
              <w:left w:val="nil"/>
              <w:bottom w:val="nil"/>
              <w:right w:val="nil"/>
            </w:tcBorders>
            <w:shd w:val="clear" w:color="auto" w:fill="FFFFFF"/>
            <w:tcMar>
              <w:left w:w="0" w:type="dxa"/>
              <w:right w:w="0" w:type="dxa"/>
            </w:tcMar>
            <w:vAlign w:val="center"/>
          </w:tcPr>
          <w:p w14:paraId="7D008F9B">
            <w:pPr>
              <w:spacing w:line="276" w:lineRule="auto"/>
            </w:pPr>
            <w:r>
              <w:rPr>
                <w:lang w:bidi="ar"/>
              </w:rPr>
              <w:t>1.01 (0.97 ~ 1.06)</w:t>
            </w:r>
          </w:p>
        </w:tc>
      </w:tr>
      <w:tr w14:paraId="3E2D14B9">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5BB6409E">
            <w:pPr>
              <w:spacing w:line="276" w:lineRule="auto"/>
            </w:pPr>
            <w:r>
              <w:rPr>
                <w:lang w:bidi="ar"/>
              </w:rPr>
              <w:t>Rmssd</w:t>
            </w:r>
          </w:p>
        </w:tc>
        <w:tc>
          <w:tcPr>
            <w:tcW w:w="1025" w:type="dxa"/>
            <w:tcBorders>
              <w:top w:val="nil"/>
              <w:left w:val="nil"/>
              <w:bottom w:val="nil"/>
              <w:right w:val="nil"/>
            </w:tcBorders>
            <w:shd w:val="clear" w:color="auto" w:fill="FFFFFF"/>
            <w:tcMar>
              <w:left w:w="0" w:type="dxa"/>
              <w:right w:w="0" w:type="dxa"/>
            </w:tcMar>
            <w:vAlign w:val="center"/>
          </w:tcPr>
          <w:p w14:paraId="07C43901">
            <w:pPr>
              <w:spacing w:line="276" w:lineRule="auto"/>
              <w:rPr>
                <w:b/>
                <w:bCs/>
              </w:rPr>
            </w:pPr>
            <w:r>
              <w:rPr>
                <w:b/>
                <w:bCs/>
                <w:lang w:bidi="ar"/>
              </w:rPr>
              <w:t>&lt;.001</w:t>
            </w:r>
          </w:p>
        </w:tc>
        <w:tc>
          <w:tcPr>
            <w:tcW w:w="2438" w:type="dxa"/>
            <w:tcBorders>
              <w:top w:val="nil"/>
              <w:left w:val="nil"/>
              <w:bottom w:val="nil"/>
              <w:right w:val="nil"/>
            </w:tcBorders>
            <w:shd w:val="clear" w:color="auto" w:fill="FFFFFF"/>
            <w:tcMar>
              <w:left w:w="0" w:type="dxa"/>
              <w:right w:w="0" w:type="dxa"/>
            </w:tcMar>
            <w:vAlign w:val="center"/>
          </w:tcPr>
          <w:p w14:paraId="21079F97">
            <w:pPr>
              <w:spacing w:line="276" w:lineRule="auto"/>
            </w:pPr>
            <w:r>
              <w:rPr>
                <w:lang w:bidi="ar"/>
              </w:rPr>
              <w:t>0.98 (0.96 ~ 0.99)</w:t>
            </w:r>
          </w:p>
        </w:tc>
        <w:tc>
          <w:tcPr>
            <w:tcW w:w="20" w:type="dxa"/>
            <w:tcBorders>
              <w:top w:val="nil"/>
              <w:left w:val="nil"/>
              <w:bottom w:val="nil"/>
              <w:right w:val="nil"/>
            </w:tcBorders>
            <w:shd w:val="clear" w:color="auto" w:fill="FFFFFF"/>
            <w:tcMar>
              <w:left w:w="0" w:type="dxa"/>
              <w:right w:w="0" w:type="dxa"/>
            </w:tcMar>
            <w:vAlign w:val="center"/>
          </w:tcPr>
          <w:p w14:paraId="037AEB85">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6D41E779">
            <w:pPr>
              <w:spacing w:line="276" w:lineRule="auto"/>
            </w:pPr>
            <w:r>
              <w:rPr>
                <w:lang w:bidi="ar"/>
              </w:rPr>
              <w:t>0.834</w:t>
            </w:r>
          </w:p>
        </w:tc>
        <w:tc>
          <w:tcPr>
            <w:tcW w:w="2349" w:type="dxa"/>
            <w:gridSpan w:val="2"/>
            <w:tcBorders>
              <w:top w:val="nil"/>
              <w:left w:val="nil"/>
              <w:bottom w:val="nil"/>
              <w:right w:val="nil"/>
            </w:tcBorders>
            <w:shd w:val="clear" w:color="auto" w:fill="FFFFFF"/>
            <w:tcMar>
              <w:left w:w="0" w:type="dxa"/>
              <w:right w:w="0" w:type="dxa"/>
            </w:tcMar>
            <w:vAlign w:val="center"/>
          </w:tcPr>
          <w:p w14:paraId="21EB4577">
            <w:pPr>
              <w:spacing w:line="276" w:lineRule="auto"/>
            </w:pPr>
            <w:r>
              <w:rPr>
                <w:lang w:bidi="ar"/>
              </w:rPr>
              <w:t>2.21 (0.00 ~ 3778.60)</w:t>
            </w:r>
          </w:p>
        </w:tc>
      </w:tr>
      <w:tr w14:paraId="3DE76D09">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49C683F8">
            <w:pPr>
              <w:spacing w:line="276" w:lineRule="auto"/>
            </w:pPr>
            <w:r>
              <w:rPr>
                <w:lang w:bidi="ar"/>
              </w:rPr>
              <w:t>SD1</w:t>
            </w:r>
          </w:p>
        </w:tc>
        <w:tc>
          <w:tcPr>
            <w:tcW w:w="1025" w:type="dxa"/>
            <w:tcBorders>
              <w:top w:val="nil"/>
              <w:left w:val="nil"/>
              <w:bottom w:val="nil"/>
              <w:right w:val="nil"/>
            </w:tcBorders>
            <w:shd w:val="clear" w:color="auto" w:fill="FFFFFF"/>
            <w:tcMar>
              <w:left w:w="0" w:type="dxa"/>
              <w:right w:w="0" w:type="dxa"/>
            </w:tcMar>
            <w:vAlign w:val="center"/>
          </w:tcPr>
          <w:p w14:paraId="2F7FF34E">
            <w:pPr>
              <w:spacing w:line="276" w:lineRule="auto"/>
              <w:rPr>
                <w:b/>
                <w:bCs/>
              </w:rPr>
            </w:pPr>
            <w:r>
              <w:rPr>
                <w:b/>
                <w:bCs/>
                <w:lang w:bidi="ar"/>
              </w:rPr>
              <w:t>&lt;.001</w:t>
            </w:r>
          </w:p>
        </w:tc>
        <w:tc>
          <w:tcPr>
            <w:tcW w:w="2438" w:type="dxa"/>
            <w:tcBorders>
              <w:top w:val="nil"/>
              <w:left w:val="nil"/>
              <w:bottom w:val="nil"/>
              <w:right w:val="nil"/>
            </w:tcBorders>
            <w:shd w:val="clear" w:color="auto" w:fill="FFFFFF"/>
            <w:tcMar>
              <w:left w:w="0" w:type="dxa"/>
              <w:right w:w="0" w:type="dxa"/>
            </w:tcMar>
            <w:vAlign w:val="center"/>
          </w:tcPr>
          <w:p w14:paraId="1966B67B">
            <w:pPr>
              <w:spacing w:line="276" w:lineRule="auto"/>
            </w:pPr>
            <w:r>
              <w:rPr>
                <w:lang w:bidi="ar"/>
              </w:rPr>
              <w:t>0.97 (0.95 ~ 0.99)</w:t>
            </w:r>
          </w:p>
        </w:tc>
        <w:tc>
          <w:tcPr>
            <w:tcW w:w="20" w:type="dxa"/>
            <w:tcBorders>
              <w:top w:val="nil"/>
              <w:left w:val="nil"/>
              <w:bottom w:val="nil"/>
              <w:right w:val="nil"/>
            </w:tcBorders>
            <w:shd w:val="clear" w:color="auto" w:fill="FFFFFF"/>
            <w:tcMar>
              <w:left w:w="0" w:type="dxa"/>
              <w:right w:w="0" w:type="dxa"/>
            </w:tcMar>
            <w:vAlign w:val="center"/>
          </w:tcPr>
          <w:p w14:paraId="518C2D55">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623E665B">
            <w:pPr>
              <w:spacing w:line="276" w:lineRule="auto"/>
            </w:pPr>
            <w:r>
              <w:rPr>
                <w:lang w:bidi="ar"/>
              </w:rPr>
              <w:t>0.921</w:t>
            </w:r>
          </w:p>
        </w:tc>
        <w:tc>
          <w:tcPr>
            <w:tcW w:w="2349" w:type="dxa"/>
            <w:gridSpan w:val="2"/>
            <w:tcBorders>
              <w:top w:val="nil"/>
              <w:left w:val="nil"/>
              <w:bottom w:val="nil"/>
              <w:right w:val="nil"/>
            </w:tcBorders>
            <w:shd w:val="clear" w:color="auto" w:fill="FFFFFF"/>
            <w:tcMar>
              <w:left w:w="0" w:type="dxa"/>
              <w:right w:w="0" w:type="dxa"/>
            </w:tcMar>
            <w:vAlign w:val="center"/>
          </w:tcPr>
          <w:p w14:paraId="23A64424">
            <w:pPr>
              <w:spacing w:line="276" w:lineRule="auto"/>
            </w:pPr>
            <w:r>
              <w:rPr>
                <w:lang w:bidi="ar"/>
              </w:rPr>
              <w:t>1.44 (0.00 ~ 1908.30)</w:t>
            </w:r>
          </w:p>
        </w:tc>
      </w:tr>
      <w:tr w14:paraId="3694D873">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3D20B741">
            <w:pPr>
              <w:spacing w:line="276" w:lineRule="auto"/>
            </w:pPr>
            <w:r>
              <w:rPr>
                <w:lang w:bidi="ar"/>
              </w:rPr>
              <w:t>SD2</w:t>
            </w:r>
          </w:p>
        </w:tc>
        <w:tc>
          <w:tcPr>
            <w:tcW w:w="1025" w:type="dxa"/>
            <w:tcBorders>
              <w:top w:val="nil"/>
              <w:left w:val="nil"/>
              <w:bottom w:val="nil"/>
              <w:right w:val="nil"/>
            </w:tcBorders>
            <w:shd w:val="clear" w:color="auto" w:fill="FFFFFF"/>
            <w:tcMar>
              <w:left w:w="0" w:type="dxa"/>
              <w:right w:w="0" w:type="dxa"/>
            </w:tcMar>
            <w:vAlign w:val="center"/>
          </w:tcPr>
          <w:p w14:paraId="47C00736">
            <w:pPr>
              <w:spacing w:line="276" w:lineRule="auto"/>
              <w:rPr>
                <w:b/>
                <w:bCs/>
              </w:rPr>
            </w:pPr>
            <w:r>
              <w:rPr>
                <w:b/>
                <w:bCs/>
                <w:lang w:bidi="ar"/>
              </w:rPr>
              <w:t>&lt;.001</w:t>
            </w:r>
          </w:p>
        </w:tc>
        <w:tc>
          <w:tcPr>
            <w:tcW w:w="2438" w:type="dxa"/>
            <w:tcBorders>
              <w:top w:val="nil"/>
              <w:left w:val="nil"/>
              <w:bottom w:val="nil"/>
              <w:right w:val="nil"/>
            </w:tcBorders>
            <w:shd w:val="clear" w:color="auto" w:fill="FFFFFF"/>
            <w:tcMar>
              <w:left w:w="0" w:type="dxa"/>
              <w:right w:w="0" w:type="dxa"/>
            </w:tcMar>
            <w:vAlign w:val="center"/>
          </w:tcPr>
          <w:p w14:paraId="1170CAB3">
            <w:pPr>
              <w:spacing w:line="276" w:lineRule="auto"/>
            </w:pPr>
            <w:r>
              <w:rPr>
                <w:lang w:bidi="ar"/>
              </w:rPr>
              <w:t>0.98 (0.97 ~ 0.99)</w:t>
            </w:r>
          </w:p>
        </w:tc>
        <w:tc>
          <w:tcPr>
            <w:tcW w:w="20" w:type="dxa"/>
            <w:tcBorders>
              <w:top w:val="nil"/>
              <w:left w:val="nil"/>
              <w:bottom w:val="nil"/>
              <w:right w:val="nil"/>
            </w:tcBorders>
            <w:shd w:val="clear" w:color="auto" w:fill="FFFFFF"/>
            <w:tcMar>
              <w:left w:w="0" w:type="dxa"/>
              <w:right w:w="0" w:type="dxa"/>
            </w:tcMar>
            <w:vAlign w:val="center"/>
          </w:tcPr>
          <w:p w14:paraId="01BFE326">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512FEB2A">
            <w:pPr>
              <w:spacing w:line="276" w:lineRule="auto"/>
            </w:pPr>
            <w:r>
              <w:rPr>
                <w:lang w:bidi="ar"/>
              </w:rPr>
              <w:t>0.966</w:t>
            </w:r>
          </w:p>
        </w:tc>
        <w:tc>
          <w:tcPr>
            <w:tcW w:w="2349" w:type="dxa"/>
            <w:gridSpan w:val="2"/>
            <w:tcBorders>
              <w:top w:val="nil"/>
              <w:left w:val="nil"/>
              <w:bottom w:val="nil"/>
              <w:right w:val="nil"/>
            </w:tcBorders>
            <w:shd w:val="clear" w:color="auto" w:fill="FFFFFF"/>
            <w:tcMar>
              <w:left w:w="0" w:type="dxa"/>
              <w:right w:w="0" w:type="dxa"/>
            </w:tcMar>
            <w:vAlign w:val="center"/>
          </w:tcPr>
          <w:p w14:paraId="3521FFAD">
            <w:pPr>
              <w:spacing w:line="276" w:lineRule="auto"/>
            </w:pPr>
            <w:r>
              <w:rPr>
                <w:lang w:bidi="ar"/>
              </w:rPr>
              <w:t>1.00 (0.89 ~ 1.12)</w:t>
            </w:r>
          </w:p>
        </w:tc>
      </w:tr>
      <w:tr w14:paraId="5D513E8B">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47C7CC3B">
            <w:pPr>
              <w:spacing w:line="276" w:lineRule="auto"/>
            </w:pPr>
            <w:r>
              <w:rPr>
                <w:lang w:bidi="ar"/>
              </w:rPr>
              <w:t>SD1</w:t>
            </w:r>
            <w:r>
              <w:rPr>
                <w:rFonts w:eastAsia="宋体"/>
                <w:lang w:bidi="ar"/>
              </w:rPr>
              <w:t>/</w:t>
            </w:r>
            <w:r>
              <w:rPr>
                <w:lang w:bidi="ar"/>
              </w:rPr>
              <w:t>SD2</w:t>
            </w:r>
          </w:p>
        </w:tc>
        <w:tc>
          <w:tcPr>
            <w:tcW w:w="1025" w:type="dxa"/>
            <w:tcBorders>
              <w:top w:val="nil"/>
              <w:left w:val="nil"/>
              <w:bottom w:val="nil"/>
              <w:right w:val="nil"/>
            </w:tcBorders>
            <w:shd w:val="clear" w:color="auto" w:fill="FFFFFF"/>
            <w:tcMar>
              <w:left w:w="0" w:type="dxa"/>
              <w:right w:w="0" w:type="dxa"/>
            </w:tcMar>
            <w:vAlign w:val="center"/>
          </w:tcPr>
          <w:p w14:paraId="5D9F20BC">
            <w:pPr>
              <w:spacing w:line="276" w:lineRule="auto"/>
            </w:pPr>
            <w:r>
              <w:rPr>
                <w:lang w:bidi="ar"/>
              </w:rPr>
              <w:t>0.081</w:t>
            </w:r>
          </w:p>
        </w:tc>
        <w:tc>
          <w:tcPr>
            <w:tcW w:w="2438" w:type="dxa"/>
            <w:tcBorders>
              <w:top w:val="nil"/>
              <w:left w:val="nil"/>
              <w:bottom w:val="nil"/>
              <w:right w:val="nil"/>
            </w:tcBorders>
            <w:shd w:val="clear" w:color="auto" w:fill="FFFFFF"/>
            <w:tcMar>
              <w:left w:w="0" w:type="dxa"/>
              <w:right w:w="0" w:type="dxa"/>
            </w:tcMar>
            <w:vAlign w:val="center"/>
          </w:tcPr>
          <w:p w14:paraId="4B72C5ED">
            <w:pPr>
              <w:spacing w:line="276" w:lineRule="auto"/>
            </w:pPr>
            <w:r>
              <w:rPr>
                <w:lang w:bidi="ar"/>
              </w:rPr>
              <w:t>3.46 (0.86 ~ 13.93)</w:t>
            </w:r>
          </w:p>
        </w:tc>
        <w:tc>
          <w:tcPr>
            <w:tcW w:w="20" w:type="dxa"/>
            <w:tcBorders>
              <w:top w:val="nil"/>
              <w:left w:val="nil"/>
              <w:bottom w:val="nil"/>
              <w:right w:val="nil"/>
            </w:tcBorders>
            <w:shd w:val="clear" w:color="auto" w:fill="FFFFFF"/>
            <w:tcMar>
              <w:left w:w="0" w:type="dxa"/>
              <w:right w:w="0" w:type="dxa"/>
            </w:tcMar>
            <w:vAlign w:val="center"/>
          </w:tcPr>
          <w:p w14:paraId="36CFAC74">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417DCA1F">
            <w:pPr>
              <w:spacing w:line="276" w:lineRule="auto"/>
            </w:pPr>
            <w:r>
              <w:rPr>
                <w:lang w:bidi="ar"/>
              </w:rPr>
              <w:t>0.</w:t>
            </w:r>
            <w:r>
              <w:rPr>
                <w:rFonts w:eastAsia="宋体"/>
                <w:lang w:bidi="ar"/>
              </w:rPr>
              <w:t>02</w:t>
            </w:r>
            <w:r>
              <w:rPr>
                <w:lang w:bidi="ar"/>
              </w:rPr>
              <w:t>6</w:t>
            </w:r>
          </w:p>
        </w:tc>
        <w:tc>
          <w:tcPr>
            <w:tcW w:w="2349" w:type="dxa"/>
            <w:gridSpan w:val="2"/>
            <w:tcBorders>
              <w:top w:val="nil"/>
              <w:left w:val="nil"/>
              <w:bottom w:val="nil"/>
              <w:right w:val="nil"/>
            </w:tcBorders>
            <w:shd w:val="clear" w:color="auto" w:fill="FFFFFF"/>
            <w:tcMar>
              <w:left w:w="0" w:type="dxa"/>
              <w:right w:w="0" w:type="dxa"/>
            </w:tcMar>
            <w:vAlign w:val="center"/>
          </w:tcPr>
          <w:p w14:paraId="6873970E">
            <w:pPr>
              <w:spacing w:line="276" w:lineRule="auto"/>
            </w:pPr>
            <w:r>
              <w:rPr>
                <w:rFonts w:eastAsia="宋体"/>
                <w:lang w:bidi="ar"/>
              </w:rPr>
              <w:t>7</w:t>
            </w:r>
            <w:r>
              <w:rPr>
                <w:lang w:bidi="ar"/>
              </w:rPr>
              <w:t>.</w:t>
            </w:r>
            <w:r>
              <w:rPr>
                <w:rFonts w:eastAsia="宋体"/>
                <w:lang w:bidi="ar"/>
              </w:rPr>
              <w:t>97</w:t>
            </w:r>
            <w:r>
              <w:rPr>
                <w:lang w:bidi="ar"/>
              </w:rPr>
              <w:t xml:space="preserve"> (</w:t>
            </w:r>
            <w:r>
              <w:rPr>
                <w:rFonts w:eastAsia="宋体"/>
                <w:lang w:bidi="ar"/>
              </w:rPr>
              <w:t>1</w:t>
            </w:r>
            <w:r>
              <w:rPr>
                <w:lang w:bidi="ar"/>
              </w:rPr>
              <w:t>.</w:t>
            </w:r>
            <w:r>
              <w:rPr>
                <w:rFonts w:eastAsia="宋体"/>
                <w:lang w:bidi="ar"/>
              </w:rPr>
              <w:t>2</w:t>
            </w:r>
            <w:r>
              <w:rPr>
                <w:lang w:bidi="ar"/>
              </w:rPr>
              <w:t xml:space="preserve">9 ~ </w:t>
            </w:r>
            <w:r>
              <w:rPr>
                <w:rFonts w:eastAsia="宋体"/>
                <w:lang w:bidi="ar"/>
              </w:rPr>
              <w:t>49</w:t>
            </w:r>
            <w:r>
              <w:rPr>
                <w:lang w:bidi="ar"/>
              </w:rPr>
              <w:t>.</w:t>
            </w:r>
            <w:r>
              <w:rPr>
                <w:rFonts w:eastAsia="宋体"/>
                <w:lang w:bidi="ar"/>
              </w:rPr>
              <w:t>26</w:t>
            </w:r>
            <w:r>
              <w:rPr>
                <w:lang w:bidi="ar"/>
              </w:rPr>
              <w:t>)</w:t>
            </w:r>
          </w:p>
        </w:tc>
      </w:tr>
      <w:tr w14:paraId="0F048CE5">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65CA4753">
            <w:pPr>
              <w:spacing w:line="276" w:lineRule="auto"/>
            </w:pPr>
            <w:r>
              <w:rPr>
                <w:lang w:bidi="ar"/>
              </w:rPr>
              <w:t>VLF</w:t>
            </w:r>
          </w:p>
        </w:tc>
        <w:tc>
          <w:tcPr>
            <w:tcW w:w="1025" w:type="dxa"/>
            <w:tcBorders>
              <w:top w:val="nil"/>
              <w:left w:val="nil"/>
              <w:bottom w:val="nil"/>
              <w:right w:val="nil"/>
            </w:tcBorders>
            <w:shd w:val="clear" w:color="auto" w:fill="FFFFFF"/>
            <w:tcMar>
              <w:left w:w="0" w:type="dxa"/>
              <w:right w:w="0" w:type="dxa"/>
            </w:tcMar>
            <w:vAlign w:val="center"/>
          </w:tcPr>
          <w:p w14:paraId="2AB86D1F">
            <w:pPr>
              <w:spacing w:line="276" w:lineRule="auto"/>
              <w:rPr>
                <w:b/>
                <w:bCs/>
              </w:rPr>
            </w:pPr>
            <w:r>
              <w:rPr>
                <w:b/>
                <w:bCs/>
                <w:lang w:bidi="ar"/>
              </w:rPr>
              <w:t>&lt;.001</w:t>
            </w:r>
          </w:p>
        </w:tc>
        <w:tc>
          <w:tcPr>
            <w:tcW w:w="2438" w:type="dxa"/>
            <w:tcBorders>
              <w:top w:val="nil"/>
              <w:left w:val="nil"/>
              <w:bottom w:val="nil"/>
              <w:right w:val="nil"/>
            </w:tcBorders>
            <w:shd w:val="clear" w:color="auto" w:fill="FFFFFF"/>
            <w:tcMar>
              <w:left w:w="0" w:type="dxa"/>
              <w:right w:w="0" w:type="dxa"/>
            </w:tcMar>
            <w:vAlign w:val="center"/>
          </w:tcPr>
          <w:p w14:paraId="199AC9DD">
            <w:pPr>
              <w:spacing w:line="276" w:lineRule="auto"/>
            </w:pPr>
            <w:r>
              <w:rPr>
                <w:lang w:bidi="ar"/>
              </w:rPr>
              <w:t>0.99 (0.99 ~ 0.99)</w:t>
            </w:r>
          </w:p>
        </w:tc>
        <w:tc>
          <w:tcPr>
            <w:tcW w:w="20" w:type="dxa"/>
            <w:tcBorders>
              <w:top w:val="nil"/>
              <w:left w:val="nil"/>
              <w:bottom w:val="nil"/>
              <w:right w:val="nil"/>
            </w:tcBorders>
            <w:shd w:val="clear" w:color="auto" w:fill="FFFFFF"/>
            <w:tcMar>
              <w:left w:w="0" w:type="dxa"/>
              <w:right w:w="0" w:type="dxa"/>
            </w:tcMar>
            <w:vAlign w:val="center"/>
          </w:tcPr>
          <w:p w14:paraId="5093BC8E">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2D6334AB">
            <w:pPr>
              <w:spacing w:line="276" w:lineRule="auto"/>
            </w:pPr>
            <w:r>
              <w:rPr>
                <w:lang w:bidi="ar"/>
              </w:rPr>
              <w:t>0.627</w:t>
            </w:r>
          </w:p>
        </w:tc>
        <w:tc>
          <w:tcPr>
            <w:tcW w:w="2349" w:type="dxa"/>
            <w:gridSpan w:val="2"/>
            <w:tcBorders>
              <w:top w:val="nil"/>
              <w:left w:val="nil"/>
              <w:bottom w:val="nil"/>
              <w:right w:val="nil"/>
            </w:tcBorders>
            <w:shd w:val="clear" w:color="auto" w:fill="FFFFFF"/>
            <w:tcMar>
              <w:left w:w="0" w:type="dxa"/>
              <w:right w:w="0" w:type="dxa"/>
            </w:tcMar>
            <w:vAlign w:val="center"/>
          </w:tcPr>
          <w:p w14:paraId="22F739AF">
            <w:pPr>
              <w:spacing w:line="276" w:lineRule="auto"/>
            </w:pPr>
            <w:r>
              <w:rPr>
                <w:lang w:bidi="ar"/>
              </w:rPr>
              <w:t>1.00 (1.00 ~ 1.00)</w:t>
            </w:r>
          </w:p>
        </w:tc>
      </w:tr>
      <w:tr w14:paraId="04B56579">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6D48E512">
            <w:pPr>
              <w:spacing w:line="276" w:lineRule="auto"/>
            </w:pPr>
            <w:r>
              <w:rPr>
                <w:lang w:bidi="ar"/>
              </w:rPr>
              <w:t>LF</w:t>
            </w:r>
          </w:p>
        </w:tc>
        <w:tc>
          <w:tcPr>
            <w:tcW w:w="1025" w:type="dxa"/>
            <w:tcBorders>
              <w:top w:val="nil"/>
              <w:left w:val="nil"/>
              <w:bottom w:val="nil"/>
              <w:right w:val="nil"/>
            </w:tcBorders>
            <w:shd w:val="clear" w:color="auto" w:fill="FFFFFF"/>
            <w:tcMar>
              <w:left w:w="0" w:type="dxa"/>
              <w:right w:w="0" w:type="dxa"/>
            </w:tcMar>
            <w:vAlign w:val="center"/>
          </w:tcPr>
          <w:p w14:paraId="545AE3E1">
            <w:pPr>
              <w:spacing w:line="276" w:lineRule="auto"/>
              <w:rPr>
                <w:b/>
                <w:bCs/>
              </w:rPr>
            </w:pPr>
            <w:r>
              <w:rPr>
                <w:b/>
                <w:bCs/>
                <w:lang w:bidi="ar"/>
              </w:rPr>
              <w:t>&lt;.001</w:t>
            </w:r>
          </w:p>
        </w:tc>
        <w:tc>
          <w:tcPr>
            <w:tcW w:w="2438" w:type="dxa"/>
            <w:tcBorders>
              <w:top w:val="nil"/>
              <w:left w:val="nil"/>
              <w:bottom w:val="nil"/>
              <w:right w:val="nil"/>
            </w:tcBorders>
            <w:shd w:val="clear" w:color="auto" w:fill="FFFFFF"/>
            <w:tcMar>
              <w:left w:w="0" w:type="dxa"/>
              <w:right w:w="0" w:type="dxa"/>
            </w:tcMar>
            <w:vAlign w:val="center"/>
          </w:tcPr>
          <w:p w14:paraId="1D7D3C9E">
            <w:pPr>
              <w:spacing w:line="276" w:lineRule="auto"/>
            </w:pPr>
            <w:r>
              <w:rPr>
                <w:lang w:bidi="ar"/>
              </w:rPr>
              <w:t>0.99 (0.99 ~ 0.99)</w:t>
            </w:r>
          </w:p>
        </w:tc>
        <w:tc>
          <w:tcPr>
            <w:tcW w:w="20" w:type="dxa"/>
            <w:tcBorders>
              <w:top w:val="nil"/>
              <w:left w:val="nil"/>
              <w:bottom w:val="nil"/>
              <w:right w:val="nil"/>
            </w:tcBorders>
            <w:shd w:val="clear" w:color="auto" w:fill="FFFFFF"/>
            <w:tcMar>
              <w:left w:w="0" w:type="dxa"/>
              <w:right w:w="0" w:type="dxa"/>
            </w:tcMar>
            <w:vAlign w:val="center"/>
          </w:tcPr>
          <w:p w14:paraId="61D8DBC7">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63983B58">
            <w:pPr>
              <w:spacing w:line="276" w:lineRule="auto"/>
            </w:pPr>
            <w:r>
              <w:rPr>
                <w:lang w:bidi="ar"/>
              </w:rPr>
              <w:t>0.439</w:t>
            </w:r>
          </w:p>
        </w:tc>
        <w:tc>
          <w:tcPr>
            <w:tcW w:w="2349" w:type="dxa"/>
            <w:gridSpan w:val="2"/>
            <w:tcBorders>
              <w:top w:val="nil"/>
              <w:left w:val="nil"/>
              <w:bottom w:val="nil"/>
              <w:right w:val="nil"/>
            </w:tcBorders>
            <w:shd w:val="clear" w:color="auto" w:fill="FFFFFF"/>
            <w:tcMar>
              <w:left w:w="0" w:type="dxa"/>
              <w:right w:w="0" w:type="dxa"/>
            </w:tcMar>
            <w:vAlign w:val="center"/>
          </w:tcPr>
          <w:p w14:paraId="0C2B84F6">
            <w:pPr>
              <w:spacing w:line="276" w:lineRule="auto"/>
            </w:pPr>
            <w:r>
              <w:rPr>
                <w:lang w:bidi="ar"/>
              </w:rPr>
              <w:t>1.00 (1.00 ~ 1.00)</w:t>
            </w:r>
          </w:p>
        </w:tc>
      </w:tr>
      <w:tr w14:paraId="1CED2F9E">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033B0AF7">
            <w:pPr>
              <w:spacing w:line="276" w:lineRule="auto"/>
            </w:pPr>
            <w:r>
              <w:rPr>
                <w:lang w:bidi="ar"/>
              </w:rPr>
              <w:t>HF</w:t>
            </w:r>
          </w:p>
        </w:tc>
        <w:tc>
          <w:tcPr>
            <w:tcW w:w="1025" w:type="dxa"/>
            <w:tcBorders>
              <w:top w:val="nil"/>
              <w:left w:val="nil"/>
              <w:bottom w:val="nil"/>
              <w:right w:val="nil"/>
            </w:tcBorders>
            <w:shd w:val="clear" w:color="auto" w:fill="FFFFFF"/>
            <w:tcMar>
              <w:left w:w="0" w:type="dxa"/>
              <w:right w:w="0" w:type="dxa"/>
            </w:tcMar>
            <w:vAlign w:val="center"/>
          </w:tcPr>
          <w:p w14:paraId="620DE830">
            <w:pPr>
              <w:spacing w:line="276" w:lineRule="auto"/>
            </w:pPr>
            <w:r>
              <w:rPr>
                <w:lang w:bidi="ar"/>
              </w:rPr>
              <w:t>0.634</w:t>
            </w:r>
          </w:p>
        </w:tc>
        <w:tc>
          <w:tcPr>
            <w:tcW w:w="2438" w:type="dxa"/>
            <w:tcBorders>
              <w:top w:val="nil"/>
              <w:left w:val="nil"/>
              <w:bottom w:val="nil"/>
              <w:right w:val="nil"/>
            </w:tcBorders>
            <w:shd w:val="clear" w:color="auto" w:fill="FFFFFF"/>
            <w:tcMar>
              <w:left w:w="0" w:type="dxa"/>
              <w:right w:w="0" w:type="dxa"/>
            </w:tcMar>
            <w:vAlign w:val="center"/>
          </w:tcPr>
          <w:p w14:paraId="4B9E8B64">
            <w:pPr>
              <w:spacing w:line="276" w:lineRule="auto"/>
            </w:pPr>
            <w:r>
              <w:rPr>
                <w:lang w:bidi="ar"/>
              </w:rPr>
              <w:t>1.00 (1.00 ~ 1.00)</w:t>
            </w:r>
          </w:p>
        </w:tc>
        <w:tc>
          <w:tcPr>
            <w:tcW w:w="20" w:type="dxa"/>
            <w:tcBorders>
              <w:top w:val="nil"/>
              <w:left w:val="nil"/>
              <w:bottom w:val="nil"/>
              <w:right w:val="nil"/>
            </w:tcBorders>
            <w:shd w:val="clear" w:color="auto" w:fill="FFFFFF"/>
            <w:tcMar>
              <w:left w:w="0" w:type="dxa"/>
              <w:right w:w="0" w:type="dxa"/>
            </w:tcMar>
            <w:vAlign w:val="center"/>
          </w:tcPr>
          <w:p w14:paraId="3055EB16">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09364702">
            <w:pPr>
              <w:spacing w:line="276" w:lineRule="auto"/>
            </w:pPr>
          </w:p>
        </w:tc>
        <w:tc>
          <w:tcPr>
            <w:tcW w:w="2349" w:type="dxa"/>
            <w:gridSpan w:val="2"/>
            <w:tcBorders>
              <w:top w:val="nil"/>
              <w:left w:val="nil"/>
              <w:bottom w:val="nil"/>
              <w:right w:val="nil"/>
            </w:tcBorders>
            <w:shd w:val="clear" w:color="auto" w:fill="FFFFFF"/>
            <w:tcMar>
              <w:left w:w="0" w:type="dxa"/>
              <w:right w:w="0" w:type="dxa"/>
            </w:tcMar>
            <w:vAlign w:val="center"/>
          </w:tcPr>
          <w:p w14:paraId="3D837697">
            <w:pPr>
              <w:spacing w:line="276" w:lineRule="auto"/>
            </w:pPr>
          </w:p>
        </w:tc>
      </w:tr>
      <w:tr w14:paraId="068FC1D2">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665B016C">
            <w:pPr>
              <w:spacing w:line="276" w:lineRule="auto"/>
            </w:pPr>
            <w:r>
              <w:rPr>
                <w:lang w:bidi="ar"/>
              </w:rPr>
              <w:t>TP</w:t>
            </w:r>
          </w:p>
        </w:tc>
        <w:tc>
          <w:tcPr>
            <w:tcW w:w="1025" w:type="dxa"/>
            <w:tcBorders>
              <w:top w:val="nil"/>
              <w:left w:val="nil"/>
              <w:bottom w:val="nil"/>
              <w:right w:val="nil"/>
            </w:tcBorders>
            <w:shd w:val="clear" w:color="auto" w:fill="FFFFFF"/>
            <w:tcMar>
              <w:left w:w="0" w:type="dxa"/>
              <w:right w:w="0" w:type="dxa"/>
            </w:tcMar>
            <w:vAlign w:val="center"/>
          </w:tcPr>
          <w:p w14:paraId="64E8CA79">
            <w:pPr>
              <w:spacing w:line="276" w:lineRule="auto"/>
            </w:pPr>
            <w:r>
              <w:rPr>
                <w:b/>
                <w:bCs/>
                <w:lang w:bidi="ar"/>
              </w:rPr>
              <w:t>&lt;.001</w:t>
            </w:r>
          </w:p>
        </w:tc>
        <w:tc>
          <w:tcPr>
            <w:tcW w:w="2438" w:type="dxa"/>
            <w:tcBorders>
              <w:top w:val="nil"/>
              <w:left w:val="nil"/>
              <w:bottom w:val="nil"/>
              <w:right w:val="nil"/>
            </w:tcBorders>
            <w:shd w:val="clear" w:color="auto" w:fill="FFFFFF"/>
            <w:tcMar>
              <w:left w:w="0" w:type="dxa"/>
              <w:right w:w="0" w:type="dxa"/>
            </w:tcMar>
            <w:vAlign w:val="center"/>
          </w:tcPr>
          <w:p w14:paraId="2C5CDDCA">
            <w:pPr>
              <w:spacing w:line="276" w:lineRule="auto"/>
            </w:pPr>
            <w:r>
              <w:rPr>
                <w:lang w:bidi="ar"/>
              </w:rPr>
              <w:t>0.99 (0.99 ~ 0.99)</w:t>
            </w:r>
          </w:p>
        </w:tc>
        <w:tc>
          <w:tcPr>
            <w:tcW w:w="20" w:type="dxa"/>
            <w:tcBorders>
              <w:top w:val="nil"/>
              <w:left w:val="nil"/>
              <w:bottom w:val="nil"/>
              <w:right w:val="nil"/>
            </w:tcBorders>
            <w:shd w:val="clear" w:color="auto" w:fill="FFFFFF"/>
            <w:tcMar>
              <w:left w:w="0" w:type="dxa"/>
              <w:right w:w="0" w:type="dxa"/>
            </w:tcMar>
            <w:vAlign w:val="center"/>
          </w:tcPr>
          <w:p w14:paraId="267D73F8">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30622B2D">
            <w:pPr>
              <w:spacing w:line="276" w:lineRule="auto"/>
            </w:pPr>
            <w:r>
              <w:rPr>
                <w:lang w:bidi="ar"/>
              </w:rPr>
              <w:t>0.649</w:t>
            </w:r>
          </w:p>
        </w:tc>
        <w:tc>
          <w:tcPr>
            <w:tcW w:w="2349" w:type="dxa"/>
            <w:gridSpan w:val="2"/>
            <w:tcBorders>
              <w:top w:val="nil"/>
              <w:left w:val="nil"/>
              <w:bottom w:val="nil"/>
              <w:right w:val="nil"/>
            </w:tcBorders>
            <w:shd w:val="clear" w:color="auto" w:fill="FFFFFF"/>
            <w:tcMar>
              <w:left w:w="0" w:type="dxa"/>
              <w:right w:w="0" w:type="dxa"/>
            </w:tcMar>
            <w:vAlign w:val="center"/>
          </w:tcPr>
          <w:p w14:paraId="1F7AEF0E">
            <w:pPr>
              <w:spacing w:line="276" w:lineRule="auto"/>
            </w:pPr>
            <w:r>
              <w:rPr>
                <w:lang w:bidi="ar"/>
              </w:rPr>
              <w:t>1.00 (1.00 ~ 1.00)</w:t>
            </w:r>
          </w:p>
        </w:tc>
      </w:tr>
      <w:tr w14:paraId="7832CB08">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394373B1">
            <w:pPr>
              <w:spacing w:line="276" w:lineRule="auto"/>
            </w:pPr>
            <w:r>
              <w:rPr>
                <w:lang w:bidi="ar"/>
              </w:rPr>
              <w:t>LF/HF</w:t>
            </w:r>
          </w:p>
        </w:tc>
        <w:tc>
          <w:tcPr>
            <w:tcW w:w="1025" w:type="dxa"/>
            <w:tcBorders>
              <w:top w:val="nil"/>
              <w:left w:val="nil"/>
              <w:bottom w:val="nil"/>
              <w:right w:val="nil"/>
            </w:tcBorders>
            <w:shd w:val="clear" w:color="auto" w:fill="FFFFFF"/>
            <w:tcMar>
              <w:left w:w="0" w:type="dxa"/>
              <w:right w:w="0" w:type="dxa"/>
            </w:tcMar>
            <w:vAlign w:val="center"/>
          </w:tcPr>
          <w:p w14:paraId="405614DA">
            <w:pPr>
              <w:spacing w:line="276" w:lineRule="auto"/>
            </w:pPr>
            <w:r>
              <w:rPr>
                <w:lang w:bidi="ar"/>
              </w:rPr>
              <w:t>0.801</w:t>
            </w:r>
          </w:p>
        </w:tc>
        <w:tc>
          <w:tcPr>
            <w:tcW w:w="2438" w:type="dxa"/>
            <w:tcBorders>
              <w:top w:val="nil"/>
              <w:left w:val="nil"/>
              <w:bottom w:val="nil"/>
              <w:right w:val="nil"/>
            </w:tcBorders>
            <w:shd w:val="clear" w:color="auto" w:fill="FFFFFF"/>
            <w:tcMar>
              <w:left w:w="0" w:type="dxa"/>
              <w:right w:w="0" w:type="dxa"/>
            </w:tcMar>
            <w:vAlign w:val="center"/>
          </w:tcPr>
          <w:p w14:paraId="51BBC6D5">
            <w:pPr>
              <w:spacing w:line="276" w:lineRule="auto"/>
            </w:pPr>
            <w:r>
              <w:rPr>
                <w:lang w:bidi="ar"/>
              </w:rPr>
              <w:t>1.00 (1.00 ~ 1.00)</w:t>
            </w:r>
          </w:p>
        </w:tc>
        <w:tc>
          <w:tcPr>
            <w:tcW w:w="20" w:type="dxa"/>
            <w:tcBorders>
              <w:top w:val="nil"/>
              <w:left w:val="nil"/>
              <w:bottom w:val="nil"/>
              <w:right w:val="nil"/>
            </w:tcBorders>
            <w:shd w:val="clear" w:color="auto" w:fill="FFFFFF"/>
            <w:tcMar>
              <w:left w:w="0" w:type="dxa"/>
              <w:right w:w="0" w:type="dxa"/>
            </w:tcMar>
            <w:vAlign w:val="center"/>
          </w:tcPr>
          <w:p w14:paraId="0A723714">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62FA3CCA">
            <w:pPr>
              <w:spacing w:line="276" w:lineRule="auto"/>
            </w:pPr>
          </w:p>
        </w:tc>
        <w:tc>
          <w:tcPr>
            <w:tcW w:w="2349" w:type="dxa"/>
            <w:gridSpan w:val="2"/>
            <w:tcBorders>
              <w:top w:val="nil"/>
              <w:left w:val="nil"/>
              <w:bottom w:val="nil"/>
              <w:right w:val="nil"/>
            </w:tcBorders>
            <w:shd w:val="clear" w:color="auto" w:fill="FFFFFF"/>
            <w:tcMar>
              <w:left w:w="0" w:type="dxa"/>
              <w:right w:w="0" w:type="dxa"/>
            </w:tcMar>
            <w:vAlign w:val="center"/>
          </w:tcPr>
          <w:p w14:paraId="1878E015">
            <w:pPr>
              <w:spacing w:line="276" w:lineRule="auto"/>
            </w:pPr>
          </w:p>
        </w:tc>
      </w:tr>
      <w:tr w14:paraId="061BADA2">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27EC2CFA">
            <w:pPr>
              <w:spacing w:line="276" w:lineRule="auto"/>
            </w:pPr>
            <w:r>
              <w:rPr>
                <w:lang w:bidi="ar"/>
              </w:rPr>
              <w:t>SDSD</w:t>
            </w:r>
          </w:p>
        </w:tc>
        <w:tc>
          <w:tcPr>
            <w:tcW w:w="1025" w:type="dxa"/>
            <w:tcBorders>
              <w:top w:val="nil"/>
              <w:left w:val="nil"/>
              <w:bottom w:val="nil"/>
              <w:right w:val="nil"/>
            </w:tcBorders>
            <w:shd w:val="clear" w:color="auto" w:fill="FFFFFF"/>
            <w:tcMar>
              <w:left w:w="0" w:type="dxa"/>
              <w:right w:w="0" w:type="dxa"/>
            </w:tcMar>
            <w:vAlign w:val="center"/>
          </w:tcPr>
          <w:p w14:paraId="6B4B3D76">
            <w:pPr>
              <w:spacing w:line="276" w:lineRule="auto"/>
            </w:pPr>
            <w:r>
              <w:rPr>
                <w:b/>
                <w:bCs/>
                <w:lang w:bidi="ar"/>
              </w:rPr>
              <w:t>&lt;.001</w:t>
            </w:r>
          </w:p>
        </w:tc>
        <w:tc>
          <w:tcPr>
            <w:tcW w:w="2438" w:type="dxa"/>
            <w:tcBorders>
              <w:top w:val="nil"/>
              <w:left w:val="nil"/>
              <w:bottom w:val="nil"/>
              <w:right w:val="nil"/>
            </w:tcBorders>
            <w:shd w:val="clear" w:color="auto" w:fill="FFFFFF"/>
            <w:tcMar>
              <w:left w:w="0" w:type="dxa"/>
              <w:right w:w="0" w:type="dxa"/>
            </w:tcMar>
            <w:vAlign w:val="center"/>
          </w:tcPr>
          <w:p w14:paraId="1D3287CF">
            <w:pPr>
              <w:spacing w:line="276" w:lineRule="auto"/>
            </w:pPr>
            <w:r>
              <w:rPr>
                <w:lang w:bidi="ar"/>
              </w:rPr>
              <w:t>0.98 (0.96 ~ 0.99)</w:t>
            </w:r>
          </w:p>
        </w:tc>
        <w:tc>
          <w:tcPr>
            <w:tcW w:w="20" w:type="dxa"/>
            <w:tcBorders>
              <w:top w:val="nil"/>
              <w:left w:val="nil"/>
              <w:bottom w:val="nil"/>
              <w:right w:val="nil"/>
            </w:tcBorders>
            <w:shd w:val="clear" w:color="auto" w:fill="FFFFFF"/>
            <w:tcMar>
              <w:left w:w="0" w:type="dxa"/>
              <w:right w:w="0" w:type="dxa"/>
            </w:tcMar>
            <w:vAlign w:val="center"/>
          </w:tcPr>
          <w:p w14:paraId="34E89256">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12105A4C">
            <w:pPr>
              <w:spacing w:line="276" w:lineRule="auto"/>
            </w:pPr>
            <w:r>
              <w:rPr>
                <w:lang w:bidi="ar"/>
              </w:rPr>
              <w:t>0.744</w:t>
            </w:r>
          </w:p>
        </w:tc>
        <w:tc>
          <w:tcPr>
            <w:tcW w:w="2349" w:type="dxa"/>
            <w:gridSpan w:val="2"/>
            <w:tcBorders>
              <w:top w:val="nil"/>
              <w:left w:val="nil"/>
              <w:bottom w:val="nil"/>
              <w:right w:val="nil"/>
            </w:tcBorders>
            <w:shd w:val="clear" w:color="auto" w:fill="FFFFFF"/>
            <w:tcMar>
              <w:left w:w="0" w:type="dxa"/>
              <w:right w:w="0" w:type="dxa"/>
            </w:tcMar>
            <w:vAlign w:val="center"/>
          </w:tcPr>
          <w:p w14:paraId="7456CCB4">
            <w:pPr>
              <w:spacing w:line="276" w:lineRule="auto"/>
            </w:pPr>
            <w:r>
              <w:rPr>
                <w:lang w:bidi="ar"/>
              </w:rPr>
              <w:t>0.36 (0.00 ~ 164.81)</w:t>
            </w:r>
          </w:p>
        </w:tc>
      </w:tr>
      <w:tr w14:paraId="0C324F2D">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24382B9B">
            <w:pPr>
              <w:spacing w:line="276" w:lineRule="auto"/>
            </w:pPr>
            <w:r>
              <w:rPr>
                <w:lang w:bidi="ar"/>
              </w:rPr>
              <w:t>Sex</w:t>
            </w:r>
          </w:p>
        </w:tc>
        <w:tc>
          <w:tcPr>
            <w:tcW w:w="1025" w:type="dxa"/>
            <w:tcBorders>
              <w:top w:val="nil"/>
              <w:left w:val="nil"/>
              <w:bottom w:val="nil"/>
              <w:right w:val="nil"/>
            </w:tcBorders>
            <w:shd w:val="clear" w:color="auto" w:fill="FFFFFF"/>
            <w:tcMar>
              <w:left w:w="0" w:type="dxa"/>
              <w:right w:w="0" w:type="dxa"/>
            </w:tcMar>
            <w:vAlign w:val="center"/>
          </w:tcPr>
          <w:p w14:paraId="27AE7C42">
            <w:pPr>
              <w:spacing w:line="276" w:lineRule="auto"/>
            </w:pPr>
          </w:p>
        </w:tc>
        <w:tc>
          <w:tcPr>
            <w:tcW w:w="2438" w:type="dxa"/>
            <w:tcBorders>
              <w:top w:val="nil"/>
              <w:left w:val="nil"/>
              <w:bottom w:val="nil"/>
              <w:right w:val="nil"/>
            </w:tcBorders>
            <w:shd w:val="clear" w:color="auto" w:fill="FFFFFF"/>
            <w:tcMar>
              <w:left w:w="0" w:type="dxa"/>
              <w:right w:w="0" w:type="dxa"/>
            </w:tcMar>
            <w:vAlign w:val="center"/>
          </w:tcPr>
          <w:p w14:paraId="0E15F3D8">
            <w:pPr>
              <w:spacing w:line="276" w:lineRule="auto"/>
            </w:pPr>
          </w:p>
        </w:tc>
        <w:tc>
          <w:tcPr>
            <w:tcW w:w="20" w:type="dxa"/>
            <w:tcBorders>
              <w:top w:val="nil"/>
              <w:left w:val="nil"/>
              <w:bottom w:val="nil"/>
              <w:right w:val="nil"/>
            </w:tcBorders>
            <w:shd w:val="clear" w:color="auto" w:fill="FFFFFF"/>
            <w:tcMar>
              <w:left w:w="0" w:type="dxa"/>
              <w:right w:w="0" w:type="dxa"/>
            </w:tcMar>
            <w:vAlign w:val="center"/>
          </w:tcPr>
          <w:p w14:paraId="7E2F7920">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624CB7F0">
            <w:pPr>
              <w:spacing w:line="276" w:lineRule="auto"/>
            </w:pPr>
          </w:p>
        </w:tc>
        <w:tc>
          <w:tcPr>
            <w:tcW w:w="2349" w:type="dxa"/>
            <w:gridSpan w:val="2"/>
            <w:tcBorders>
              <w:top w:val="nil"/>
              <w:left w:val="nil"/>
              <w:bottom w:val="nil"/>
              <w:right w:val="nil"/>
            </w:tcBorders>
            <w:shd w:val="clear" w:color="auto" w:fill="FFFFFF"/>
            <w:tcMar>
              <w:left w:w="0" w:type="dxa"/>
              <w:right w:w="0" w:type="dxa"/>
            </w:tcMar>
            <w:vAlign w:val="center"/>
          </w:tcPr>
          <w:p w14:paraId="113AB29D">
            <w:pPr>
              <w:spacing w:line="276" w:lineRule="auto"/>
            </w:pPr>
          </w:p>
        </w:tc>
      </w:tr>
      <w:tr w14:paraId="78853F71">
        <w:tblPrEx>
          <w:tblCellMar>
            <w:top w:w="0" w:type="dxa"/>
            <w:left w:w="108" w:type="dxa"/>
            <w:bottom w:w="0" w:type="dxa"/>
            <w:right w:w="108" w:type="dxa"/>
          </w:tblCellMar>
        </w:tblPrEx>
        <w:trPr>
          <w:trHeight w:val="270" w:hRule="atLeast"/>
          <w:jc w:val="center"/>
        </w:trPr>
        <w:tc>
          <w:tcPr>
            <w:tcW w:w="1197" w:type="dxa"/>
            <w:tcBorders>
              <w:top w:val="nil"/>
              <w:left w:val="nil"/>
              <w:bottom w:val="nil"/>
              <w:right w:val="nil"/>
            </w:tcBorders>
            <w:shd w:val="clear" w:color="auto" w:fill="FFFFFF"/>
            <w:tcMar>
              <w:left w:w="0" w:type="dxa"/>
              <w:right w:w="0" w:type="dxa"/>
            </w:tcMar>
            <w:vAlign w:val="center"/>
          </w:tcPr>
          <w:p w14:paraId="0CFD7ADA">
            <w:pPr>
              <w:spacing w:line="276" w:lineRule="auto"/>
            </w:pPr>
            <w:r>
              <w:rPr>
                <w:lang w:bidi="ar"/>
              </w:rPr>
              <w:t xml:space="preserve">  0</w:t>
            </w:r>
          </w:p>
        </w:tc>
        <w:tc>
          <w:tcPr>
            <w:tcW w:w="1025" w:type="dxa"/>
            <w:tcBorders>
              <w:top w:val="nil"/>
              <w:left w:val="nil"/>
              <w:bottom w:val="nil"/>
              <w:right w:val="nil"/>
            </w:tcBorders>
            <w:shd w:val="clear" w:color="auto" w:fill="FFFFFF"/>
            <w:tcMar>
              <w:left w:w="0" w:type="dxa"/>
              <w:right w:w="0" w:type="dxa"/>
            </w:tcMar>
            <w:vAlign w:val="center"/>
          </w:tcPr>
          <w:p w14:paraId="71801358">
            <w:pPr>
              <w:spacing w:line="276" w:lineRule="auto"/>
            </w:pPr>
          </w:p>
        </w:tc>
        <w:tc>
          <w:tcPr>
            <w:tcW w:w="2438" w:type="dxa"/>
            <w:tcBorders>
              <w:top w:val="nil"/>
              <w:left w:val="nil"/>
              <w:bottom w:val="nil"/>
              <w:right w:val="nil"/>
            </w:tcBorders>
            <w:shd w:val="clear" w:color="auto" w:fill="FFFFFF"/>
            <w:tcMar>
              <w:left w:w="0" w:type="dxa"/>
              <w:right w:w="0" w:type="dxa"/>
            </w:tcMar>
            <w:vAlign w:val="center"/>
          </w:tcPr>
          <w:p w14:paraId="2321E139">
            <w:pPr>
              <w:spacing w:line="276" w:lineRule="auto"/>
            </w:pPr>
            <w:r>
              <w:rPr>
                <w:lang w:bidi="ar"/>
              </w:rPr>
              <w:t>1.00 (Reference)</w:t>
            </w:r>
          </w:p>
        </w:tc>
        <w:tc>
          <w:tcPr>
            <w:tcW w:w="20" w:type="dxa"/>
            <w:tcBorders>
              <w:top w:val="nil"/>
              <w:left w:val="nil"/>
              <w:bottom w:val="nil"/>
              <w:right w:val="nil"/>
            </w:tcBorders>
            <w:shd w:val="clear" w:color="auto" w:fill="FFFFFF"/>
            <w:tcMar>
              <w:left w:w="0" w:type="dxa"/>
              <w:right w:w="0" w:type="dxa"/>
            </w:tcMar>
            <w:vAlign w:val="center"/>
          </w:tcPr>
          <w:p w14:paraId="6DE6CFD3">
            <w:pPr>
              <w:spacing w:line="276" w:lineRule="auto"/>
            </w:pPr>
          </w:p>
        </w:tc>
        <w:tc>
          <w:tcPr>
            <w:tcW w:w="1028" w:type="dxa"/>
            <w:tcBorders>
              <w:top w:val="nil"/>
              <w:left w:val="nil"/>
              <w:bottom w:val="nil"/>
              <w:right w:val="nil"/>
            </w:tcBorders>
            <w:shd w:val="clear" w:color="auto" w:fill="FFFFFF"/>
            <w:tcMar>
              <w:left w:w="0" w:type="dxa"/>
              <w:right w:w="0" w:type="dxa"/>
            </w:tcMar>
            <w:vAlign w:val="center"/>
          </w:tcPr>
          <w:p w14:paraId="7D767F1B">
            <w:pPr>
              <w:spacing w:line="276" w:lineRule="auto"/>
            </w:pPr>
          </w:p>
        </w:tc>
        <w:tc>
          <w:tcPr>
            <w:tcW w:w="2349" w:type="dxa"/>
            <w:gridSpan w:val="2"/>
            <w:tcBorders>
              <w:top w:val="nil"/>
              <w:left w:val="nil"/>
              <w:bottom w:val="nil"/>
              <w:right w:val="nil"/>
            </w:tcBorders>
            <w:shd w:val="clear" w:color="auto" w:fill="FFFFFF"/>
            <w:tcMar>
              <w:left w:w="0" w:type="dxa"/>
              <w:right w:w="0" w:type="dxa"/>
            </w:tcMar>
            <w:vAlign w:val="center"/>
          </w:tcPr>
          <w:p w14:paraId="49771304">
            <w:pPr>
              <w:spacing w:line="276" w:lineRule="auto"/>
            </w:pPr>
            <w:r>
              <w:rPr>
                <w:lang w:bidi="ar"/>
              </w:rPr>
              <w:t>1.00 (Reference)</w:t>
            </w:r>
          </w:p>
        </w:tc>
      </w:tr>
      <w:tr w14:paraId="6FEDFE3B">
        <w:tblPrEx>
          <w:tblCellMar>
            <w:top w:w="0" w:type="dxa"/>
            <w:left w:w="108" w:type="dxa"/>
            <w:bottom w:w="0" w:type="dxa"/>
            <w:right w:w="108" w:type="dxa"/>
          </w:tblCellMar>
        </w:tblPrEx>
        <w:trPr>
          <w:trHeight w:val="284" w:hRule="atLeast"/>
          <w:jc w:val="center"/>
        </w:trPr>
        <w:tc>
          <w:tcPr>
            <w:tcW w:w="1197" w:type="dxa"/>
            <w:tcBorders>
              <w:top w:val="nil"/>
              <w:left w:val="nil"/>
              <w:bottom w:val="single" w:color="666666" w:sz="12" w:space="0"/>
              <w:right w:val="nil"/>
            </w:tcBorders>
            <w:shd w:val="clear" w:color="auto" w:fill="FFFFFF"/>
            <w:tcMar>
              <w:left w:w="0" w:type="dxa"/>
              <w:right w:w="0" w:type="dxa"/>
            </w:tcMar>
            <w:vAlign w:val="center"/>
          </w:tcPr>
          <w:p w14:paraId="521FC905">
            <w:pPr>
              <w:spacing w:line="276" w:lineRule="auto"/>
            </w:pPr>
            <w:r>
              <w:rPr>
                <w:lang w:bidi="ar"/>
              </w:rPr>
              <w:t xml:space="preserve">  1</w:t>
            </w:r>
          </w:p>
        </w:tc>
        <w:tc>
          <w:tcPr>
            <w:tcW w:w="1025" w:type="dxa"/>
            <w:tcBorders>
              <w:top w:val="nil"/>
              <w:left w:val="nil"/>
              <w:bottom w:val="single" w:color="666666" w:sz="12" w:space="0"/>
              <w:right w:val="nil"/>
            </w:tcBorders>
            <w:shd w:val="clear" w:color="auto" w:fill="FFFFFF"/>
            <w:tcMar>
              <w:left w:w="0" w:type="dxa"/>
              <w:right w:w="0" w:type="dxa"/>
            </w:tcMar>
            <w:vAlign w:val="center"/>
          </w:tcPr>
          <w:p w14:paraId="1F18E2D6">
            <w:pPr>
              <w:spacing w:line="276" w:lineRule="auto"/>
            </w:pPr>
            <w:r>
              <w:rPr>
                <w:b/>
                <w:bCs/>
                <w:lang w:bidi="ar"/>
              </w:rPr>
              <w:t>&lt;.001</w:t>
            </w:r>
          </w:p>
        </w:tc>
        <w:tc>
          <w:tcPr>
            <w:tcW w:w="2438" w:type="dxa"/>
            <w:tcBorders>
              <w:top w:val="nil"/>
              <w:left w:val="nil"/>
              <w:bottom w:val="single" w:color="666666" w:sz="12" w:space="0"/>
              <w:right w:val="nil"/>
            </w:tcBorders>
            <w:shd w:val="clear" w:color="auto" w:fill="FFFFFF"/>
            <w:tcMar>
              <w:left w:w="0" w:type="dxa"/>
              <w:right w:w="0" w:type="dxa"/>
            </w:tcMar>
            <w:vAlign w:val="center"/>
          </w:tcPr>
          <w:p w14:paraId="56A314BA">
            <w:pPr>
              <w:spacing w:line="276" w:lineRule="auto"/>
            </w:pPr>
            <w:r>
              <w:rPr>
                <w:lang w:bidi="ar"/>
              </w:rPr>
              <w:t>2.34 (1.60 ~ 3.43)</w:t>
            </w:r>
          </w:p>
        </w:tc>
        <w:tc>
          <w:tcPr>
            <w:tcW w:w="20" w:type="dxa"/>
            <w:tcBorders>
              <w:top w:val="nil"/>
              <w:left w:val="nil"/>
              <w:bottom w:val="single" w:color="666666" w:sz="12" w:space="0"/>
              <w:right w:val="nil"/>
            </w:tcBorders>
            <w:shd w:val="clear" w:color="auto" w:fill="FFFFFF"/>
            <w:tcMar>
              <w:left w:w="0" w:type="dxa"/>
              <w:right w:w="0" w:type="dxa"/>
            </w:tcMar>
            <w:vAlign w:val="center"/>
          </w:tcPr>
          <w:p w14:paraId="334AB731">
            <w:pPr>
              <w:spacing w:line="276" w:lineRule="auto"/>
            </w:pPr>
          </w:p>
        </w:tc>
        <w:tc>
          <w:tcPr>
            <w:tcW w:w="1028" w:type="dxa"/>
            <w:tcBorders>
              <w:top w:val="nil"/>
              <w:left w:val="nil"/>
              <w:bottom w:val="single" w:color="666666" w:sz="12" w:space="0"/>
              <w:right w:val="nil"/>
            </w:tcBorders>
            <w:shd w:val="clear" w:color="auto" w:fill="FFFFFF"/>
            <w:tcMar>
              <w:left w:w="0" w:type="dxa"/>
              <w:right w:w="0" w:type="dxa"/>
            </w:tcMar>
            <w:vAlign w:val="center"/>
          </w:tcPr>
          <w:p w14:paraId="4C7E9C3C">
            <w:pPr>
              <w:spacing w:line="276" w:lineRule="auto"/>
            </w:pPr>
            <w:r>
              <w:rPr>
                <w:b/>
                <w:bCs/>
                <w:lang w:bidi="ar"/>
              </w:rPr>
              <w:t>0.004</w:t>
            </w:r>
          </w:p>
        </w:tc>
        <w:tc>
          <w:tcPr>
            <w:tcW w:w="2349" w:type="dxa"/>
            <w:gridSpan w:val="2"/>
            <w:tcBorders>
              <w:top w:val="nil"/>
              <w:left w:val="nil"/>
              <w:bottom w:val="single" w:color="666666" w:sz="12" w:space="0"/>
              <w:right w:val="nil"/>
            </w:tcBorders>
            <w:shd w:val="clear" w:color="auto" w:fill="FFFFFF"/>
            <w:tcMar>
              <w:left w:w="0" w:type="dxa"/>
              <w:right w:w="0" w:type="dxa"/>
            </w:tcMar>
            <w:vAlign w:val="center"/>
          </w:tcPr>
          <w:p w14:paraId="28FFB362">
            <w:pPr>
              <w:spacing w:line="276" w:lineRule="auto"/>
            </w:pPr>
            <w:r>
              <w:rPr>
                <w:lang w:bidi="ar"/>
              </w:rPr>
              <w:t>1.86 (1.21 ~ 2.86)</w:t>
            </w:r>
          </w:p>
        </w:tc>
      </w:tr>
      <w:tr w14:paraId="0F67AF9A">
        <w:tblPrEx>
          <w:tblCellMar>
            <w:top w:w="0" w:type="dxa"/>
            <w:left w:w="108" w:type="dxa"/>
            <w:bottom w:w="0" w:type="dxa"/>
            <w:right w:w="108" w:type="dxa"/>
          </w:tblCellMar>
        </w:tblPrEx>
        <w:trPr>
          <w:trHeight w:val="374" w:hRule="atLeast"/>
          <w:jc w:val="center"/>
        </w:trPr>
        <w:tc>
          <w:tcPr>
            <w:tcW w:w="8057" w:type="dxa"/>
            <w:gridSpan w:val="7"/>
            <w:tcBorders>
              <w:top w:val="single" w:color="666666" w:sz="12" w:space="0"/>
              <w:left w:val="nil"/>
              <w:bottom w:val="nil"/>
              <w:right w:val="nil"/>
            </w:tcBorders>
            <w:shd w:val="clear" w:color="auto" w:fill="FFFFFF"/>
            <w:tcMar>
              <w:left w:w="0" w:type="dxa"/>
              <w:right w:w="0" w:type="dxa"/>
            </w:tcMar>
            <w:vAlign w:val="center"/>
          </w:tcPr>
          <w:p w14:paraId="0AA10E9E">
            <w:pPr>
              <w:spacing w:line="276" w:lineRule="auto"/>
              <w:jc w:val="both"/>
            </w:pPr>
            <w:r>
              <w:rPr>
                <w:lang w:bidi="ar"/>
              </w:rPr>
              <w:t>S.E</w:t>
            </w:r>
            <w:r>
              <w:rPr>
                <w:rFonts w:eastAsia="宋体"/>
                <w:lang w:bidi="ar"/>
              </w:rPr>
              <w:t>: S</w:t>
            </w:r>
            <w:r>
              <w:rPr>
                <w:lang w:bidi="ar"/>
              </w:rPr>
              <w:t xml:space="preserve">tandard </w:t>
            </w:r>
            <w:r>
              <w:rPr>
                <w:rFonts w:eastAsia="宋体"/>
                <w:lang w:bidi="ar"/>
              </w:rPr>
              <w:t>E</w:t>
            </w:r>
            <w:r>
              <w:rPr>
                <w:lang w:bidi="ar"/>
              </w:rPr>
              <w:t>rror</w:t>
            </w:r>
            <w:r>
              <w:rPr>
                <w:rFonts w:eastAsia="宋体"/>
                <w:lang w:bidi="ar"/>
              </w:rPr>
              <w:t xml:space="preserve"> </w:t>
            </w:r>
            <w:r>
              <w:rPr>
                <w:lang w:bidi="ar"/>
              </w:rPr>
              <w:t>OR: Odds Ratio, CI: Confidence Interval</w:t>
            </w:r>
          </w:p>
        </w:tc>
      </w:tr>
      <w:tr w14:paraId="16375E82">
        <w:tblPrEx>
          <w:tblCellMar>
            <w:top w:w="0" w:type="dxa"/>
            <w:left w:w="108" w:type="dxa"/>
            <w:bottom w:w="0" w:type="dxa"/>
            <w:right w:w="108" w:type="dxa"/>
          </w:tblCellMar>
        </w:tblPrEx>
        <w:trPr>
          <w:trHeight w:val="353" w:hRule="atLeast"/>
          <w:jc w:val="center"/>
        </w:trPr>
        <w:tc>
          <w:tcPr>
            <w:tcW w:w="8057" w:type="dxa"/>
            <w:gridSpan w:val="7"/>
            <w:tcBorders>
              <w:top w:val="nil"/>
              <w:left w:val="nil"/>
              <w:bottom w:val="nil"/>
              <w:right w:val="nil"/>
            </w:tcBorders>
            <w:shd w:val="clear" w:color="auto" w:fill="FFFFFF"/>
            <w:tcMar>
              <w:left w:w="0" w:type="dxa"/>
              <w:right w:w="0" w:type="dxa"/>
            </w:tcMar>
            <w:vAlign w:val="center"/>
          </w:tcPr>
          <w:p w14:paraId="19A36D6B">
            <w:pPr>
              <w:spacing w:line="276" w:lineRule="auto"/>
            </w:pPr>
          </w:p>
        </w:tc>
      </w:tr>
    </w:tbl>
    <w:p w14:paraId="367C8770">
      <w:pPr>
        <w:jc w:val="both"/>
      </w:pPr>
    </w:p>
    <w:p w14:paraId="08017DD2">
      <w:pPr>
        <w:jc w:val="both"/>
      </w:pPr>
    </w:p>
    <w:p w14:paraId="74CCE993">
      <w:pPr>
        <w:jc w:val="both"/>
      </w:pPr>
    </w:p>
    <w:p w14:paraId="740C1966">
      <w:pPr>
        <w:jc w:val="both"/>
      </w:pPr>
    </w:p>
    <w:p w14:paraId="649DDC4D">
      <w:pPr>
        <w:jc w:val="both"/>
      </w:pPr>
    </w:p>
    <w:p w14:paraId="7679A6CD">
      <w:pPr>
        <w:jc w:val="both"/>
      </w:pPr>
    </w:p>
    <w:p w14:paraId="71030DC1">
      <w:pPr>
        <w:jc w:val="both"/>
      </w:pPr>
    </w:p>
    <w:p w14:paraId="645EA8B1">
      <w:pPr>
        <w:spacing w:line="276" w:lineRule="auto"/>
        <w:ind w:firstLine="480" w:firstLineChars="200"/>
        <w:jc w:val="both"/>
        <w:rPr>
          <w:sz w:val="24"/>
          <w:szCs w:val="24"/>
        </w:rPr>
      </w:pPr>
      <w:r>
        <w:rPr>
          <w:rFonts w:hint="eastAsia"/>
          <w:sz w:val="24"/>
          <w:szCs w:val="24"/>
        </w:rPr>
        <w:t>The logistic regression nomogram enables individualized prediction based on the specific situation of the patient. By assigning scores to each value level of every influencing factor and then adding each score to obtain the total score, the predicted value of the outcome event for the individual can ultimately be calculated through the functional transformation relationship between the total score and the probability of the outcome event. Since the logistic regression model established by us also demonstrates a good predictive effect, the depression nomogram based on logistic regression is hereby established for convenience.</w:t>
      </w:r>
    </w:p>
    <w:p w14:paraId="492B9BE0">
      <w:pPr>
        <w:jc w:val="both"/>
      </w:pPr>
    </w:p>
    <w:p w14:paraId="4B208251">
      <w:pPr>
        <w:jc w:val="both"/>
        <w:rPr>
          <w:rFonts w:hint="eastAsia" w:eastAsiaTheme="minorEastAsia"/>
          <w:sz w:val="24"/>
          <w:szCs w:val="24"/>
          <w:lang w:eastAsia="zh-CN"/>
        </w:rPr>
      </w:pPr>
      <w:r>
        <w:rPr>
          <w:rFonts w:hint="eastAsia" w:eastAsiaTheme="minorEastAsia"/>
          <w:sz w:val="24"/>
          <w:szCs w:val="24"/>
          <w:lang w:eastAsia="zh-CN"/>
        </w:rPr>
        <w:drawing>
          <wp:inline distT="0" distB="0" distL="114300" distR="114300">
            <wp:extent cx="5534025" cy="4325620"/>
            <wp:effectExtent l="0" t="0" r="0" b="8255"/>
            <wp:docPr id="3" name="图片 3" descr="N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Nomo"/>
                    <pic:cNvPicPr>
                      <a:picLocks noChangeAspect="1"/>
                    </pic:cNvPicPr>
                  </pic:nvPicPr>
                  <pic:blipFill>
                    <a:blip r:embed="rId5"/>
                    <a:stretch>
                      <a:fillRect/>
                    </a:stretch>
                  </pic:blipFill>
                  <pic:spPr>
                    <a:xfrm>
                      <a:off x="0" y="0"/>
                      <a:ext cx="5534025" cy="4325620"/>
                    </a:xfrm>
                    <a:prstGeom prst="rect">
                      <a:avLst/>
                    </a:prstGeom>
                  </pic:spPr>
                </pic:pic>
              </a:graphicData>
            </a:graphic>
          </wp:inline>
        </w:drawing>
      </w:r>
    </w:p>
    <w:p w14:paraId="37681E11">
      <w:pPr>
        <w:jc w:val="both"/>
      </w:pPr>
    </w:p>
    <w:p w14:paraId="497581DD">
      <w:pPr>
        <w:jc w:val="left"/>
      </w:pPr>
      <w:r>
        <w:rPr>
          <w:rFonts w:hint="eastAsia" w:ascii="Times New Roman" w:hAnsi="Times New Roman" w:eastAsia="宋体" w:cs="Times New Roman"/>
          <w:b/>
          <w:bCs/>
          <w:sz w:val="24"/>
          <w:szCs w:val="24"/>
        </w:rPr>
        <w:t>Fig</w:t>
      </w:r>
      <w:r>
        <w:rPr>
          <w:rFonts w:hint="eastAsia" w:ascii="Times New Roman" w:hAnsi="Times New Roman" w:eastAsia="宋体" w:cs="Times New Roman"/>
          <w:b/>
          <w:bCs/>
          <w:sz w:val="24"/>
          <w:szCs w:val="24"/>
          <w:lang w:val="en-US" w:eastAsia="zh-CN"/>
        </w:rPr>
        <w:t>.</w:t>
      </w:r>
      <w:r>
        <w:rPr>
          <w:rFonts w:hint="eastAsia" w:ascii="Times New Roman" w:hAnsi="Times New Roman" w:eastAsia="宋体" w:cs="Times New Roman"/>
          <w:b/>
          <w:bCs/>
          <w:sz w:val="24"/>
          <w:szCs w:val="24"/>
        </w:rPr>
        <w:t xml:space="preserve"> </w:t>
      </w:r>
      <w:r>
        <w:rPr>
          <w:rFonts w:hint="eastAsia" w:eastAsia="宋体" w:cs="Times New Roman"/>
          <w:b/>
          <w:bCs/>
          <w:sz w:val="24"/>
          <w:szCs w:val="24"/>
          <w:lang w:val="en-US" w:eastAsia="zh-CN"/>
        </w:rPr>
        <w:t>1</w:t>
      </w:r>
      <w:r>
        <w:rPr>
          <w:b/>
          <w:bCs/>
          <w:sz w:val="24"/>
          <w:szCs w:val="24"/>
        </w:rPr>
        <w:t xml:space="preserve"> </w:t>
      </w:r>
      <w:r>
        <w:rPr>
          <w:rFonts w:hint="eastAsia"/>
          <w:sz w:val="24"/>
          <w:szCs w:val="24"/>
        </w:rPr>
        <w:t>Normogram for diagnosis of depression based on logistic regression model.</w:t>
      </w:r>
      <w:r>
        <w:rPr>
          <w:rFonts w:hint="eastAsia"/>
        </w:rPr>
        <w:t>The total score is obtained by adding the values of each variable. Where the total score corresponds to the depression probability at the bottom.</w:t>
      </w:r>
    </w:p>
    <w:p w14:paraId="05E45056"/>
    <w:p w14:paraId="64604985"/>
    <w:p w14:paraId="4CD6F331"/>
    <w:p w14:paraId="59599CF0"/>
    <w:p w14:paraId="11F06833"/>
    <w:p w14:paraId="7A967E5C">
      <w:pPr>
        <w:jc w:val="both"/>
      </w:pPr>
    </w:p>
    <w:sectPr>
      <w:pgSz w:w="11906" w:h="16838"/>
      <w:pgMar w:top="1440" w:right="866"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A9043E"/>
    <w:multiLevelType w:val="multilevel"/>
    <w:tmpl w:val="93A9043E"/>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pStyle w:val="4"/>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VlN2FiYTM1OTAwZTdjMjYxODU3YzgyN2IxZDRmYjYifQ=="/>
  </w:docVars>
  <w:rsids>
    <w:rsidRoot w:val="008067AF"/>
    <w:rsid w:val="003B526C"/>
    <w:rsid w:val="003B57B2"/>
    <w:rsid w:val="00511DAA"/>
    <w:rsid w:val="00651CB8"/>
    <w:rsid w:val="0072220D"/>
    <w:rsid w:val="0073517F"/>
    <w:rsid w:val="008067AF"/>
    <w:rsid w:val="00AD7497"/>
    <w:rsid w:val="00BC1770"/>
    <w:rsid w:val="00CE34AB"/>
    <w:rsid w:val="00EA6DD9"/>
    <w:rsid w:val="00EB2809"/>
    <w:rsid w:val="0150550A"/>
    <w:rsid w:val="0AED2926"/>
    <w:rsid w:val="0CAF587F"/>
    <w:rsid w:val="136771B0"/>
    <w:rsid w:val="1BBD4415"/>
    <w:rsid w:val="3480488E"/>
    <w:rsid w:val="3A240CF5"/>
    <w:rsid w:val="3BEC2FB9"/>
    <w:rsid w:val="44E3013A"/>
    <w:rsid w:val="45AB7D77"/>
    <w:rsid w:val="4A3D0A2B"/>
    <w:rsid w:val="4B453192"/>
    <w:rsid w:val="55EB41AD"/>
    <w:rsid w:val="71DF7BD8"/>
    <w:rsid w:val="7B753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center"/>
    </w:pPr>
    <w:rPr>
      <w:rFonts w:ascii="Times New Roman" w:hAnsi="Times New Roman" w:cs="Times New Roman" w:eastAsiaTheme="minorEastAsia"/>
      <w:kern w:val="2"/>
      <w:sz w:val="21"/>
      <w:szCs w:val="22"/>
      <w:lang w:val="en-US" w:eastAsia="zh-CN" w:bidi="ar-SA"/>
    </w:rPr>
  </w:style>
  <w:style w:type="paragraph" w:styleId="2">
    <w:name w:val="heading 1"/>
    <w:basedOn w:val="1"/>
    <w:next w:val="1"/>
    <w:link w:val="23"/>
    <w:autoRedefine/>
    <w:qFormat/>
    <w:uiPriority w:val="9"/>
    <w:pPr>
      <w:keepNext/>
      <w:keepLines/>
      <w:spacing w:before="340" w:after="330" w:line="576" w:lineRule="auto"/>
      <w:outlineLvl w:val="0"/>
    </w:pPr>
    <w:rPr>
      <w:b/>
      <w:kern w:val="44"/>
      <w:sz w:val="44"/>
    </w:rPr>
  </w:style>
  <w:style w:type="paragraph" w:styleId="3">
    <w:name w:val="heading 2"/>
    <w:basedOn w:val="1"/>
    <w:next w:val="1"/>
    <w:link w:val="22"/>
    <w:autoRedefine/>
    <w:semiHidden/>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5"/>
    <w:link w:val="24"/>
    <w:autoRedefine/>
    <w:semiHidden/>
    <w:unhideWhenUsed/>
    <w:qFormat/>
    <w:uiPriority w:val="9"/>
    <w:pPr>
      <w:keepNext/>
      <w:keepLines/>
      <w:widowControl/>
      <w:numPr>
        <w:ilvl w:val="2"/>
        <w:numId w:val="1"/>
      </w:numPr>
      <w:spacing w:before="200"/>
      <w:jc w:val="left"/>
      <w:outlineLvl w:val="2"/>
    </w:pPr>
    <w:rPr>
      <w:rFonts w:ascii="Calibri" w:hAnsi="Calibri" w:eastAsia="宋体"/>
      <w:b/>
      <w:bCs/>
      <w:color w:val="000000"/>
      <w:kern w:val="0"/>
      <w:sz w:val="28"/>
      <w:szCs w:val="28"/>
    </w:rPr>
  </w:style>
  <w:style w:type="paragraph" w:styleId="6">
    <w:name w:val="heading 4"/>
    <w:basedOn w:val="1"/>
    <w:next w:val="1"/>
    <w:link w:val="25"/>
    <w:autoRedefine/>
    <w:semiHidden/>
    <w:unhideWhenUsed/>
    <w:qFormat/>
    <w:uiPriority w:val="9"/>
    <w:pPr>
      <w:keepNext/>
      <w:keepLines/>
      <w:spacing w:before="280" w:after="290" w:line="372" w:lineRule="auto"/>
      <w:outlineLvl w:val="3"/>
    </w:pPr>
    <w:rPr>
      <w:rFonts w:ascii="Arial" w:hAnsi="Arial" w:eastAsia="黑体"/>
      <w:b/>
      <w:sz w:val="28"/>
    </w:rPr>
  </w:style>
  <w:style w:type="paragraph" w:styleId="7">
    <w:name w:val="heading 5"/>
    <w:basedOn w:val="1"/>
    <w:next w:val="1"/>
    <w:link w:val="26"/>
    <w:autoRedefine/>
    <w:semiHidden/>
    <w:unhideWhenUsed/>
    <w:qFormat/>
    <w:uiPriority w:val="9"/>
    <w:pPr>
      <w:keepNext/>
      <w:keepLines/>
      <w:spacing w:before="280" w:after="290" w:line="372" w:lineRule="auto"/>
      <w:outlineLvl w:val="4"/>
    </w:pPr>
    <w:rPr>
      <w:b/>
      <w:sz w:val="28"/>
    </w:rPr>
  </w:style>
  <w:style w:type="paragraph" w:styleId="8">
    <w:name w:val="heading 6"/>
    <w:basedOn w:val="1"/>
    <w:next w:val="1"/>
    <w:link w:val="27"/>
    <w:autoRedefine/>
    <w:semiHidden/>
    <w:unhideWhenUsed/>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28"/>
    <w:autoRedefine/>
    <w:semiHidden/>
    <w:unhideWhenUsed/>
    <w:qFormat/>
    <w:uiPriority w:val="9"/>
    <w:pPr>
      <w:keepNext/>
      <w:keepLines/>
      <w:spacing w:before="240" w:after="64" w:line="317" w:lineRule="auto"/>
      <w:outlineLvl w:val="6"/>
    </w:pPr>
    <w:rPr>
      <w:b/>
      <w:sz w:val="24"/>
    </w:rPr>
  </w:style>
  <w:style w:type="paragraph" w:styleId="10">
    <w:name w:val="heading 8"/>
    <w:basedOn w:val="1"/>
    <w:next w:val="1"/>
    <w:link w:val="29"/>
    <w:autoRedefine/>
    <w:semiHidden/>
    <w:unhideWhenUsed/>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1"/>
    <w:link w:val="30"/>
    <w:autoRedefine/>
    <w:semiHidden/>
    <w:unhideWhenUsed/>
    <w:qFormat/>
    <w:uiPriority w:val="9"/>
    <w:pPr>
      <w:keepNext/>
      <w:keepLines/>
      <w:spacing w:before="240" w:after="64" w:line="317" w:lineRule="auto"/>
      <w:outlineLvl w:val="8"/>
    </w:pPr>
    <w:rPr>
      <w:rFonts w:ascii="Arial" w:hAnsi="Arial" w:eastAsia="黑体"/>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1"/>
    <w:autoRedefine/>
    <w:semiHidden/>
    <w:unhideWhenUsed/>
    <w:qFormat/>
    <w:uiPriority w:val="99"/>
    <w:pPr>
      <w:spacing w:after="120"/>
    </w:pPr>
  </w:style>
  <w:style w:type="paragraph" w:styleId="12">
    <w:name w:val="footer"/>
    <w:basedOn w:val="1"/>
    <w:link w:val="20"/>
    <w:autoRedefine/>
    <w:unhideWhenUsed/>
    <w:qFormat/>
    <w:uiPriority w:val="99"/>
    <w:pPr>
      <w:tabs>
        <w:tab w:val="center" w:pos="4153"/>
        <w:tab w:val="right" w:pos="8306"/>
      </w:tabs>
      <w:snapToGrid w:val="0"/>
      <w:jc w:val="left"/>
    </w:pPr>
    <w:rPr>
      <w:sz w:val="18"/>
      <w:szCs w:val="18"/>
    </w:rPr>
  </w:style>
  <w:style w:type="paragraph" w:styleId="13">
    <w:name w:val="header"/>
    <w:basedOn w:val="1"/>
    <w:link w:val="19"/>
    <w:autoRedefine/>
    <w:unhideWhenUsed/>
    <w:qFormat/>
    <w:uiPriority w:val="99"/>
    <w:pPr>
      <w:tabs>
        <w:tab w:val="center" w:pos="4153"/>
        <w:tab w:val="right" w:pos="8306"/>
      </w:tabs>
      <w:snapToGrid w:val="0"/>
    </w:pPr>
    <w:rPr>
      <w:sz w:val="18"/>
      <w:szCs w:val="18"/>
    </w:rPr>
  </w:style>
  <w:style w:type="paragraph" w:styleId="1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17">
    <w:name w:val="Table Grid"/>
    <w:basedOn w:val="1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页眉 字符"/>
    <w:basedOn w:val="18"/>
    <w:link w:val="13"/>
    <w:autoRedefine/>
    <w:qFormat/>
    <w:uiPriority w:val="99"/>
    <w:rPr>
      <w:sz w:val="18"/>
      <w:szCs w:val="18"/>
    </w:rPr>
  </w:style>
  <w:style w:type="character" w:customStyle="1" w:styleId="20">
    <w:name w:val="页脚 字符"/>
    <w:basedOn w:val="18"/>
    <w:link w:val="12"/>
    <w:autoRedefine/>
    <w:qFormat/>
    <w:uiPriority w:val="99"/>
    <w:rPr>
      <w:sz w:val="18"/>
      <w:szCs w:val="18"/>
    </w:rPr>
  </w:style>
  <w:style w:type="table" w:customStyle="1" w:styleId="21">
    <w:name w:val="三线图"/>
    <w:basedOn w:val="16"/>
    <w:autoRedefine/>
    <w:qFormat/>
    <w:uiPriority w:val="99"/>
    <w:rPr>
      <w:rFonts w:eastAsia="Times New Roman"/>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 w:type="character" w:customStyle="1" w:styleId="22">
    <w:name w:val="标题 2 字符"/>
    <w:basedOn w:val="18"/>
    <w:link w:val="3"/>
    <w:autoRedefine/>
    <w:qFormat/>
    <w:uiPriority w:val="0"/>
    <w:rPr>
      <w:rFonts w:hint="default" w:ascii="Calibri" w:hAnsi="Calibri" w:eastAsia="宋体" w:cs="Times New Roman"/>
      <w:b/>
      <w:bCs/>
      <w:color w:val="000000"/>
      <w:sz w:val="32"/>
      <w:szCs w:val="32"/>
    </w:rPr>
  </w:style>
  <w:style w:type="character" w:customStyle="1" w:styleId="23">
    <w:name w:val="标题 1 字符"/>
    <w:basedOn w:val="18"/>
    <w:link w:val="2"/>
    <w:autoRedefine/>
    <w:qFormat/>
    <w:uiPriority w:val="0"/>
    <w:rPr>
      <w:rFonts w:hint="default" w:ascii="Calibri" w:hAnsi="Calibri" w:eastAsia="宋体" w:cs="Times New Roman"/>
      <w:b/>
      <w:bCs/>
      <w:color w:val="000000"/>
      <w:sz w:val="32"/>
      <w:szCs w:val="32"/>
    </w:rPr>
  </w:style>
  <w:style w:type="character" w:customStyle="1" w:styleId="24">
    <w:name w:val="标题 3 字符"/>
    <w:basedOn w:val="18"/>
    <w:link w:val="4"/>
    <w:autoRedefine/>
    <w:qFormat/>
    <w:uiPriority w:val="0"/>
    <w:rPr>
      <w:rFonts w:hint="default" w:ascii="Calibri" w:hAnsi="Calibri" w:eastAsia="宋体" w:cs="Times New Roman"/>
      <w:b/>
      <w:bCs/>
      <w:color w:val="000000"/>
      <w:sz w:val="28"/>
      <w:szCs w:val="28"/>
    </w:rPr>
  </w:style>
  <w:style w:type="character" w:customStyle="1" w:styleId="25">
    <w:name w:val="标题 4 字符"/>
    <w:basedOn w:val="18"/>
    <w:link w:val="6"/>
    <w:autoRedefine/>
    <w:qFormat/>
    <w:uiPriority w:val="0"/>
    <w:rPr>
      <w:rFonts w:hint="default" w:ascii="Calibri" w:hAnsi="Calibri" w:eastAsia="宋体" w:cs="Times New Roman"/>
      <w:b/>
      <w:bCs/>
      <w:color w:val="000000"/>
    </w:rPr>
  </w:style>
  <w:style w:type="character" w:customStyle="1" w:styleId="26">
    <w:name w:val="标题 5 字符"/>
    <w:basedOn w:val="18"/>
    <w:link w:val="7"/>
    <w:autoRedefine/>
    <w:qFormat/>
    <w:uiPriority w:val="0"/>
    <w:rPr>
      <w:rFonts w:hint="default" w:ascii="Calibri" w:hAnsi="Calibri" w:eastAsia="宋体" w:cs="Times New Roman"/>
      <w:i/>
      <w:iCs/>
      <w:color w:val="000000"/>
    </w:rPr>
  </w:style>
  <w:style w:type="character" w:customStyle="1" w:styleId="27">
    <w:name w:val="标题 6 字符"/>
    <w:basedOn w:val="18"/>
    <w:link w:val="8"/>
    <w:autoRedefine/>
    <w:qFormat/>
    <w:uiPriority w:val="0"/>
    <w:rPr>
      <w:rFonts w:hint="default" w:ascii="Calibri" w:hAnsi="Calibri" w:eastAsia="宋体" w:cs="Times New Roman"/>
      <w:color w:val="000000"/>
    </w:rPr>
  </w:style>
  <w:style w:type="character" w:customStyle="1" w:styleId="28">
    <w:name w:val="标题 7 字符"/>
    <w:basedOn w:val="18"/>
    <w:link w:val="9"/>
    <w:autoRedefine/>
    <w:qFormat/>
    <w:uiPriority w:val="0"/>
    <w:rPr>
      <w:rFonts w:hint="default" w:ascii="Calibri" w:hAnsi="Calibri" w:eastAsia="宋体" w:cs="Times New Roman"/>
      <w:color w:val="000000"/>
    </w:rPr>
  </w:style>
  <w:style w:type="character" w:customStyle="1" w:styleId="29">
    <w:name w:val="标题 8 字符"/>
    <w:basedOn w:val="18"/>
    <w:link w:val="10"/>
    <w:autoRedefine/>
    <w:qFormat/>
    <w:uiPriority w:val="0"/>
    <w:rPr>
      <w:rFonts w:hint="default" w:ascii="Calibri" w:hAnsi="Calibri" w:eastAsia="宋体" w:cs="Times New Roman"/>
      <w:color w:val="000000"/>
    </w:rPr>
  </w:style>
  <w:style w:type="character" w:customStyle="1" w:styleId="30">
    <w:name w:val="标题 9 字符"/>
    <w:basedOn w:val="18"/>
    <w:link w:val="11"/>
    <w:autoRedefine/>
    <w:qFormat/>
    <w:uiPriority w:val="0"/>
    <w:rPr>
      <w:rFonts w:hint="default" w:ascii="Calibri" w:hAnsi="Calibri" w:eastAsia="宋体" w:cs="Times New Roman"/>
      <w:color w:val="000000"/>
    </w:rPr>
  </w:style>
  <w:style w:type="character" w:customStyle="1" w:styleId="31">
    <w:name w:val="正文文本 字符"/>
    <w:basedOn w:val="18"/>
    <w:link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0F3A8-B1AA-451A-A3B7-68D18CA720FA}">
  <ds:schemaRefs/>
</ds:datastoreItem>
</file>

<file path=docProps/app.xml><?xml version="1.0" encoding="utf-8"?>
<Properties xmlns="http://schemas.openxmlformats.org/officeDocument/2006/extended-properties" xmlns:vt="http://schemas.openxmlformats.org/officeDocument/2006/docPropsVTypes">
  <Template>Normal</Template>
  <Pages>6</Pages>
  <Words>2377</Words>
  <Characters>13089</Characters>
  <Lines>20</Lines>
  <Paragraphs>5</Paragraphs>
  <TotalTime>4</TotalTime>
  <ScaleCrop>false</ScaleCrop>
  <LinksUpToDate>false</LinksUpToDate>
  <CharactersWithSpaces>15216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2024-01-23T12:38:00Z</dcterms:created>
  <dc:creator>一擎 洪</dc:creator>
  <cp:lastModifiedBy>黑择明</cp:lastModifiedBy>
  <dcterms:modified xsi:type="dcterms:W3CDTF">2024-11-29T10:40:28Z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3BE8C7657BF14642AD9FD27280CCCA87_13</vt:lpwstr>
  </property>
</Properties>
</file>