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30E6A" w14:textId="14886062" w:rsidR="00356D8B" w:rsidRPr="00C26E68" w:rsidRDefault="00180473">
      <w:pPr>
        <w:rPr>
          <w:rFonts w:ascii="Times New Roman" w:hAnsi="Times New Roman" w:cs="Times New Roman"/>
          <w:sz w:val="22"/>
          <w:szCs w:val="22"/>
        </w:rPr>
      </w:pPr>
      <w:r w:rsidRPr="00C26E68">
        <w:rPr>
          <w:rFonts w:ascii="Times New Roman" w:hAnsi="Times New Roman" w:cs="Times New Roman"/>
          <w:sz w:val="22"/>
          <w:szCs w:val="22"/>
        </w:rPr>
        <w:t>Appendix</w:t>
      </w:r>
      <w:r w:rsidR="00C26E68" w:rsidRPr="00C26E68">
        <w:rPr>
          <w:rFonts w:ascii="Times New Roman" w:hAnsi="Times New Roman" w:cs="Times New Roman"/>
          <w:sz w:val="22"/>
          <w:szCs w:val="22"/>
        </w:rPr>
        <w:t xml:space="preserve"> H</w:t>
      </w:r>
      <w:r w:rsidRPr="00C26E68">
        <w:rPr>
          <w:rFonts w:ascii="Times New Roman" w:hAnsi="Times New Roman" w:cs="Times New Roman"/>
          <w:sz w:val="22"/>
          <w:szCs w:val="22"/>
        </w:rPr>
        <w:t xml:space="preserve">. List of medications that were considered exclusionary </w:t>
      </w:r>
      <w:r w:rsidR="0017530F">
        <w:rPr>
          <w:rFonts w:ascii="Times New Roman" w:hAnsi="Times New Roman" w:cs="Times New Roman"/>
          <w:sz w:val="22"/>
          <w:szCs w:val="22"/>
        </w:rPr>
        <w:t>of</w:t>
      </w:r>
      <w:r w:rsidRPr="00C26E68">
        <w:rPr>
          <w:rFonts w:ascii="Times New Roman" w:hAnsi="Times New Roman" w:cs="Times New Roman"/>
          <w:sz w:val="22"/>
          <w:szCs w:val="22"/>
        </w:rPr>
        <w:t xml:space="preserve"> the study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356D8B" w:rsidRPr="00C26E68" w14:paraId="56CD5EEC" w14:textId="68B24B00" w:rsidTr="00B9412F">
        <w:tc>
          <w:tcPr>
            <w:tcW w:w="4673" w:type="dxa"/>
          </w:tcPr>
          <w:p w14:paraId="43E7F8C4" w14:textId="75025A4E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Schedule I </w:t>
            </w:r>
          </w:p>
        </w:tc>
        <w:tc>
          <w:tcPr>
            <w:tcW w:w="4394" w:type="dxa"/>
          </w:tcPr>
          <w:p w14:paraId="1AF42A3A" w14:textId="394D73C3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Schedule II</w:t>
            </w:r>
          </w:p>
        </w:tc>
      </w:tr>
      <w:tr w:rsidR="00356D8B" w:rsidRPr="00C26E68" w14:paraId="1630327F" w14:textId="77777777" w:rsidTr="003915E5">
        <w:tc>
          <w:tcPr>
            <w:tcW w:w="4673" w:type="dxa"/>
          </w:tcPr>
          <w:p w14:paraId="64BA57B5" w14:textId="7568D9CC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Drugs, substance, are defines as with no currently accepted medical use and a high potential for abuse </w:t>
            </w:r>
          </w:p>
        </w:tc>
        <w:tc>
          <w:tcPr>
            <w:tcW w:w="4394" w:type="dxa"/>
          </w:tcPr>
          <w:p w14:paraId="7B9820D3" w14:textId="1479AB9C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Drugs, substance, are defines as drugs  with a high potential for abuse, which use potentially leading to severe psychological or physical dependence</w:t>
            </w:r>
          </w:p>
        </w:tc>
      </w:tr>
      <w:tr w:rsidR="00356D8B" w:rsidRPr="00C26E68" w14:paraId="1FE1022F" w14:textId="2404A3C7" w:rsidTr="00EC674C">
        <w:trPr>
          <w:trHeight w:val="3909"/>
        </w:trPr>
        <w:tc>
          <w:tcPr>
            <w:tcW w:w="4673" w:type="dxa"/>
          </w:tcPr>
          <w:p w14:paraId="029E229B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Heroin </w:t>
            </w:r>
          </w:p>
          <w:p w14:paraId="07A23727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Lyserdic</w:t>
            </w:r>
            <w:proofErr w:type="spellEnd"/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 acid diethylamide (LSD)</w:t>
            </w:r>
          </w:p>
          <w:p w14:paraId="752A9867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Marijuana (cannabis) </w:t>
            </w:r>
          </w:p>
          <w:p w14:paraId="7E2591F4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3,4-methylenedioxymethamphetamine  (ecstasy) </w:t>
            </w:r>
          </w:p>
          <w:p w14:paraId="025D39F3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Methaqualone </w:t>
            </w:r>
          </w:p>
          <w:p w14:paraId="0A47CFA8" w14:textId="4D84DFF1" w:rsidR="00356D8B" w:rsidRPr="00C26E68" w:rsidRDefault="00356D8B" w:rsidP="00EC674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Peyote </w:t>
            </w:r>
          </w:p>
        </w:tc>
        <w:tc>
          <w:tcPr>
            <w:tcW w:w="4394" w:type="dxa"/>
          </w:tcPr>
          <w:p w14:paraId="15544CFA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Combination products with </w:t>
            </w:r>
            <w:proofErr w:type="spellStart"/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lesaa</w:t>
            </w:r>
            <w:proofErr w:type="spellEnd"/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 than 15 mg of </w:t>
            </w:r>
            <w:proofErr w:type="spellStart"/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Hydrocodones</w:t>
            </w:r>
            <w:proofErr w:type="spellEnd"/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 per dosage unit (Vicodin)</w:t>
            </w:r>
          </w:p>
          <w:p w14:paraId="5E19BCEE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Cocaine </w:t>
            </w:r>
          </w:p>
          <w:p w14:paraId="1C71D373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Methamphetamine</w:t>
            </w:r>
          </w:p>
          <w:p w14:paraId="55C9A636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Methadone</w:t>
            </w:r>
          </w:p>
          <w:p w14:paraId="33FA51BD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Hydromorphone (</w:t>
            </w:r>
            <w:proofErr w:type="spellStart"/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Dilaudid</w:t>
            </w:r>
            <w:proofErr w:type="spellEnd"/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51E9D9F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Meperidine (Demerol) </w:t>
            </w:r>
          </w:p>
          <w:p w14:paraId="2291AE10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Oxycodone (OxyContin)</w:t>
            </w:r>
          </w:p>
          <w:p w14:paraId="49CF525C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Fentanyl </w:t>
            </w:r>
          </w:p>
          <w:p w14:paraId="31977641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>Dexedrine</w:t>
            </w:r>
          </w:p>
          <w:p w14:paraId="1AA0657F" w14:textId="77777777" w:rsidR="00356D8B" w:rsidRPr="00C26E68" w:rsidRDefault="00356D8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Adderall </w:t>
            </w:r>
          </w:p>
          <w:p w14:paraId="610BBF51" w14:textId="1662705D" w:rsidR="00356D8B" w:rsidRPr="00C26E68" w:rsidRDefault="00356D8B" w:rsidP="006C0F4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6E68">
              <w:rPr>
                <w:rFonts w:ascii="Times New Roman" w:hAnsi="Times New Roman" w:cs="Times New Roman"/>
                <w:sz w:val="22"/>
                <w:szCs w:val="22"/>
              </w:rPr>
              <w:t xml:space="preserve">Ritalin </w:t>
            </w:r>
          </w:p>
        </w:tc>
      </w:tr>
    </w:tbl>
    <w:p w14:paraId="3DDC3BA0" w14:textId="1A0DA334" w:rsidR="001A683F" w:rsidRPr="00C26E68" w:rsidRDefault="00C26E68" w:rsidP="00C26E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6E68">
        <w:rPr>
          <w:rFonts w:ascii="Times New Roman" w:hAnsi="Times New Roman" w:cs="Times New Roman"/>
          <w:sz w:val="20"/>
          <w:szCs w:val="20"/>
        </w:rPr>
        <w:t>Reference:</w:t>
      </w:r>
    </w:p>
    <w:p w14:paraId="5178F480" w14:textId="1C36020E" w:rsidR="00356D8B" w:rsidRPr="00C26E68" w:rsidRDefault="00180473" w:rsidP="00C26E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6E68">
        <w:rPr>
          <w:rFonts w:ascii="Times New Roman" w:hAnsi="Times New Roman" w:cs="Times New Roman"/>
          <w:sz w:val="20"/>
          <w:szCs w:val="20"/>
        </w:rPr>
        <w:t>DEA. 10 July, 2018. Drug Scheduling. Retrieved from https://www.dea.gov/drug-information/drug-scheduling on 2 October, 2024</w:t>
      </w:r>
    </w:p>
    <w:sectPr w:rsidR="00356D8B" w:rsidRPr="00C26E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8B"/>
    <w:rsid w:val="0017530F"/>
    <w:rsid w:val="00180473"/>
    <w:rsid w:val="001A683F"/>
    <w:rsid w:val="00356D8B"/>
    <w:rsid w:val="004A757A"/>
    <w:rsid w:val="005B085D"/>
    <w:rsid w:val="00C2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8DBB02"/>
  <w15:chartTrackingRefBased/>
  <w15:docId w15:val="{E7BD32C4-689F-4B3E-A0C0-B8F6D3B1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D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D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D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D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D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D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D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D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D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D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D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6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Susanty, E.S. (Eka)</dc:creator>
  <cp:keywords/>
  <dc:description/>
  <cp:lastModifiedBy>Susanty, E.S. (Eka)</cp:lastModifiedBy>
  <cp:revision>5</cp:revision>
  <dcterms:created xsi:type="dcterms:W3CDTF">2024-10-02T14:09:00Z</dcterms:created>
  <dcterms:modified xsi:type="dcterms:W3CDTF">2024-10-23T05:51:00Z</dcterms:modified>
</cp:coreProperties>
</file>