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CE5E37">
      <w:pPr>
        <w:pStyle w:val="2"/>
        <w:jc w:val="center"/>
        <w:rPr>
          <w:rFonts w:hint="eastAsia" w:ascii="Times" w:hAnsi="Times" w:eastAsia="Times New Roman" w:cs="Times New Roman"/>
          <w:b/>
          <w:bCs/>
          <w:color w:val="333333"/>
          <w:sz w:val="24"/>
          <w:szCs w:val="24"/>
          <w:lang w:val="en-US" w:eastAsia="zh-CN" w:bidi="ar-SA"/>
        </w:rPr>
      </w:pPr>
      <w:r>
        <w:rPr>
          <w:rFonts w:hint="eastAsia" w:ascii="Times" w:hAnsi="Times" w:eastAsia="Times New Roman" w:cs="Times New Roman"/>
          <w:b/>
          <w:bCs/>
          <w:color w:val="333333"/>
          <w:sz w:val="24"/>
          <w:szCs w:val="24"/>
          <w:lang w:val="en-US" w:eastAsia="en-US" w:bidi="ar-SA"/>
        </w:rPr>
        <w:t>Supplementary</w:t>
      </w:r>
      <w:r>
        <w:rPr>
          <w:rFonts w:ascii="Times" w:hAnsi="Times" w:eastAsia="Times New Roman" w:cs="Times New Roman"/>
          <w:b/>
          <w:bCs/>
          <w:color w:val="333333"/>
          <w:sz w:val="24"/>
          <w:szCs w:val="24"/>
          <w:lang w:val="en-US" w:eastAsia="en-US" w:bidi="ar-SA"/>
        </w:rPr>
        <w:t xml:space="preserve"> Table </w:t>
      </w:r>
      <w:r>
        <w:rPr>
          <w:rFonts w:ascii="Times" w:hAnsi="Times" w:eastAsia="Times New Roman" w:cs="Times New Roman"/>
          <w:b/>
          <w:bCs/>
          <w:color w:val="333333"/>
          <w:sz w:val="24"/>
          <w:szCs w:val="24"/>
          <w:lang w:val="en-US" w:eastAsia="en-US" w:bidi="ar-SA"/>
        </w:rPr>
        <w:fldChar w:fldCharType="begin"/>
      </w:r>
      <w:r>
        <w:rPr>
          <w:rFonts w:ascii="Times" w:hAnsi="Times" w:eastAsia="Times New Roman" w:cs="Times New Roman"/>
          <w:b/>
          <w:bCs/>
          <w:color w:val="333333"/>
          <w:sz w:val="24"/>
          <w:szCs w:val="24"/>
          <w:lang w:val="en-US" w:eastAsia="en-US" w:bidi="ar-SA"/>
        </w:rPr>
        <w:instrText xml:space="preserve"> SEQ Supplemental_Table \* ARABIC </w:instrText>
      </w:r>
      <w:r>
        <w:rPr>
          <w:rFonts w:ascii="Times" w:hAnsi="Times" w:eastAsia="Times New Roman" w:cs="Times New Roman"/>
          <w:b/>
          <w:bCs/>
          <w:color w:val="333333"/>
          <w:sz w:val="24"/>
          <w:szCs w:val="24"/>
          <w:lang w:val="en-US" w:eastAsia="en-US" w:bidi="ar-SA"/>
        </w:rPr>
        <w:fldChar w:fldCharType="separate"/>
      </w:r>
      <w:r>
        <w:rPr>
          <w:rFonts w:ascii="Times" w:hAnsi="Times" w:eastAsia="Times New Roman" w:cs="Times New Roman"/>
          <w:b/>
          <w:bCs/>
          <w:color w:val="333333"/>
          <w:sz w:val="24"/>
          <w:szCs w:val="24"/>
          <w:lang w:val="en-US" w:eastAsia="en-US" w:bidi="ar-SA"/>
        </w:rPr>
        <w:t>1</w:t>
      </w:r>
      <w:r>
        <w:rPr>
          <w:rFonts w:ascii="Times" w:hAnsi="Times" w:eastAsia="Times New Roman" w:cs="Times New Roman"/>
          <w:b/>
          <w:bCs/>
          <w:color w:val="333333"/>
          <w:sz w:val="24"/>
          <w:szCs w:val="24"/>
          <w:lang w:val="en-US" w:eastAsia="en-US" w:bidi="ar-SA"/>
        </w:rPr>
        <w:fldChar w:fldCharType="end"/>
      </w:r>
      <w:r>
        <w:rPr>
          <w:rFonts w:hint="eastAsia" w:ascii="Times" w:hAnsi="Times" w:eastAsia="宋体" w:cs="Times New Roman"/>
          <w:b/>
          <w:bCs/>
          <w:color w:val="333333"/>
          <w:sz w:val="24"/>
          <w:szCs w:val="24"/>
          <w:lang w:val="en-US" w:eastAsia="zh-CN" w:bidi="ar-SA"/>
        </w:rPr>
        <w:t>.</w:t>
      </w:r>
      <w:r>
        <w:rPr>
          <w:rFonts w:hint="eastAsia" w:ascii="Times" w:hAnsi="Times" w:eastAsia="Times New Roman" w:cs="Times New Roman"/>
          <w:b/>
          <w:bCs/>
          <w:color w:val="333333"/>
          <w:sz w:val="24"/>
          <w:szCs w:val="24"/>
          <w:lang w:val="en-US" w:eastAsia="zh-CN" w:bidi="ar-SA"/>
        </w:rPr>
        <w:t xml:space="preserve"> Healthy Eating Index-2015 Components &amp; Scoring Standards</w:t>
      </w:r>
      <w:r>
        <w:rPr>
          <w:rFonts w:hint="eastAsia" w:ascii="Times" w:hAnsi="Times" w:eastAsia="Times New Roman" w:cs="Times New Roman"/>
          <w:b/>
          <w:bCs/>
          <w:color w:val="333333"/>
          <w:sz w:val="24"/>
          <w:szCs w:val="24"/>
          <w:vertAlign w:val="superscript"/>
          <w:lang w:val="en-US" w:eastAsia="zh-CN" w:bidi="ar-SA"/>
        </w:rPr>
        <w:footnoteReference w:id="0"/>
      </w:r>
    </w:p>
    <w:tbl>
      <w:tblPr>
        <w:tblStyle w:val="8"/>
        <w:tblpPr w:leftFromText="180" w:rightFromText="180" w:vertAnchor="page" w:horzAnchor="page" w:tblpX="1490" w:tblpY="2424"/>
        <w:tblOverlap w:val="never"/>
        <w:tblW w:w="9668" w:type="dxa"/>
        <w:tblInd w:w="0" w:type="dxa"/>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Layout w:type="autofit"/>
        <w:tblCellMar>
          <w:top w:w="0" w:type="dxa"/>
          <w:left w:w="108" w:type="dxa"/>
          <w:bottom w:w="0" w:type="dxa"/>
          <w:right w:w="108" w:type="dxa"/>
        </w:tblCellMar>
      </w:tblPr>
      <w:tblGrid>
        <w:gridCol w:w="2014"/>
        <w:gridCol w:w="1283"/>
        <w:gridCol w:w="3253"/>
        <w:gridCol w:w="3118"/>
      </w:tblGrid>
      <w:tr w14:paraId="30E7857B">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2014" w:type="dxa"/>
            <w:tcBorders>
              <w:left w:val="nil"/>
              <w:bottom w:val="single" w:color="999999" w:themeColor="text1" w:themeTint="66" w:sz="4" w:space="0"/>
              <w:right w:val="nil"/>
              <w:insideH w:val="single" w:sz="12" w:space="0"/>
            </w:tcBorders>
            <w:vAlign w:val="top"/>
          </w:tcPr>
          <w:p w14:paraId="2D91157F">
            <w:pPr>
              <w:jc w:val="center"/>
              <w:rPr>
                <w:rFonts w:ascii="Times" w:hAnsi="Times" w:eastAsia="Times New Roman"/>
                <w:b w:val="0"/>
                <w:bCs w:val="0"/>
                <w:color w:val="333333"/>
                <w:sz w:val="24"/>
                <w:szCs w:val="24"/>
                <w:lang w:eastAsia="en-US"/>
              </w:rPr>
            </w:pPr>
            <w:r>
              <w:rPr>
                <w:rFonts w:ascii="Times" w:hAnsi="Times" w:eastAsia="Times New Roman"/>
                <w:b/>
                <w:bCs/>
                <w:color w:val="333333"/>
                <w:sz w:val="24"/>
                <w:szCs w:val="24"/>
                <w:lang w:eastAsia="en-US"/>
              </w:rPr>
              <w:t>Component</w:t>
            </w:r>
          </w:p>
        </w:tc>
        <w:tc>
          <w:tcPr>
            <w:tcW w:w="1283" w:type="dxa"/>
            <w:tcBorders>
              <w:left w:val="nil"/>
              <w:bottom w:val="single" w:color="999999" w:themeColor="text1" w:themeTint="66" w:sz="4" w:space="0"/>
              <w:right w:val="nil"/>
              <w:insideH w:val="single" w:sz="12" w:space="0"/>
            </w:tcBorders>
            <w:vAlign w:val="top"/>
          </w:tcPr>
          <w:p w14:paraId="74756B49">
            <w:pPr>
              <w:jc w:val="center"/>
              <w:rPr>
                <w:rFonts w:ascii="Times" w:hAnsi="Times" w:eastAsia="Times New Roman"/>
                <w:b w:val="0"/>
                <w:bCs w:val="0"/>
                <w:color w:val="333333"/>
                <w:sz w:val="24"/>
                <w:szCs w:val="24"/>
                <w:lang w:eastAsia="en-US"/>
              </w:rPr>
            </w:pPr>
            <w:r>
              <w:rPr>
                <w:rFonts w:ascii="Times" w:hAnsi="Times" w:eastAsia="Times New Roman"/>
                <w:b/>
                <w:bCs/>
                <w:color w:val="333333"/>
                <w:sz w:val="24"/>
                <w:szCs w:val="24"/>
                <w:lang w:eastAsia="en-US"/>
              </w:rPr>
              <w:t>Maximum points</w:t>
            </w:r>
          </w:p>
        </w:tc>
        <w:tc>
          <w:tcPr>
            <w:tcW w:w="3253" w:type="dxa"/>
            <w:tcBorders>
              <w:left w:val="nil"/>
              <w:bottom w:val="single" w:color="999999" w:themeColor="text1" w:themeTint="66" w:sz="4" w:space="0"/>
              <w:right w:val="nil"/>
              <w:insideH w:val="single" w:sz="12" w:space="0"/>
            </w:tcBorders>
            <w:vAlign w:val="top"/>
          </w:tcPr>
          <w:p w14:paraId="0D34E5ED">
            <w:pPr>
              <w:jc w:val="center"/>
              <w:rPr>
                <w:rFonts w:ascii="Times" w:hAnsi="Times" w:eastAsia="Times New Roman"/>
                <w:b w:val="0"/>
                <w:bCs w:val="0"/>
                <w:color w:val="333333"/>
                <w:sz w:val="24"/>
                <w:szCs w:val="24"/>
                <w:lang w:eastAsia="en-US"/>
              </w:rPr>
            </w:pPr>
            <w:r>
              <w:rPr>
                <w:rFonts w:ascii="Times" w:hAnsi="Times" w:eastAsia="Times New Roman"/>
                <w:b/>
                <w:bCs/>
                <w:color w:val="333333"/>
                <w:sz w:val="24"/>
                <w:szCs w:val="24"/>
                <w:lang w:eastAsia="en-US"/>
              </w:rPr>
              <w:t>Standard for maximum score</w:t>
            </w:r>
          </w:p>
        </w:tc>
        <w:tc>
          <w:tcPr>
            <w:tcW w:w="3118" w:type="dxa"/>
            <w:tcBorders>
              <w:left w:val="nil"/>
              <w:bottom w:val="single" w:color="999999" w:themeColor="text1" w:themeTint="66" w:sz="4" w:space="0"/>
              <w:right w:val="nil"/>
              <w:insideH w:val="single" w:sz="12" w:space="0"/>
            </w:tcBorders>
            <w:vAlign w:val="top"/>
          </w:tcPr>
          <w:p w14:paraId="5687ADA6">
            <w:pPr>
              <w:jc w:val="center"/>
              <w:rPr>
                <w:rFonts w:ascii="Times" w:hAnsi="Times" w:eastAsia="Times New Roman"/>
                <w:b w:val="0"/>
                <w:bCs w:val="0"/>
                <w:color w:val="333333"/>
                <w:sz w:val="24"/>
                <w:szCs w:val="24"/>
                <w:lang w:eastAsia="en-US"/>
              </w:rPr>
            </w:pPr>
            <w:r>
              <w:rPr>
                <w:rFonts w:ascii="Times" w:hAnsi="Times" w:eastAsia="Times New Roman"/>
                <w:b/>
                <w:bCs/>
                <w:color w:val="333333"/>
                <w:sz w:val="24"/>
                <w:szCs w:val="24"/>
                <w:lang w:eastAsia="en-US"/>
              </w:rPr>
              <w:t>Standard for minimum score of zero</w:t>
            </w:r>
          </w:p>
        </w:tc>
      </w:tr>
      <w:tr w14:paraId="07BB4A14">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9668" w:type="dxa"/>
            <w:gridSpan w:val="4"/>
            <w:tcBorders>
              <w:top w:val="single" w:color="999999" w:themeColor="text1" w:themeTint="66" w:sz="4" w:space="0"/>
              <w:left w:val="nil"/>
              <w:right w:val="nil"/>
            </w:tcBorders>
            <w:vAlign w:val="top"/>
          </w:tcPr>
          <w:p w14:paraId="4424677E">
            <w:pPr>
              <w:rPr>
                <w:rFonts w:ascii="Times" w:hAnsi="Times" w:eastAsia="Times New Roman"/>
                <w:b w:val="0"/>
                <w:bCs w:val="0"/>
                <w:i/>
                <w:iCs/>
                <w:color w:val="212529"/>
                <w:sz w:val="24"/>
                <w:szCs w:val="24"/>
                <w:lang w:eastAsia="en-US"/>
              </w:rPr>
            </w:pPr>
            <w:r>
              <w:rPr>
                <w:rFonts w:ascii="Times" w:hAnsi="Times" w:eastAsia="Times New Roman"/>
                <w:b/>
                <w:bCs/>
                <w:color w:val="333333"/>
                <w:sz w:val="24"/>
                <w:szCs w:val="24"/>
                <w:lang w:eastAsia="en-US"/>
              </w:rPr>
              <w:t>Adequacy</w:t>
            </w:r>
            <w:r>
              <w:rPr>
                <w:rStyle w:val="7"/>
                <w:rFonts w:ascii="Times" w:hAnsi="Times" w:eastAsia="Times New Roman"/>
                <w:b/>
                <w:bCs/>
                <w:color w:val="333333"/>
                <w:sz w:val="24"/>
                <w:szCs w:val="24"/>
                <w:lang w:eastAsia="en-US"/>
              </w:rPr>
              <w:footnoteReference w:id="1"/>
            </w:r>
          </w:p>
        </w:tc>
      </w:tr>
      <w:tr w14:paraId="0EE7555E">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2014" w:type="dxa"/>
            <w:tcBorders>
              <w:left w:val="nil"/>
              <w:bottom w:val="nil"/>
              <w:right w:val="nil"/>
            </w:tcBorders>
          </w:tcPr>
          <w:p w14:paraId="2DB68BBC">
            <w:pPr>
              <w:rPr>
                <w:rFonts w:ascii="Times" w:hAnsi="Times" w:eastAsia="Times New Roman"/>
                <w:b w:val="0"/>
                <w:bCs w:val="0"/>
                <w:color w:val="auto"/>
                <w:sz w:val="24"/>
                <w:szCs w:val="24"/>
                <w:lang w:eastAsia="en-US"/>
              </w:rPr>
            </w:pPr>
            <w:r>
              <w:rPr>
                <w:rFonts w:ascii="Times" w:hAnsi="Times" w:eastAsia="Times New Roman"/>
                <w:b w:val="0"/>
                <w:bCs w:val="0"/>
                <w:color w:val="auto"/>
                <w:sz w:val="24"/>
                <w:szCs w:val="24"/>
                <w:lang w:eastAsia="en-US"/>
              </w:rPr>
              <w:t>Total Fruits</w:t>
            </w:r>
            <w:r>
              <w:rPr>
                <w:rStyle w:val="7"/>
                <w:rFonts w:ascii="Times" w:hAnsi="Times" w:eastAsia="Times New Roman"/>
                <w:b w:val="0"/>
                <w:bCs w:val="0"/>
                <w:color w:val="auto"/>
                <w:sz w:val="24"/>
                <w:szCs w:val="24"/>
                <w:lang w:eastAsia="en-US"/>
              </w:rPr>
              <w:footnoteReference w:id="2"/>
            </w:r>
          </w:p>
        </w:tc>
        <w:tc>
          <w:tcPr>
            <w:tcW w:w="1283" w:type="dxa"/>
            <w:tcBorders>
              <w:left w:val="nil"/>
              <w:bottom w:val="nil"/>
              <w:right w:val="nil"/>
            </w:tcBorders>
          </w:tcPr>
          <w:p w14:paraId="249B7C19">
            <w:pPr>
              <w:jc w:val="center"/>
              <w:rPr>
                <w:rFonts w:ascii="Times" w:hAnsi="Times" w:eastAsia="Times New Roman"/>
                <w:color w:val="212529"/>
                <w:sz w:val="24"/>
                <w:szCs w:val="24"/>
                <w:lang w:eastAsia="en-US"/>
              </w:rPr>
            </w:pPr>
            <w:r>
              <w:rPr>
                <w:rFonts w:ascii="Times" w:hAnsi="Times" w:eastAsia="Times New Roman"/>
                <w:color w:val="212529"/>
                <w:sz w:val="24"/>
                <w:szCs w:val="24"/>
                <w:lang w:eastAsia="en-US"/>
              </w:rPr>
              <w:t>5</w:t>
            </w:r>
          </w:p>
        </w:tc>
        <w:tc>
          <w:tcPr>
            <w:tcW w:w="3253" w:type="dxa"/>
            <w:tcBorders>
              <w:left w:val="nil"/>
              <w:bottom w:val="nil"/>
              <w:right w:val="nil"/>
            </w:tcBorders>
          </w:tcPr>
          <w:p w14:paraId="2625CA25">
            <w:pPr>
              <w:rPr>
                <w:rFonts w:ascii="Times" w:hAnsi="Times" w:eastAsia="Times New Roman"/>
                <w:color w:val="212529"/>
                <w:sz w:val="24"/>
                <w:szCs w:val="24"/>
                <w:lang w:eastAsia="en-US"/>
              </w:rPr>
            </w:pPr>
            <w:r>
              <w:rPr>
                <w:rFonts w:ascii="Times" w:hAnsi="Times" w:eastAsia="Times New Roman"/>
                <w:color w:val="212529"/>
                <w:sz w:val="24"/>
                <w:szCs w:val="24"/>
                <w:lang w:eastAsia="en-US"/>
              </w:rPr>
              <w:t>≥0.8 cup equiv. per 1,000 kcal</w:t>
            </w:r>
          </w:p>
        </w:tc>
        <w:tc>
          <w:tcPr>
            <w:tcW w:w="3118" w:type="dxa"/>
            <w:tcBorders>
              <w:left w:val="nil"/>
              <w:bottom w:val="nil"/>
              <w:right w:val="nil"/>
            </w:tcBorders>
          </w:tcPr>
          <w:p w14:paraId="436042A8">
            <w:pPr>
              <w:rPr>
                <w:rFonts w:ascii="Times" w:hAnsi="Times" w:eastAsia="Times New Roman"/>
                <w:color w:val="212529"/>
                <w:sz w:val="24"/>
                <w:szCs w:val="24"/>
                <w:lang w:eastAsia="en-US"/>
              </w:rPr>
            </w:pPr>
            <w:r>
              <w:rPr>
                <w:rFonts w:ascii="Times" w:hAnsi="Times" w:eastAsia="Times New Roman"/>
                <w:color w:val="212529"/>
                <w:sz w:val="24"/>
                <w:szCs w:val="24"/>
                <w:lang w:eastAsia="en-US"/>
              </w:rPr>
              <w:t>No Fruit</w:t>
            </w:r>
          </w:p>
        </w:tc>
      </w:tr>
      <w:tr w14:paraId="5E2DD864">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2014" w:type="dxa"/>
            <w:tcBorders>
              <w:top w:val="nil"/>
              <w:left w:val="nil"/>
              <w:bottom w:val="nil"/>
              <w:right w:val="nil"/>
            </w:tcBorders>
          </w:tcPr>
          <w:p w14:paraId="310F0F8F">
            <w:pPr>
              <w:rPr>
                <w:rFonts w:ascii="Times" w:hAnsi="Times" w:eastAsia="Times New Roman"/>
                <w:b w:val="0"/>
                <w:bCs w:val="0"/>
                <w:color w:val="auto"/>
                <w:sz w:val="24"/>
                <w:szCs w:val="24"/>
                <w:lang w:eastAsia="en-US"/>
              </w:rPr>
            </w:pPr>
            <w:r>
              <w:rPr>
                <w:rFonts w:ascii="Times" w:hAnsi="Times" w:eastAsia="Times New Roman"/>
                <w:b w:val="0"/>
                <w:bCs w:val="0"/>
                <w:color w:val="auto"/>
                <w:sz w:val="24"/>
                <w:szCs w:val="24"/>
                <w:lang w:eastAsia="en-US"/>
              </w:rPr>
              <w:t>Whole Fruits</w:t>
            </w:r>
            <w:r>
              <w:rPr>
                <w:rStyle w:val="7"/>
                <w:rFonts w:ascii="Times" w:hAnsi="Times" w:eastAsia="Times New Roman"/>
                <w:b w:val="0"/>
                <w:bCs w:val="0"/>
                <w:color w:val="auto"/>
                <w:sz w:val="24"/>
                <w:szCs w:val="24"/>
                <w:lang w:eastAsia="en-US"/>
              </w:rPr>
              <w:footnoteReference w:id="3"/>
            </w:r>
          </w:p>
        </w:tc>
        <w:tc>
          <w:tcPr>
            <w:tcW w:w="1283" w:type="dxa"/>
            <w:tcBorders>
              <w:top w:val="nil"/>
              <w:left w:val="nil"/>
              <w:bottom w:val="nil"/>
              <w:right w:val="nil"/>
            </w:tcBorders>
          </w:tcPr>
          <w:p w14:paraId="17324CAF">
            <w:pPr>
              <w:jc w:val="center"/>
              <w:rPr>
                <w:rFonts w:ascii="Times" w:hAnsi="Times" w:eastAsia="Times New Roman"/>
                <w:color w:val="212529"/>
                <w:sz w:val="24"/>
                <w:szCs w:val="24"/>
                <w:lang w:eastAsia="en-US"/>
              </w:rPr>
            </w:pPr>
            <w:r>
              <w:rPr>
                <w:rFonts w:ascii="Times" w:hAnsi="Times" w:eastAsia="Times New Roman"/>
                <w:color w:val="212529"/>
                <w:sz w:val="24"/>
                <w:szCs w:val="24"/>
                <w:lang w:eastAsia="en-US"/>
              </w:rPr>
              <w:t>5</w:t>
            </w:r>
          </w:p>
        </w:tc>
        <w:tc>
          <w:tcPr>
            <w:tcW w:w="3253" w:type="dxa"/>
            <w:tcBorders>
              <w:top w:val="nil"/>
              <w:left w:val="nil"/>
              <w:bottom w:val="nil"/>
              <w:right w:val="nil"/>
            </w:tcBorders>
          </w:tcPr>
          <w:p w14:paraId="339EC3B6">
            <w:pPr>
              <w:rPr>
                <w:rFonts w:ascii="Times" w:hAnsi="Times" w:eastAsia="Times New Roman"/>
                <w:color w:val="212529"/>
                <w:sz w:val="24"/>
                <w:szCs w:val="24"/>
                <w:lang w:eastAsia="en-US"/>
              </w:rPr>
            </w:pPr>
            <w:r>
              <w:rPr>
                <w:rFonts w:ascii="Times" w:hAnsi="Times" w:eastAsia="Times New Roman"/>
                <w:color w:val="212529"/>
                <w:sz w:val="24"/>
                <w:szCs w:val="24"/>
                <w:lang w:eastAsia="en-US"/>
              </w:rPr>
              <w:t>≥0.4 cup equiv. per 1,000 kcal</w:t>
            </w:r>
          </w:p>
        </w:tc>
        <w:tc>
          <w:tcPr>
            <w:tcW w:w="3118" w:type="dxa"/>
            <w:tcBorders>
              <w:top w:val="nil"/>
              <w:left w:val="nil"/>
              <w:bottom w:val="nil"/>
              <w:right w:val="nil"/>
            </w:tcBorders>
          </w:tcPr>
          <w:p w14:paraId="688E4094">
            <w:pPr>
              <w:rPr>
                <w:rFonts w:ascii="Times" w:hAnsi="Times" w:eastAsia="Times New Roman"/>
                <w:color w:val="212529"/>
                <w:sz w:val="24"/>
                <w:szCs w:val="24"/>
                <w:lang w:eastAsia="en-US"/>
              </w:rPr>
            </w:pPr>
            <w:r>
              <w:rPr>
                <w:rFonts w:ascii="Times" w:hAnsi="Times" w:eastAsia="Times New Roman"/>
                <w:color w:val="212529"/>
                <w:sz w:val="24"/>
                <w:szCs w:val="24"/>
                <w:lang w:eastAsia="en-US"/>
              </w:rPr>
              <w:t>No Whole Fruit</w:t>
            </w:r>
          </w:p>
        </w:tc>
      </w:tr>
      <w:tr w14:paraId="0D9CAD14">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2014" w:type="dxa"/>
            <w:tcBorders>
              <w:top w:val="nil"/>
              <w:left w:val="nil"/>
              <w:bottom w:val="nil"/>
              <w:right w:val="nil"/>
            </w:tcBorders>
          </w:tcPr>
          <w:p w14:paraId="5B0024B1">
            <w:pPr>
              <w:rPr>
                <w:rFonts w:ascii="Times" w:hAnsi="Times" w:eastAsia="Times New Roman"/>
                <w:b w:val="0"/>
                <w:bCs w:val="0"/>
                <w:color w:val="auto"/>
                <w:sz w:val="24"/>
                <w:szCs w:val="24"/>
                <w:lang w:eastAsia="en-US"/>
              </w:rPr>
            </w:pPr>
            <w:r>
              <w:rPr>
                <w:rFonts w:ascii="Times" w:hAnsi="Times" w:eastAsia="Times New Roman"/>
                <w:b w:val="0"/>
                <w:bCs w:val="0"/>
                <w:color w:val="auto"/>
                <w:sz w:val="24"/>
                <w:szCs w:val="24"/>
                <w:lang w:eastAsia="en-US"/>
              </w:rPr>
              <w:t>Total Vegetables</w:t>
            </w:r>
            <w:r>
              <w:rPr>
                <w:rStyle w:val="7"/>
                <w:rFonts w:ascii="Times" w:hAnsi="Times" w:eastAsia="Times New Roman"/>
                <w:b w:val="0"/>
                <w:bCs w:val="0"/>
                <w:color w:val="auto"/>
                <w:sz w:val="24"/>
                <w:szCs w:val="24"/>
                <w:lang w:eastAsia="en-US"/>
              </w:rPr>
              <w:footnoteReference w:id="4"/>
            </w:r>
          </w:p>
        </w:tc>
        <w:tc>
          <w:tcPr>
            <w:tcW w:w="1283" w:type="dxa"/>
            <w:tcBorders>
              <w:top w:val="nil"/>
              <w:left w:val="nil"/>
              <w:bottom w:val="nil"/>
              <w:right w:val="nil"/>
            </w:tcBorders>
          </w:tcPr>
          <w:p w14:paraId="3AE0DD55">
            <w:pPr>
              <w:jc w:val="center"/>
              <w:rPr>
                <w:rFonts w:ascii="Times" w:hAnsi="Times" w:eastAsia="Times New Roman"/>
                <w:color w:val="212529"/>
                <w:sz w:val="24"/>
                <w:szCs w:val="24"/>
                <w:lang w:eastAsia="en-US"/>
              </w:rPr>
            </w:pPr>
            <w:r>
              <w:rPr>
                <w:rFonts w:ascii="Times" w:hAnsi="Times" w:eastAsia="Times New Roman"/>
                <w:color w:val="212529"/>
                <w:sz w:val="24"/>
                <w:szCs w:val="24"/>
                <w:lang w:eastAsia="en-US"/>
              </w:rPr>
              <w:t>5</w:t>
            </w:r>
          </w:p>
        </w:tc>
        <w:tc>
          <w:tcPr>
            <w:tcW w:w="3253" w:type="dxa"/>
            <w:tcBorders>
              <w:top w:val="nil"/>
              <w:left w:val="nil"/>
              <w:bottom w:val="nil"/>
              <w:right w:val="nil"/>
            </w:tcBorders>
          </w:tcPr>
          <w:p w14:paraId="2CD2C8D7">
            <w:pPr>
              <w:rPr>
                <w:rFonts w:ascii="Times" w:hAnsi="Times" w:eastAsia="Times New Roman"/>
                <w:color w:val="212529"/>
                <w:sz w:val="24"/>
                <w:szCs w:val="24"/>
                <w:lang w:eastAsia="en-US"/>
              </w:rPr>
            </w:pPr>
            <w:r>
              <w:rPr>
                <w:rFonts w:ascii="Times" w:hAnsi="Times" w:eastAsia="Times New Roman"/>
                <w:color w:val="212529"/>
                <w:sz w:val="24"/>
                <w:szCs w:val="24"/>
                <w:lang w:eastAsia="en-US"/>
              </w:rPr>
              <w:t>≥1.1 cup equiv. per 1,000 kcal</w:t>
            </w:r>
          </w:p>
        </w:tc>
        <w:tc>
          <w:tcPr>
            <w:tcW w:w="3118" w:type="dxa"/>
            <w:tcBorders>
              <w:top w:val="nil"/>
              <w:left w:val="nil"/>
              <w:bottom w:val="nil"/>
              <w:right w:val="nil"/>
            </w:tcBorders>
          </w:tcPr>
          <w:p w14:paraId="471DB5A8">
            <w:pPr>
              <w:rPr>
                <w:rFonts w:ascii="Times" w:hAnsi="Times" w:eastAsia="Times New Roman"/>
                <w:color w:val="212529"/>
                <w:sz w:val="24"/>
                <w:szCs w:val="24"/>
                <w:lang w:eastAsia="en-US"/>
              </w:rPr>
            </w:pPr>
            <w:r>
              <w:rPr>
                <w:rFonts w:ascii="Times" w:hAnsi="Times" w:eastAsia="Times New Roman"/>
                <w:color w:val="212529"/>
                <w:sz w:val="24"/>
                <w:szCs w:val="24"/>
                <w:lang w:eastAsia="en-US"/>
              </w:rPr>
              <w:t>No Vegetables</w:t>
            </w:r>
          </w:p>
        </w:tc>
      </w:tr>
      <w:tr w14:paraId="5F9419A0">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2014" w:type="dxa"/>
            <w:tcBorders>
              <w:top w:val="nil"/>
              <w:left w:val="nil"/>
              <w:bottom w:val="nil"/>
              <w:right w:val="nil"/>
            </w:tcBorders>
          </w:tcPr>
          <w:p w14:paraId="71B31723">
            <w:pPr>
              <w:rPr>
                <w:rFonts w:hint="eastAsia" w:ascii="Times" w:hAnsi="Times" w:eastAsia="宋体"/>
                <w:b w:val="0"/>
                <w:bCs w:val="0"/>
                <w:color w:val="auto"/>
                <w:sz w:val="24"/>
                <w:szCs w:val="24"/>
                <w:lang w:val="en-US" w:eastAsia="zh-CN"/>
              </w:rPr>
            </w:pPr>
            <w:r>
              <w:rPr>
                <w:rFonts w:ascii="Times" w:hAnsi="Times" w:eastAsia="Times New Roman"/>
                <w:b w:val="0"/>
                <w:bCs w:val="0"/>
                <w:color w:val="auto"/>
                <w:sz w:val="24"/>
                <w:szCs w:val="24"/>
                <w:lang w:eastAsia="en-US"/>
              </w:rPr>
              <w:t>Greens and Beans</w:t>
            </w:r>
            <w:r>
              <w:rPr>
                <w:rFonts w:hint="eastAsia"/>
                <w:b w:val="0"/>
                <w:bCs w:val="0"/>
                <w:color w:val="auto"/>
                <w:sz w:val="24"/>
                <w:szCs w:val="24"/>
                <w:vertAlign w:val="superscript"/>
                <w:lang w:val="en-US" w:eastAsia="zh-CN"/>
              </w:rPr>
              <w:t>4</w:t>
            </w:r>
          </w:p>
        </w:tc>
        <w:tc>
          <w:tcPr>
            <w:tcW w:w="1283" w:type="dxa"/>
            <w:tcBorders>
              <w:top w:val="nil"/>
              <w:left w:val="nil"/>
              <w:bottom w:val="nil"/>
              <w:right w:val="nil"/>
            </w:tcBorders>
          </w:tcPr>
          <w:p w14:paraId="79255243">
            <w:pPr>
              <w:jc w:val="center"/>
              <w:rPr>
                <w:rFonts w:ascii="Times" w:hAnsi="Times" w:eastAsia="Times New Roman"/>
                <w:color w:val="212529"/>
                <w:sz w:val="24"/>
                <w:szCs w:val="24"/>
                <w:lang w:eastAsia="en-US"/>
              </w:rPr>
            </w:pPr>
            <w:r>
              <w:rPr>
                <w:rFonts w:ascii="Times" w:hAnsi="Times" w:eastAsia="Times New Roman"/>
                <w:color w:val="212529"/>
                <w:sz w:val="24"/>
                <w:szCs w:val="24"/>
                <w:lang w:eastAsia="en-US"/>
              </w:rPr>
              <w:t>5</w:t>
            </w:r>
          </w:p>
        </w:tc>
        <w:tc>
          <w:tcPr>
            <w:tcW w:w="3253" w:type="dxa"/>
            <w:tcBorders>
              <w:top w:val="nil"/>
              <w:left w:val="nil"/>
              <w:bottom w:val="nil"/>
              <w:right w:val="nil"/>
            </w:tcBorders>
          </w:tcPr>
          <w:p w14:paraId="46DCD643">
            <w:pPr>
              <w:rPr>
                <w:rFonts w:ascii="Times" w:hAnsi="Times" w:eastAsia="Times New Roman"/>
                <w:color w:val="212529"/>
                <w:sz w:val="24"/>
                <w:szCs w:val="24"/>
                <w:lang w:eastAsia="en-US"/>
              </w:rPr>
            </w:pPr>
            <w:r>
              <w:rPr>
                <w:rFonts w:ascii="Times" w:hAnsi="Times" w:eastAsia="Times New Roman"/>
                <w:color w:val="212529"/>
                <w:sz w:val="24"/>
                <w:szCs w:val="24"/>
                <w:lang w:eastAsia="en-US"/>
              </w:rPr>
              <w:t>≥0.2 cup equiv. per 1,000 kcal</w:t>
            </w:r>
          </w:p>
        </w:tc>
        <w:tc>
          <w:tcPr>
            <w:tcW w:w="3118" w:type="dxa"/>
            <w:tcBorders>
              <w:top w:val="nil"/>
              <w:left w:val="nil"/>
              <w:bottom w:val="nil"/>
              <w:right w:val="nil"/>
            </w:tcBorders>
          </w:tcPr>
          <w:p w14:paraId="7D687965">
            <w:pPr>
              <w:rPr>
                <w:rFonts w:ascii="Times" w:hAnsi="Times" w:eastAsia="Times New Roman"/>
                <w:color w:val="212529"/>
                <w:sz w:val="24"/>
                <w:szCs w:val="24"/>
                <w:lang w:eastAsia="en-US"/>
              </w:rPr>
            </w:pPr>
            <w:r>
              <w:rPr>
                <w:rFonts w:ascii="Times" w:hAnsi="Times" w:eastAsia="Times New Roman"/>
                <w:color w:val="212529"/>
                <w:sz w:val="24"/>
                <w:szCs w:val="24"/>
                <w:lang w:eastAsia="en-US"/>
              </w:rPr>
              <w:t>No Dark</w:t>
            </w:r>
            <w:r>
              <w:rPr>
                <w:rFonts w:hint="eastAsia"/>
                <w:color w:val="212529"/>
                <w:sz w:val="24"/>
                <w:szCs w:val="24"/>
                <w:lang w:val="en-US" w:eastAsia="zh-CN"/>
              </w:rPr>
              <w:t xml:space="preserve"> </w:t>
            </w:r>
            <w:r>
              <w:rPr>
                <w:rFonts w:ascii="Times" w:hAnsi="Times" w:eastAsia="Times New Roman"/>
                <w:color w:val="212529"/>
                <w:sz w:val="24"/>
                <w:szCs w:val="24"/>
                <w:lang w:eastAsia="en-US"/>
              </w:rPr>
              <w:t>Vegetables or Legumes</w:t>
            </w:r>
          </w:p>
        </w:tc>
      </w:tr>
      <w:tr w14:paraId="3C8337DD">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2014" w:type="dxa"/>
            <w:tcBorders>
              <w:top w:val="nil"/>
              <w:left w:val="nil"/>
              <w:bottom w:val="nil"/>
              <w:right w:val="nil"/>
            </w:tcBorders>
          </w:tcPr>
          <w:p w14:paraId="59EE997B">
            <w:pPr>
              <w:rPr>
                <w:rFonts w:ascii="Times" w:hAnsi="Times" w:eastAsia="Times New Roman"/>
                <w:b w:val="0"/>
                <w:bCs w:val="0"/>
                <w:color w:val="auto"/>
                <w:sz w:val="24"/>
                <w:szCs w:val="24"/>
                <w:lang w:eastAsia="en-US"/>
              </w:rPr>
            </w:pPr>
            <w:r>
              <w:rPr>
                <w:rFonts w:ascii="Times" w:hAnsi="Times" w:eastAsia="Times New Roman"/>
                <w:b w:val="0"/>
                <w:bCs w:val="0"/>
                <w:color w:val="auto"/>
                <w:sz w:val="24"/>
                <w:szCs w:val="24"/>
                <w:lang w:eastAsia="en-US"/>
              </w:rPr>
              <w:t>Whole Grains</w:t>
            </w:r>
          </w:p>
        </w:tc>
        <w:tc>
          <w:tcPr>
            <w:tcW w:w="1283" w:type="dxa"/>
            <w:tcBorders>
              <w:top w:val="nil"/>
              <w:left w:val="nil"/>
              <w:bottom w:val="nil"/>
              <w:right w:val="nil"/>
            </w:tcBorders>
          </w:tcPr>
          <w:p w14:paraId="0F888AA3">
            <w:pPr>
              <w:jc w:val="center"/>
              <w:rPr>
                <w:rFonts w:ascii="Times" w:hAnsi="Times" w:eastAsia="Times New Roman"/>
                <w:color w:val="212529"/>
                <w:sz w:val="24"/>
                <w:szCs w:val="24"/>
                <w:lang w:eastAsia="en-US"/>
              </w:rPr>
            </w:pPr>
            <w:r>
              <w:rPr>
                <w:rFonts w:ascii="Times" w:hAnsi="Times" w:eastAsia="Times New Roman"/>
                <w:color w:val="212529"/>
                <w:sz w:val="24"/>
                <w:szCs w:val="24"/>
                <w:lang w:eastAsia="en-US"/>
              </w:rPr>
              <w:t>10</w:t>
            </w:r>
          </w:p>
        </w:tc>
        <w:tc>
          <w:tcPr>
            <w:tcW w:w="3253" w:type="dxa"/>
            <w:tcBorders>
              <w:top w:val="nil"/>
              <w:left w:val="nil"/>
              <w:bottom w:val="nil"/>
              <w:right w:val="nil"/>
            </w:tcBorders>
          </w:tcPr>
          <w:p w14:paraId="02EFF79F">
            <w:pPr>
              <w:rPr>
                <w:rFonts w:ascii="Times" w:hAnsi="Times" w:eastAsia="Times New Roman"/>
                <w:color w:val="212529"/>
                <w:sz w:val="24"/>
                <w:szCs w:val="24"/>
                <w:lang w:eastAsia="en-US"/>
              </w:rPr>
            </w:pPr>
            <w:r>
              <w:rPr>
                <w:rFonts w:ascii="Times" w:hAnsi="Times" w:eastAsia="Times New Roman"/>
                <w:color w:val="212529"/>
                <w:sz w:val="24"/>
                <w:szCs w:val="24"/>
                <w:lang w:eastAsia="en-US"/>
              </w:rPr>
              <w:t>≥1.5 oz equiv. per 1,000 kcal</w:t>
            </w:r>
          </w:p>
        </w:tc>
        <w:tc>
          <w:tcPr>
            <w:tcW w:w="3118" w:type="dxa"/>
            <w:tcBorders>
              <w:top w:val="nil"/>
              <w:left w:val="nil"/>
              <w:bottom w:val="nil"/>
              <w:right w:val="nil"/>
            </w:tcBorders>
          </w:tcPr>
          <w:p w14:paraId="3DC563B4">
            <w:pPr>
              <w:rPr>
                <w:rFonts w:ascii="Times" w:hAnsi="Times" w:eastAsia="Times New Roman"/>
                <w:color w:val="212529"/>
                <w:sz w:val="24"/>
                <w:szCs w:val="24"/>
                <w:lang w:eastAsia="en-US"/>
              </w:rPr>
            </w:pPr>
            <w:r>
              <w:rPr>
                <w:rFonts w:ascii="Times" w:hAnsi="Times" w:eastAsia="Times New Roman"/>
                <w:color w:val="212529"/>
                <w:sz w:val="24"/>
                <w:szCs w:val="24"/>
                <w:lang w:eastAsia="en-US"/>
              </w:rPr>
              <w:t>No Whole Grains</w:t>
            </w:r>
          </w:p>
        </w:tc>
      </w:tr>
      <w:tr w14:paraId="7202B62B">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2014" w:type="dxa"/>
            <w:tcBorders>
              <w:top w:val="nil"/>
              <w:left w:val="nil"/>
              <w:bottom w:val="nil"/>
              <w:right w:val="nil"/>
            </w:tcBorders>
          </w:tcPr>
          <w:p w14:paraId="396F8BCB">
            <w:pPr>
              <w:rPr>
                <w:rFonts w:hint="eastAsia" w:ascii="Times" w:hAnsi="Times" w:eastAsia="宋体"/>
                <w:b w:val="0"/>
                <w:bCs w:val="0"/>
                <w:color w:val="auto"/>
                <w:sz w:val="24"/>
                <w:szCs w:val="24"/>
                <w:lang w:val="en-US" w:eastAsia="zh-CN"/>
              </w:rPr>
            </w:pPr>
            <w:r>
              <w:rPr>
                <w:rFonts w:ascii="Times" w:hAnsi="Times" w:eastAsia="Times New Roman"/>
                <w:b w:val="0"/>
                <w:bCs w:val="0"/>
                <w:color w:val="auto"/>
                <w:sz w:val="24"/>
                <w:szCs w:val="24"/>
                <w:lang w:eastAsia="en-US"/>
              </w:rPr>
              <w:t>Dairy</w:t>
            </w:r>
            <w:r>
              <w:rPr>
                <w:rStyle w:val="7"/>
                <w:rFonts w:ascii="Times" w:hAnsi="Times" w:eastAsia="Times New Roman"/>
                <w:b w:val="0"/>
                <w:bCs w:val="0"/>
                <w:color w:val="auto"/>
                <w:sz w:val="24"/>
                <w:szCs w:val="24"/>
                <w:lang w:eastAsia="en-US"/>
              </w:rPr>
              <w:footnoteReference w:id="5"/>
            </w:r>
          </w:p>
        </w:tc>
        <w:tc>
          <w:tcPr>
            <w:tcW w:w="1283" w:type="dxa"/>
            <w:tcBorders>
              <w:top w:val="nil"/>
              <w:left w:val="nil"/>
              <w:bottom w:val="nil"/>
              <w:right w:val="nil"/>
            </w:tcBorders>
          </w:tcPr>
          <w:p w14:paraId="098C8A14">
            <w:pPr>
              <w:jc w:val="center"/>
              <w:rPr>
                <w:rFonts w:ascii="Times" w:hAnsi="Times" w:eastAsia="Times New Roman"/>
                <w:color w:val="212529"/>
                <w:sz w:val="24"/>
                <w:szCs w:val="24"/>
                <w:lang w:eastAsia="en-US"/>
              </w:rPr>
            </w:pPr>
            <w:r>
              <w:rPr>
                <w:rFonts w:ascii="Times" w:hAnsi="Times" w:eastAsia="Times New Roman"/>
                <w:color w:val="212529"/>
                <w:sz w:val="24"/>
                <w:szCs w:val="24"/>
                <w:lang w:eastAsia="en-US"/>
              </w:rPr>
              <w:t>10</w:t>
            </w:r>
          </w:p>
        </w:tc>
        <w:tc>
          <w:tcPr>
            <w:tcW w:w="3253" w:type="dxa"/>
            <w:tcBorders>
              <w:top w:val="nil"/>
              <w:left w:val="nil"/>
              <w:bottom w:val="nil"/>
              <w:right w:val="nil"/>
            </w:tcBorders>
          </w:tcPr>
          <w:p w14:paraId="210313B3">
            <w:pPr>
              <w:rPr>
                <w:rFonts w:ascii="Times" w:hAnsi="Times" w:eastAsia="Times New Roman"/>
                <w:color w:val="212529"/>
                <w:sz w:val="24"/>
                <w:szCs w:val="24"/>
                <w:lang w:eastAsia="en-US"/>
              </w:rPr>
            </w:pPr>
            <w:r>
              <w:rPr>
                <w:rFonts w:ascii="Times" w:hAnsi="Times" w:eastAsia="Times New Roman"/>
                <w:color w:val="212529"/>
                <w:sz w:val="24"/>
                <w:szCs w:val="24"/>
                <w:lang w:eastAsia="en-US"/>
              </w:rPr>
              <w:t>≥1.3 cup equiv. per 1,000 kcal</w:t>
            </w:r>
          </w:p>
        </w:tc>
        <w:tc>
          <w:tcPr>
            <w:tcW w:w="3118" w:type="dxa"/>
            <w:tcBorders>
              <w:top w:val="nil"/>
              <w:left w:val="nil"/>
              <w:bottom w:val="nil"/>
              <w:right w:val="nil"/>
            </w:tcBorders>
          </w:tcPr>
          <w:p w14:paraId="783E525C">
            <w:pPr>
              <w:rPr>
                <w:rFonts w:ascii="Times" w:hAnsi="Times" w:eastAsia="Times New Roman"/>
                <w:color w:val="212529"/>
                <w:sz w:val="24"/>
                <w:szCs w:val="24"/>
                <w:lang w:eastAsia="en-US"/>
              </w:rPr>
            </w:pPr>
            <w:r>
              <w:rPr>
                <w:rFonts w:ascii="Times" w:hAnsi="Times" w:eastAsia="Times New Roman"/>
                <w:color w:val="212529"/>
                <w:sz w:val="24"/>
                <w:szCs w:val="24"/>
                <w:lang w:eastAsia="en-US"/>
              </w:rPr>
              <w:t>No Dairy</w:t>
            </w:r>
          </w:p>
        </w:tc>
      </w:tr>
      <w:tr w14:paraId="520BCC9B">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2014" w:type="dxa"/>
            <w:tcBorders>
              <w:top w:val="nil"/>
              <w:left w:val="nil"/>
              <w:bottom w:val="nil"/>
              <w:right w:val="nil"/>
            </w:tcBorders>
          </w:tcPr>
          <w:p w14:paraId="231EB569">
            <w:pPr>
              <w:rPr>
                <w:rFonts w:ascii="Times" w:hAnsi="Times" w:eastAsia="Times New Roman"/>
                <w:b w:val="0"/>
                <w:bCs w:val="0"/>
                <w:color w:val="auto"/>
                <w:sz w:val="24"/>
                <w:szCs w:val="24"/>
                <w:lang w:eastAsia="en-US"/>
              </w:rPr>
            </w:pPr>
            <w:r>
              <w:rPr>
                <w:rFonts w:ascii="Times" w:hAnsi="Times" w:eastAsia="Times New Roman"/>
                <w:b w:val="0"/>
                <w:bCs w:val="0"/>
                <w:color w:val="auto"/>
                <w:sz w:val="24"/>
                <w:szCs w:val="24"/>
                <w:lang w:eastAsia="en-US"/>
              </w:rPr>
              <w:t>Total Protein Foods</w:t>
            </w:r>
            <w:r>
              <w:rPr>
                <w:rStyle w:val="7"/>
                <w:rFonts w:ascii="Times" w:hAnsi="Times" w:eastAsia="Times New Roman"/>
                <w:b w:val="0"/>
                <w:bCs w:val="0"/>
                <w:color w:val="auto"/>
                <w:sz w:val="24"/>
                <w:szCs w:val="24"/>
                <w:lang w:eastAsia="en-US"/>
              </w:rPr>
              <w:footnoteReference w:id="6"/>
            </w:r>
          </w:p>
        </w:tc>
        <w:tc>
          <w:tcPr>
            <w:tcW w:w="1283" w:type="dxa"/>
            <w:tcBorders>
              <w:top w:val="nil"/>
              <w:left w:val="nil"/>
              <w:bottom w:val="nil"/>
              <w:right w:val="nil"/>
            </w:tcBorders>
          </w:tcPr>
          <w:p w14:paraId="6B921B6A">
            <w:pPr>
              <w:jc w:val="center"/>
              <w:rPr>
                <w:rFonts w:ascii="Times" w:hAnsi="Times" w:eastAsia="Times New Roman"/>
                <w:color w:val="212529"/>
                <w:sz w:val="24"/>
                <w:szCs w:val="24"/>
                <w:lang w:eastAsia="en-US"/>
              </w:rPr>
            </w:pPr>
            <w:r>
              <w:rPr>
                <w:rFonts w:ascii="Times" w:hAnsi="Times" w:eastAsia="Times New Roman"/>
                <w:color w:val="212529"/>
                <w:sz w:val="24"/>
                <w:szCs w:val="24"/>
                <w:lang w:eastAsia="en-US"/>
              </w:rPr>
              <w:t>5</w:t>
            </w:r>
          </w:p>
        </w:tc>
        <w:tc>
          <w:tcPr>
            <w:tcW w:w="3253" w:type="dxa"/>
            <w:tcBorders>
              <w:top w:val="nil"/>
              <w:left w:val="nil"/>
              <w:bottom w:val="nil"/>
              <w:right w:val="nil"/>
            </w:tcBorders>
          </w:tcPr>
          <w:p w14:paraId="0079C8FD">
            <w:pPr>
              <w:rPr>
                <w:rFonts w:ascii="Times" w:hAnsi="Times" w:eastAsia="Times New Roman"/>
                <w:color w:val="212529"/>
                <w:sz w:val="24"/>
                <w:szCs w:val="24"/>
                <w:lang w:eastAsia="en-US"/>
              </w:rPr>
            </w:pPr>
            <w:r>
              <w:rPr>
                <w:rFonts w:ascii="Times" w:hAnsi="Times" w:eastAsia="Times New Roman"/>
                <w:color w:val="212529"/>
                <w:sz w:val="24"/>
                <w:szCs w:val="24"/>
                <w:lang w:eastAsia="en-US"/>
              </w:rPr>
              <w:t>≥2.5 oz equiv. per 1,000 kcal</w:t>
            </w:r>
          </w:p>
        </w:tc>
        <w:tc>
          <w:tcPr>
            <w:tcW w:w="3118" w:type="dxa"/>
            <w:tcBorders>
              <w:top w:val="nil"/>
              <w:left w:val="nil"/>
              <w:bottom w:val="nil"/>
              <w:right w:val="nil"/>
            </w:tcBorders>
          </w:tcPr>
          <w:p w14:paraId="5BFB74CD">
            <w:pPr>
              <w:rPr>
                <w:rFonts w:ascii="Times" w:hAnsi="Times" w:eastAsia="Times New Roman"/>
                <w:color w:val="212529"/>
                <w:sz w:val="24"/>
                <w:szCs w:val="24"/>
                <w:lang w:eastAsia="en-US"/>
              </w:rPr>
            </w:pPr>
            <w:r>
              <w:rPr>
                <w:rFonts w:ascii="Times" w:hAnsi="Times" w:eastAsia="Times New Roman"/>
                <w:color w:val="212529"/>
                <w:sz w:val="24"/>
                <w:szCs w:val="24"/>
                <w:lang w:eastAsia="en-US"/>
              </w:rPr>
              <w:t>No Protein Foods</w:t>
            </w:r>
          </w:p>
        </w:tc>
      </w:tr>
      <w:tr w14:paraId="2B7BC693">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2014" w:type="dxa"/>
            <w:tcBorders>
              <w:top w:val="nil"/>
              <w:left w:val="nil"/>
              <w:bottom w:val="nil"/>
              <w:right w:val="nil"/>
            </w:tcBorders>
          </w:tcPr>
          <w:p w14:paraId="20C7696D">
            <w:pPr>
              <w:rPr>
                <w:rFonts w:ascii="Times" w:hAnsi="Times" w:eastAsia="Times New Roman"/>
                <w:b w:val="0"/>
                <w:bCs w:val="0"/>
                <w:color w:val="auto"/>
                <w:sz w:val="24"/>
                <w:szCs w:val="24"/>
                <w:lang w:eastAsia="en-US"/>
              </w:rPr>
            </w:pPr>
            <w:r>
              <w:rPr>
                <w:rFonts w:ascii="Times" w:hAnsi="Times" w:eastAsia="Times New Roman"/>
                <w:b w:val="0"/>
                <w:bCs w:val="0"/>
                <w:color w:val="auto"/>
                <w:sz w:val="24"/>
                <w:szCs w:val="24"/>
                <w:lang w:eastAsia="en-US"/>
              </w:rPr>
              <w:t>Seafood and Plant Proteins</w:t>
            </w:r>
            <w:r>
              <w:rPr>
                <w:rFonts w:hint="eastAsia"/>
                <w:b w:val="0"/>
                <w:bCs w:val="0"/>
                <w:color w:val="auto"/>
                <w:sz w:val="24"/>
                <w:szCs w:val="24"/>
                <w:vertAlign w:val="superscript"/>
                <w:lang w:val="en-US" w:eastAsia="zh-CN"/>
              </w:rPr>
              <w:t>6,</w:t>
            </w:r>
            <w:r>
              <w:rPr>
                <w:rStyle w:val="7"/>
                <w:rFonts w:ascii="Times" w:hAnsi="Times" w:eastAsia="Times New Roman"/>
                <w:b w:val="0"/>
                <w:bCs w:val="0"/>
                <w:color w:val="auto"/>
                <w:sz w:val="24"/>
                <w:szCs w:val="24"/>
                <w:lang w:eastAsia="en-US"/>
              </w:rPr>
              <w:footnoteReference w:id="7"/>
            </w:r>
          </w:p>
        </w:tc>
        <w:tc>
          <w:tcPr>
            <w:tcW w:w="1283" w:type="dxa"/>
            <w:tcBorders>
              <w:top w:val="nil"/>
              <w:left w:val="nil"/>
              <w:bottom w:val="nil"/>
              <w:right w:val="nil"/>
            </w:tcBorders>
          </w:tcPr>
          <w:p w14:paraId="15428D95">
            <w:pPr>
              <w:jc w:val="center"/>
              <w:rPr>
                <w:rFonts w:ascii="Times" w:hAnsi="Times" w:eastAsia="Times New Roman"/>
                <w:color w:val="212529"/>
                <w:sz w:val="24"/>
                <w:szCs w:val="24"/>
                <w:lang w:eastAsia="en-US"/>
              </w:rPr>
            </w:pPr>
            <w:r>
              <w:rPr>
                <w:rFonts w:ascii="Times" w:hAnsi="Times" w:eastAsia="Times New Roman"/>
                <w:color w:val="212529"/>
                <w:sz w:val="24"/>
                <w:szCs w:val="24"/>
                <w:lang w:eastAsia="en-US"/>
              </w:rPr>
              <w:t>5</w:t>
            </w:r>
          </w:p>
        </w:tc>
        <w:tc>
          <w:tcPr>
            <w:tcW w:w="3253" w:type="dxa"/>
            <w:tcBorders>
              <w:top w:val="nil"/>
              <w:left w:val="nil"/>
              <w:bottom w:val="nil"/>
              <w:right w:val="nil"/>
            </w:tcBorders>
          </w:tcPr>
          <w:p w14:paraId="0B35C1F8">
            <w:pPr>
              <w:rPr>
                <w:rFonts w:ascii="Times" w:hAnsi="Times" w:eastAsia="Times New Roman"/>
                <w:color w:val="212529"/>
                <w:sz w:val="24"/>
                <w:szCs w:val="24"/>
                <w:lang w:eastAsia="en-US"/>
              </w:rPr>
            </w:pPr>
            <w:r>
              <w:rPr>
                <w:rFonts w:ascii="Times" w:hAnsi="Times" w:eastAsia="Times New Roman"/>
                <w:color w:val="212529"/>
                <w:sz w:val="24"/>
                <w:szCs w:val="24"/>
                <w:lang w:eastAsia="en-US"/>
              </w:rPr>
              <w:t>≥0.8 oz equiv. per 1,000 kcal</w:t>
            </w:r>
          </w:p>
        </w:tc>
        <w:tc>
          <w:tcPr>
            <w:tcW w:w="3118" w:type="dxa"/>
            <w:tcBorders>
              <w:top w:val="nil"/>
              <w:left w:val="nil"/>
              <w:bottom w:val="nil"/>
              <w:right w:val="nil"/>
            </w:tcBorders>
          </w:tcPr>
          <w:p w14:paraId="5D7DDA03">
            <w:pPr>
              <w:rPr>
                <w:rFonts w:ascii="Times" w:hAnsi="Times" w:eastAsia="Times New Roman"/>
                <w:color w:val="212529"/>
                <w:sz w:val="24"/>
                <w:szCs w:val="24"/>
                <w:lang w:eastAsia="en-US"/>
              </w:rPr>
            </w:pPr>
            <w:r>
              <w:rPr>
                <w:rFonts w:ascii="Times" w:hAnsi="Times" w:eastAsia="Times New Roman"/>
                <w:color w:val="212529"/>
                <w:sz w:val="24"/>
                <w:szCs w:val="24"/>
                <w:lang w:eastAsia="en-US"/>
              </w:rPr>
              <w:t>No Seafood or Plant Proteins</w:t>
            </w:r>
          </w:p>
        </w:tc>
      </w:tr>
      <w:tr w14:paraId="5ABB4143">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2014" w:type="dxa"/>
            <w:tcBorders>
              <w:top w:val="nil"/>
              <w:left w:val="nil"/>
              <w:right w:val="nil"/>
            </w:tcBorders>
          </w:tcPr>
          <w:p w14:paraId="13A9935B">
            <w:pPr>
              <w:rPr>
                <w:rFonts w:ascii="Times" w:hAnsi="Times" w:eastAsia="Times New Roman"/>
                <w:b w:val="0"/>
                <w:bCs w:val="0"/>
                <w:color w:val="auto"/>
                <w:sz w:val="24"/>
                <w:szCs w:val="24"/>
                <w:lang w:eastAsia="en-US"/>
              </w:rPr>
            </w:pPr>
            <w:r>
              <w:rPr>
                <w:rFonts w:ascii="Times" w:hAnsi="Times" w:eastAsia="Times New Roman"/>
                <w:b w:val="0"/>
                <w:bCs w:val="0"/>
                <w:color w:val="auto"/>
                <w:sz w:val="24"/>
                <w:szCs w:val="24"/>
                <w:lang w:eastAsia="en-US"/>
              </w:rPr>
              <w:t>Fatty Acids</w:t>
            </w:r>
            <w:r>
              <w:rPr>
                <w:rStyle w:val="7"/>
                <w:rFonts w:ascii="Times" w:hAnsi="Times" w:eastAsia="Times New Roman"/>
                <w:b w:val="0"/>
                <w:bCs w:val="0"/>
                <w:color w:val="auto"/>
                <w:sz w:val="24"/>
                <w:szCs w:val="24"/>
                <w:lang w:eastAsia="en-US"/>
              </w:rPr>
              <w:footnoteReference w:id="8"/>
            </w:r>
          </w:p>
        </w:tc>
        <w:tc>
          <w:tcPr>
            <w:tcW w:w="1283" w:type="dxa"/>
            <w:tcBorders>
              <w:top w:val="nil"/>
              <w:left w:val="nil"/>
              <w:right w:val="nil"/>
            </w:tcBorders>
          </w:tcPr>
          <w:p w14:paraId="63A6020C">
            <w:pPr>
              <w:jc w:val="center"/>
              <w:rPr>
                <w:rFonts w:ascii="Times" w:hAnsi="Times" w:eastAsia="Times New Roman"/>
                <w:color w:val="212529"/>
                <w:sz w:val="24"/>
                <w:szCs w:val="24"/>
                <w:lang w:eastAsia="en-US"/>
              </w:rPr>
            </w:pPr>
            <w:r>
              <w:rPr>
                <w:rFonts w:ascii="Times" w:hAnsi="Times" w:eastAsia="Times New Roman"/>
                <w:color w:val="212529"/>
                <w:sz w:val="24"/>
                <w:szCs w:val="24"/>
                <w:lang w:eastAsia="en-US"/>
              </w:rPr>
              <w:t>10</w:t>
            </w:r>
          </w:p>
        </w:tc>
        <w:tc>
          <w:tcPr>
            <w:tcW w:w="3253" w:type="dxa"/>
            <w:tcBorders>
              <w:top w:val="nil"/>
              <w:left w:val="nil"/>
              <w:right w:val="nil"/>
            </w:tcBorders>
          </w:tcPr>
          <w:p w14:paraId="7F546FE6">
            <w:pPr>
              <w:rPr>
                <w:rFonts w:ascii="Times" w:hAnsi="Times" w:eastAsia="Times New Roman"/>
                <w:color w:val="212529"/>
                <w:sz w:val="24"/>
                <w:szCs w:val="24"/>
                <w:lang w:eastAsia="en-US"/>
              </w:rPr>
            </w:pPr>
            <w:r>
              <w:rPr>
                <w:rFonts w:ascii="Times" w:hAnsi="Times" w:eastAsia="Times New Roman"/>
                <w:color w:val="212529"/>
                <w:sz w:val="24"/>
                <w:szCs w:val="24"/>
                <w:lang w:eastAsia="en-US"/>
              </w:rPr>
              <w:t>(PUFAs + MUFAs)/SFAs ≥2.5</w:t>
            </w:r>
          </w:p>
        </w:tc>
        <w:tc>
          <w:tcPr>
            <w:tcW w:w="3118" w:type="dxa"/>
            <w:tcBorders>
              <w:top w:val="nil"/>
              <w:left w:val="nil"/>
              <w:right w:val="nil"/>
            </w:tcBorders>
          </w:tcPr>
          <w:p w14:paraId="0DAE8660">
            <w:pPr>
              <w:rPr>
                <w:rFonts w:ascii="Times" w:hAnsi="Times" w:eastAsia="Times New Roman"/>
                <w:color w:val="212529"/>
                <w:sz w:val="24"/>
                <w:szCs w:val="24"/>
                <w:lang w:eastAsia="en-US"/>
              </w:rPr>
            </w:pPr>
            <w:r>
              <w:rPr>
                <w:rFonts w:ascii="Times" w:hAnsi="Times" w:eastAsia="Times New Roman"/>
                <w:color w:val="212529"/>
                <w:sz w:val="24"/>
                <w:szCs w:val="24"/>
                <w:lang w:eastAsia="en-US"/>
              </w:rPr>
              <w:t>(PUFAs + MUFAs)/SFAs ≤1.2</w:t>
            </w:r>
          </w:p>
        </w:tc>
      </w:tr>
      <w:tr w14:paraId="03295471">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9668" w:type="dxa"/>
            <w:gridSpan w:val="4"/>
            <w:tcBorders>
              <w:left w:val="nil"/>
              <w:right w:val="nil"/>
            </w:tcBorders>
            <w:vAlign w:val="top"/>
          </w:tcPr>
          <w:p w14:paraId="2379993A">
            <w:pPr>
              <w:rPr>
                <w:rFonts w:ascii="Times" w:hAnsi="Times" w:eastAsia="Times New Roman"/>
                <w:b w:val="0"/>
                <w:bCs w:val="0"/>
                <w:i/>
                <w:iCs/>
                <w:color w:val="212529"/>
                <w:sz w:val="24"/>
                <w:szCs w:val="24"/>
                <w:lang w:eastAsia="en-US"/>
              </w:rPr>
            </w:pPr>
            <w:r>
              <w:rPr>
                <w:rFonts w:ascii="Times" w:hAnsi="Times" w:eastAsia="Times New Roman"/>
                <w:b/>
                <w:bCs/>
                <w:color w:val="333333"/>
                <w:sz w:val="24"/>
                <w:szCs w:val="24"/>
                <w:lang w:eastAsia="en-US"/>
              </w:rPr>
              <w:t>Moderation</w:t>
            </w:r>
            <w:r>
              <w:rPr>
                <w:rStyle w:val="7"/>
                <w:rFonts w:ascii="Times" w:hAnsi="Times" w:eastAsia="Times New Roman"/>
                <w:b/>
                <w:bCs/>
                <w:color w:val="333333"/>
                <w:sz w:val="24"/>
                <w:szCs w:val="24"/>
                <w:lang w:eastAsia="en-US"/>
              </w:rPr>
              <w:footnoteReference w:id="9"/>
            </w:r>
          </w:p>
        </w:tc>
      </w:tr>
      <w:tr w14:paraId="227642FC">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2014" w:type="dxa"/>
            <w:tcBorders>
              <w:left w:val="nil"/>
              <w:bottom w:val="nil"/>
              <w:right w:val="nil"/>
            </w:tcBorders>
            <w:vAlign w:val="top"/>
          </w:tcPr>
          <w:p w14:paraId="276DE07A">
            <w:pPr>
              <w:rPr>
                <w:rFonts w:ascii="Times" w:hAnsi="Times" w:eastAsia="Times New Roman"/>
                <w:b w:val="0"/>
                <w:bCs w:val="0"/>
                <w:color w:val="212529"/>
                <w:sz w:val="24"/>
                <w:szCs w:val="24"/>
                <w:lang w:eastAsia="en-US"/>
              </w:rPr>
            </w:pPr>
            <w:r>
              <w:rPr>
                <w:rFonts w:ascii="Times" w:hAnsi="Times" w:eastAsia="Times New Roman"/>
                <w:b w:val="0"/>
                <w:bCs w:val="0"/>
                <w:color w:val="212529"/>
                <w:sz w:val="24"/>
                <w:szCs w:val="24"/>
                <w:lang w:eastAsia="en-US"/>
              </w:rPr>
              <w:t>Refined Grains</w:t>
            </w:r>
          </w:p>
        </w:tc>
        <w:tc>
          <w:tcPr>
            <w:tcW w:w="1283" w:type="dxa"/>
            <w:tcBorders>
              <w:left w:val="nil"/>
              <w:bottom w:val="nil"/>
              <w:right w:val="nil"/>
            </w:tcBorders>
            <w:vAlign w:val="top"/>
          </w:tcPr>
          <w:p w14:paraId="254CF6E1">
            <w:pPr>
              <w:jc w:val="center"/>
              <w:rPr>
                <w:rFonts w:ascii="Times" w:hAnsi="Times" w:eastAsia="Times New Roman"/>
                <w:color w:val="212529"/>
                <w:sz w:val="24"/>
                <w:szCs w:val="24"/>
                <w:lang w:eastAsia="en-US"/>
              </w:rPr>
            </w:pPr>
            <w:r>
              <w:rPr>
                <w:rFonts w:ascii="Times" w:hAnsi="Times" w:eastAsia="Times New Roman"/>
                <w:color w:val="212529"/>
                <w:sz w:val="24"/>
                <w:szCs w:val="24"/>
                <w:lang w:eastAsia="en-US"/>
              </w:rPr>
              <w:t>10</w:t>
            </w:r>
          </w:p>
        </w:tc>
        <w:tc>
          <w:tcPr>
            <w:tcW w:w="3253" w:type="dxa"/>
            <w:tcBorders>
              <w:left w:val="nil"/>
              <w:bottom w:val="nil"/>
              <w:right w:val="nil"/>
            </w:tcBorders>
            <w:vAlign w:val="top"/>
          </w:tcPr>
          <w:p w14:paraId="52C2FF3E">
            <w:pPr>
              <w:rPr>
                <w:rFonts w:ascii="Times" w:hAnsi="Times" w:eastAsia="Times New Roman"/>
                <w:color w:val="212529"/>
                <w:sz w:val="24"/>
                <w:szCs w:val="24"/>
                <w:lang w:eastAsia="en-US"/>
              </w:rPr>
            </w:pPr>
            <w:r>
              <w:rPr>
                <w:rFonts w:ascii="Times" w:hAnsi="Times" w:eastAsia="Times New Roman"/>
                <w:color w:val="212529"/>
                <w:sz w:val="24"/>
                <w:szCs w:val="24"/>
                <w:lang w:eastAsia="en-US"/>
              </w:rPr>
              <w:t>≤1.8 oz equiv. per 1,000 kcal</w:t>
            </w:r>
          </w:p>
        </w:tc>
        <w:tc>
          <w:tcPr>
            <w:tcW w:w="3118" w:type="dxa"/>
            <w:tcBorders>
              <w:left w:val="nil"/>
              <w:bottom w:val="nil"/>
              <w:right w:val="nil"/>
            </w:tcBorders>
            <w:vAlign w:val="top"/>
          </w:tcPr>
          <w:p w14:paraId="30D7B7CE">
            <w:pPr>
              <w:rPr>
                <w:rFonts w:ascii="Times" w:hAnsi="Times" w:eastAsia="Times New Roman"/>
                <w:color w:val="212529"/>
                <w:sz w:val="24"/>
                <w:szCs w:val="24"/>
                <w:lang w:eastAsia="en-US"/>
              </w:rPr>
            </w:pPr>
            <w:r>
              <w:rPr>
                <w:rFonts w:ascii="Times" w:hAnsi="Times" w:eastAsia="Times New Roman"/>
                <w:color w:val="212529"/>
                <w:sz w:val="24"/>
                <w:szCs w:val="24"/>
                <w:lang w:eastAsia="en-US"/>
              </w:rPr>
              <w:t>≥4.3 oz equiv. per 1,000 kcal</w:t>
            </w:r>
          </w:p>
        </w:tc>
      </w:tr>
      <w:tr w14:paraId="6226E810">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2014" w:type="dxa"/>
            <w:tcBorders>
              <w:top w:val="nil"/>
              <w:left w:val="nil"/>
              <w:bottom w:val="nil"/>
              <w:right w:val="nil"/>
            </w:tcBorders>
            <w:vAlign w:val="top"/>
          </w:tcPr>
          <w:p w14:paraId="671AC543">
            <w:pPr>
              <w:rPr>
                <w:rFonts w:ascii="Times" w:hAnsi="Times" w:eastAsia="Times New Roman"/>
                <w:b w:val="0"/>
                <w:bCs w:val="0"/>
                <w:color w:val="212529"/>
                <w:sz w:val="24"/>
                <w:szCs w:val="24"/>
                <w:lang w:eastAsia="en-US"/>
              </w:rPr>
            </w:pPr>
            <w:r>
              <w:rPr>
                <w:rFonts w:ascii="Times" w:hAnsi="Times" w:eastAsia="Times New Roman"/>
                <w:b w:val="0"/>
                <w:bCs w:val="0"/>
                <w:color w:val="212529"/>
                <w:sz w:val="24"/>
                <w:szCs w:val="24"/>
                <w:lang w:eastAsia="en-US"/>
              </w:rPr>
              <w:t>Sodium</w:t>
            </w:r>
          </w:p>
        </w:tc>
        <w:tc>
          <w:tcPr>
            <w:tcW w:w="1283" w:type="dxa"/>
            <w:tcBorders>
              <w:top w:val="nil"/>
              <w:left w:val="nil"/>
              <w:bottom w:val="nil"/>
              <w:right w:val="nil"/>
            </w:tcBorders>
            <w:vAlign w:val="top"/>
          </w:tcPr>
          <w:p w14:paraId="413BF5F5">
            <w:pPr>
              <w:jc w:val="center"/>
              <w:rPr>
                <w:rFonts w:ascii="Times" w:hAnsi="Times" w:eastAsia="Times New Roman"/>
                <w:color w:val="212529"/>
                <w:sz w:val="24"/>
                <w:szCs w:val="24"/>
                <w:lang w:eastAsia="en-US"/>
              </w:rPr>
            </w:pPr>
            <w:r>
              <w:rPr>
                <w:rFonts w:ascii="Times" w:hAnsi="Times" w:eastAsia="Times New Roman"/>
                <w:color w:val="212529"/>
                <w:sz w:val="24"/>
                <w:szCs w:val="24"/>
                <w:lang w:eastAsia="en-US"/>
              </w:rPr>
              <w:t>10</w:t>
            </w:r>
          </w:p>
        </w:tc>
        <w:tc>
          <w:tcPr>
            <w:tcW w:w="3253" w:type="dxa"/>
            <w:tcBorders>
              <w:top w:val="nil"/>
              <w:left w:val="nil"/>
              <w:bottom w:val="nil"/>
              <w:right w:val="nil"/>
            </w:tcBorders>
            <w:vAlign w:val="top"/>
          </w:tcPr>
          <w:p w14:paraId="0ECF44BC">
            <w:pPr>
              <w:rPr>
                <w:rFonts w:ascii="Times" w:hAnsi="Times" w:eastAsia="Times New Roman"/>
                <w:color w:val="212529"/>
                <w:sz w:val="24"/>
                <w:szCs w:val="24"/>
                <w:lang w:eastAsia="en-US"/>
              </w:rPr>
            </w:pPr>
            <w:r>
              <w:rPr>
                <w:rFonts w:ascii="Times" w:hAnsi="Times" w:eastAsia="Times New Roman"/>
                <w:color w:val="212529"/>
                <w:sz w:val="24"/>
                <w:szCs w:val="24"/>
                <w:lang w:eastAsia="en-US"/>
              </w:rPr>
              <w:t>≤1.1 gram per 1,000 kcal</w:t>
            </w:r>
          </w:p>
        </w:tc>
        <w:tc>
          <w:tcPr>
            <w:tcW w:w="3118" w:type="dxa"/>
            <w:tcBorders>
              <w:top w:val="nil"/>
              <w:left w:val="nil"/>
              <w:bottom w:val="nil"/>
              <w:right w:val="nil"/>
            </w:tcBorders>
            <w:vAlign w:val="top"/>
          </w:tcPr>
          <w:p w14:paraId="05DFCC3C">
            <w:pPr>
              <w:rPr>
                <w:rFonts w:ascii="Times" w:hAnsi="Times" w:eastAsia="Times New Roman"/>
                <w:color w:val="212529"/>
                <w:sz w:val="24"/>
                <w:szCs w:val="24"/>
                <w:lang w:eastAsia="en-US"/>
              </w:rPr>
            </w:pPr>
            <w:r>
              <w:rPr>
                <w:rFonts w:ascii="Times" w:hAnsi="Times" w:eastAsia="Times New Roman"/>
                <w:color w:val="212529"/>
                <w:sz w:val="24"/>
                <w:szCs w:val="24"/>
                <w:lang w:eastAsia="en-US"/>
              </w:rPr>
              <w:t>≥2.0 grams per 1,000 kcal</w:t>
            </w:r>
          </w:p>
        </w:tc>
      </w:tr>
      <w:tr w14:paraId="5F17A58B">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2014" w:type="dxa"/>
            <w:tcBorders>
              <w:top w:val="nil"/>
              <w:left w:val="nil"/>
              <w:bottom w:val="nil"/>
              <w:right w:val="nil"/>
            </w:tcBorders>
            <w:vAlign w:val="top"/>
          </w:tcPr>
          <w:p w14:paraId="724CCB29">
            <w:pPr>
              <w:rPr>
                <w:rFonts w:ascii="Times" w:hAnsi="Times" w:eastAsia="Times New Roman"/>
                <w:b w:val="0"/>
                <w:bCs w:val="0"/>
                <w:color w:val="212529"/>
                <w:sz w:val="24"/>
                <w:szCs w:val="24"/>
                <w:lang w:eastAsia="en-US"/>
              </w:rPr>
            </w:pPr>
            <w:r>
              <w:rPr>
                <w:rFonts w:ascii="Times" w:hAnsi="Times" w:eastAsia="Times New Roman"/>
                <w:b w:val="0"/>
                <w:bCs w:val="0"/>
                <w:color w:val="212529"/>
                <w:sz w:val="24"/>
                <w:szCs w:val="24"/>
                <w:lang w:eastAsia="en-US"/>
              </w:rPr>
              <w:t>Added Sugars</w:t>
            </w:r>
          </w:p>
        </w:tc>
        <w:tc>
          <w:tcPr>
            <w:tcW w:w="1283" w:type="dxa"/>
            <w:tcBorders>
              <w:top w:val="nil"/>
              <w:left w:val="nil"/>
              <w:bottom w:val="nil"/>
              <w:right w:val="nil"/>
            </w:tcBorders>
            <w:vAlign w:val="top"/>
          </w:tcPr>
          <w:p w14:paraId="1FD5334D">
            <w:pPr>
              <w:jc w:val="center"/>
              <w:rPr>
                <w:rFonts w:ascii="Times" w:hAnsi="Times" w:eastAsia="Times New Roman"/>
                <w:color w:val="212529"/>
                <w:sz w:val="24"/>
                <w:szCs w:val="24"/>
                <w:lang w:eastAsia="en-US"/>
              </w:rPr>
            </w:pPr>
            <w:r>
              <w:rPr>
                <w:rFonts w:ascii="Times" w:hAnsi="Times" w:eastAsia="Times New Roman"/>
                <w:color w:val="212529"/>
                <w:sz w:val="24"/>
                <w:szCs w:val="24"/>
                <w:lang w:eastAsia="en-US"/>
              </w:rPr>
              <w:t>10</w:t>
            </w:r>
          </w:p>
        </w:tc>
        <w:tc>
          <w:tcPr>
            <w:tcW w:w="3253" w:type="dxa"/>
            <w:tcBorders>
              <w:top w:val="nil"/>
              <w:left w:val="nil"/>
              <w:bottom w:val="nil"/>
              <w:right w:val="nil"/>
            </w:tcBorders>
            <w:vAlign w:val="top"/>
          </w:tcPr>
          <w:p w14:paraId="4BE67949">
            <w:pPr>
              <w:rPr>
                <w:rFonts w:ascii="Times" w:hAnsi="Times" w:eastAsia="Times New Roman"/>
                <w:color w:val="212529"/>
                <w:sz w:val="24"/>
                <w:szCs w:val="24"/>
                <w:lang w:eastAsia="en-US"/>
              </w:rPr>
            </w:pPr>
            <w:r>
              <w:rPr>
                <w:rFonts w:ascii="Times" w:hAnsi="Times" w:eastAsia="Times New Roman"/>
                <w:color w:val="212529"/>
                <w:sz w:val="24"/>
                <w:szCs w:val="24"/>
                <w:lang w:eastAsia="en-US"/>
              </w:rPr>
              <w:t>≤6.5% of energy</w:t>
            </w:r>
          </w:p>
        </w:tc>
        <w:tc>
          <w:tcPr>
            <w:tcW w:w="3118" w:type="dxa"/>
            <w:tcBorders>
              <w:top w:val="nil"/>
              <w:left w:val="nil"/>
              <w:bottom w:val="nil"/>
              <w:right w:val="nil"/>
            </w:tcBorders>
            <w:vAlign w:val="top"/>
          </w:tcPr>
          <w:p w14:paraId="7765403C">
            <w:pPr>
              <w:rPr>
                <w:rFonts w:ascii="Times" w:hAnsi="Times" w:eastAsia="Times New Roman"/>
                <w:color w:val="212529"/>
                <w:sz w:val="24"/>
                <w:szCs w:val="24"/>
                <w:lang w:eastAsia="en-US"/>
              </w:rPr>
            </w:pPr>
            <w:r>
              <w:rPr>
                <w:rFonts w:ascii="Times" w:hAnsi="Times" w:eastAsia="Times New Roman"/>
                <w:color w:val="212529"/>
                <w:sz w:val="24"/>
                <w:szCs w:val="24"/>
                <w:lang w:eastAsia="en-US"/>
              </w:rPr>
              <w:t>≥26% of energy</w:t>
            </w:r>
          </w:p>
        </w:tc>
      </w:tr>
      <w:tr w14:paraId="63D250C2">
        <w:tblPrEx>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Ex>
        <w:tc>
          <w:tcPr>
            <w:tcW w:w="2014" w:type="dxa"/>
            <w:tcBorders>
              <w:top w:val="nil"/>
              <w:left w:val="nil"/>
              <w:right w:val="nil"/>
            </w:tcBorders>
            <w:vAlign w:val="top"/>
          </w:tcPr>
          <w:p w14:paraId="2A1115B5">
            <w:pPr>
              <w:rPr>
                <w:rFonts w:ascii="Times" w:hAnsi="Times" w:eastAsia="Times New Roman"/>
                <w:b w:val="0"/>
                <w:bCs w:val="0"/>
                <w:color w:val="212529"/>
                <w:sz w:val="24"/>
                <w:szCs w:val="24"/>
                <w:lang w:eastAsia="en-US"/>
              </w:rPr>
            </w:pPr>
            <w:r>
              <w:rPr>
                <w:rFonts w:ascii="Times" w:hAnsi="Times" w:eastAsia="Times New Roman"/>
                <w:b w:val="0"/>
                <w:bCs w:val="0"/>
                <w:color w:val="212529"/>
                <w:sz w:val="24"/>
                <w:szCs w:val="24"/>
                <w:lang w:eastAsia="en-US"/>
              </w:rPr>
              <w:t>Saturated Fats</w:t>
            </w:r>
          </w:p>
        </w:tc>
        <w:tc>
          <w:tcPr>
            <w:tcW w:w="1283" w:type="dxa"/>
            <w:tcBorders>
              <w:top w:val="nil"/>
              <w:left w:val="nil"/>
              <w:right w:val="nil"/>
            </w:tcBorders>
            <w:vAlign w:val="top"/>
          </w:tcPr>
          <w:p w14:paraId="31BDC6A2">
            <w:pPr>
              <w:jc w:val="center"/>
              <w:rPr>
                <w:rFonts w:ascii="Times" w:hAnsi="Times" w:eastAsia="Times New Roman"/>
                <w:color w:val="212529"/>
                <w:sz w:val="24"/>
                <w:szCs w:val="24"/>
                <w:lang w:eastAsia="en-US"/>
              </w:rPr>
            </w:pPr>
            <w:r>
              <w:rPr>
                <w:rFonts w:ascii="Times" w:hAnsi="Times" w:eastAsia="Times New Roman"/>
                <w:color w:val="212529"/>
                <w:sz w:val="24"/>
                <w:szCs w:val="24"/>
                <w:lang w:eastAsia="en-US"/>
              </w:rPr>
              <w:t>10</w:t>
            </w:r>
          </w:p>
        </w:tc>
        <w:tc>
          <w:tcPr>
            <w:tcW w:w="3253" w:type="dxa"/>
            <w:tcBorders>
              <w:top w:val="nil"/>
              <w:left w:val="nil"/>
              <w:right w:val="nil"/>
            </w:tcBorders>
            <w:vAlign w:val="top"/>
          </w:tcPr>
          <w:p w14:paraId="5BB0E72D">
            <w:pPr>
              <w:rPr>
                <w:rFonts w:ascii="Times" w:hAnsi="Times" w:eastAsia="Times New Roman"/>
                <w:color w:val="212529"/>
                <w:sz w:val="24"/>
                <w:szCs w:val="24"/>
                <w:lang w:eastAsia="en-US"/>
              </w:rPr>
            </w:pPr>
            <w:r>
              <w:rPr>
                <w:rFonts w:ascii="Times" w:hAnsi="Times" w:eastAsia="Times New Roman"/>
                <w:color w:val="212529"/>
                <w:sz w:val="24"/>
                <w:szCs w:val="24"/>
                <w:lang w:eastAsia="en-US"/>
              </w:rPr>
              <w:t>≤8% of energy</w:t>
            </w:r>
          </w:p>
        </w:tc>
        <w:tc>
          <w:tcPr>
            <w:tcW w:w="3118" w:type="dxa"/>
            <w:tcBorders>
              <w:top w:val="nil"/>
              <w:left w:val="nil"/>
              <w:right w:val="nil"/>
            </w:tcBorders>
            <w:vAlign w:val="top"/>
          </w:tcPr>
          <w:p w14:paraId="24B696A8">
            <w:pPr>
              <w:rPr>
                <w:rFonts w:ascii="Times" w:hAnsi="Times" w:eastAsia="Times New Roman"/>
                <w:color w:val="212529"/>
                <w:sz w:val="24"/>
                <w:szCs w:val="24"/>
                <w:lang w:eastAsia="en-US"/>
              </w:rPr>
            </w:pPr>
            <w:r>
              <w:rPr>
                <w:rFonts w:ascii="Times" w:hAnsi="Times" w:eastAsia="Times New Roman"/>
                <w:color w:val="212529"/>
                <w:sz w:val="24"/>
                <w:szCs w:val="24"/>
                <w:lang w:eastAsia="en-US"/>
              </w:rPr>
              <w:t>≥16% of energy</w:t>
            </w:r>
          </w:p>
        </w:tc>
      </w:tr>
    </w:tbl>
    <w:p w14:paraId="481444B3">
      <w:pPr>
        <w:shd w:val="clear" w:color="auto" w:fill="FFFFFF"/>
        <w:ind w:right="-540"/>
        <w:rPr>
          <w:rFonts w:eastAsia="Times New Roman"/>
          <w:b/>
          <w:bCs/>
          <w:color w:val="212529"/>
        </w:rPr>
      </w:pPr>
    </w:p>
    <w:p w14:paraId="7A931281">
      <w:pPr>
        <w:shd w:val="clear" w:color="auto" w:fill="FFFFFF"/>
        <w:rPr>
          <w:rFonts w:eastAsia="Times New Roman"/>
          <w:color w:val="212529"/>
        </w:rPr>
      </w:pPr>
    </w:p>
    <w:p w14:paraId="0FAA70EE">
      <w:pPr>
        <w:shd w:val="clear" w:color="auto" w:fill="FFFFFF"/>
        <w:spacing w:before="100" w:beforeAutospacing="1"/>
        <w:ind w:right="90"/>
        <w:rPr>
          <w:rFonts w:eastAsia="Times New Roman"/>
          <w:color w:val="1B1B1B"/>
        </w:rPr>
      </w:pPr>
    </w:p>
    <w:p w14:paraId="316026CF">
      <w:pPr>
        <w:shd w:val="clear" w:color="auto" w:fill="FFFFFF"/>
        <w:spacing w:before="100" w:beforeAutospacing="1"/>
        <w:ind w:right="90"/>
        <w:rPr>
          <w:rFonts w:eastAsia="Times New Roman"/>
          <w:b/>
          <w:bCs/>
          <w:color w:val="1B1B1B"/>
        </w:rPr>
      </w:pPr>
      <w:r>
        <w:rPr>
          <w:rFonts w:eastAsia="Times New Roman"/>
          <w:b/>
          <w:bCs/>
          <w:color w:val="1B1B1B"/>
        </w:rPr>
        <w:t>Reference</w:t>
      </w:r>
    </w:p>
    <w:p w14:paraId="5D420CDB">
      <w:r>
        <w:rPr>
          <w:rFonts w:hint="eastAsia"/>
          <w:lang w:val="en-US" w:eastAsia="zh-CN"/>
        </w:rPr>
        <w:t>1</w:t>
      </w:r>
      <w:r>
        <w:t>.</w:t>
      </w:r>
      <w:r>
        <w:tab/>
      </w:r>
      <w:r>
        <w:t>National Cancer Institute. HEI Scoring Algorithm. Accessed August, 2022. https://epi.grants.cancer.gov/hei/hei-scoring-method.html</w:t>
      </w:r>
    </w:p>
    <w:p w14:paraId="6B000B6F">
      <w:pPr>
        <w:rPr>
          <w:rFonts w:hint="eastAsia"/>
        </w:rPr>
      </w:pPr>
    </w:p>
    <w:p w14:paraId="633F2975">
      <w:pPr>
        <w:rPr>
          <w:rFonts w:hint="eastAsia"/>
        </w:rPr>
      </w:pPr>
    </w:p>
    <w:p w14:paraId="143FE8B7">
      <w:pPr>
        <w:pStyle w:val="2"/>
        <w:rPr>
          <w:rFonts w:ascii="Times" w:hAnsi="Times" w:eastAsia="宋体" w:cs="Times New Roman"/>
          <w:b/>
          <w:bCs/>
          <w:color w:val="000000" w:themeColor="text1"/>
          <w:sz w:val="24"/>
          <w:szCs w:val="24"/>
          <w:lang w:val="en-US" w:eastAsia="zh-CN" w:bidi="ar-SA"/>
          <w14:textFill>
            <w14:solidFill>
              <w14:schemeClr w14:val="tx1"/>
            </w14:solidFill>
          </w14:textFill>
        </w:rPr>
        <w:sectPr>
          <w:footnotePr>
            <w:numFmt w:val="decimal"/>
          </w:footnote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66A2DBD">
      <w:pPr>
        <w:pStyle w:val="2"/>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b/>
          <w:bCs/>
          <w:color w:val="000000" w:themeColor="text1"/>
          <w:sz w:val="24"/>
          <w:szCs w:val="24"/>
          <w:lang w:val="en-US" w:eastAsia="zh-CN" w:bidi="ar-SA"/>
          <w14:textFill>
            <w14:solidFill>
              <w14:schemeClr w14:val="tx1"/>
            </w14:solidFill>
          </w14:textFill>
        </w:rPr>
        <w:t>Supplementary</w:t>
      </w:r>
      <w:bookmarkStart w:id="0" w:name="_GoBack"/>
      <w:bookmarkEnd w:id="0"/>
      <w:r>
        <w:rPr>
          <w:rFonts w:ascii="Times" w:hAnsi="Times" w:eastAsia="宋体" w:cs="Times New Roman"/>
          <w:b/>
          <w:bCs/>
          <w:color w:val="000000" w:themeColor="text1"/>
          <w:sz w:val="24"/>
          <w:szCs w:val="24"/>
          <w:lang w:val="en-US" w:eastAsia="zh-CN" w:bidi="ar-SA"/>
          <w14:textFill>
            <w14:solidFill>
              <w14:schemeClr w14:val="tx1"/>
            </w14:solidFill>
          </w14:textFill>
        </w:rPr>
        <w:t xml:space="preserve"> Table </w:t>
      </w:r>
      <w:r>
        <w:rPr>
          <w:rFonts w:ascii="Times" w:hAnsi="Times" w:eastAsia="宋体" w:cs="Times New Roman"/>
          <w:b/>
          <w:bCs/>
          <w:color w:val="000000" w:themeColor="text1"/>
          <w:sz w:val="24"/>
          <w:szCs w:val="24"/>
          <w:lang w:val="en-US" w:eastAsia="zh-CN" w:bidi="ar-SA"/>
          <w14:textFill>
            <w14:solidFill>
              <w14:schemeClr w14:val="tx1"/>
            </w14:solidFill>
          </w14:textFill>
        </w:rPr>
        <w:fldChar w:fldCharType="begin"/>
      </w:r>
      <w:r>
        <w:rPr>
          <w:rFonts w:ascii="Times" w:hAnsi="Times" w:eastAsia="宋体" w:cs="Times New Roman"/>
          <w:b/>
          <w:bCs/>
          <w:color w:val="000000" w:themeColor="text1"/>
          <w:sz w:val="24"/>
          <w:szCs w:val="24"/>
          <w:lang w:val="en-US" w:eastAsia="zh-CN" w:bidi="ar-SA"/>
          <w14:textFill>
            <w14:solidFill>
              <w14:schemeClr w14:val="tx1"/>
            </w14:solidFill>
          </w14:textFill>
        </w:rPr>
        <w:instrText xml:space="preserve"> SEQ Supplemental_Table \* ARABIC </w:instrText>
      </w:r>
      <w:r>
        <w:rPr>
          <w:rFonts w:ascii="Times" w:hAnsi="Times" w:eastAsia="宋体" w:cs="Times New Roman"/>
          <w:b/>
          <w:bCs/>
          <w:color w:val="000000" w:themeColor="text1"/>
          <w:sz w:val="24"/>
          <w:szCs w:val="24"/>
          <w:lang w:val="en-US" w:eastAsia="zh-CN" w:bidi="ar-SA"/>
          <w14:textFill>
            <w14:solidFill>
              <w14:schemeClr w14:val="tx1"/>
            </w14:solidFill>
          </w14:textFill>
        </w:rPr>
        <w:fldChar w:fldCharType="separate"/>
      </w:r>
      <w:r>
        <w:rPr>
          <w:rFonts w:ascii="Times" w:hAnsi="Times" w:eastAsia="宋体" w:cs="Times New Roman"/>
          <w:b/>
          <w:bCs/>
          <w:color w:val="000000" w:themeColor="text1"/>
          <w:sz w:val="24"/>
          <w:szCs w:val="24"/>
          <w:lang w:val="en-US" w:eastAsia="zh-CN" w:bidi="ar-SA"/>
          <w14:textFill>
            <w14:solidFill>
              <w14:schemeClr w14:val="tx1"/>
            </w14:solidFill>
          </w14:textFill>
        </w:rPr>
        <w:t>2</w:t>
      </w:r>
      <w:r>
        <w:rPr>
          <w:rFonts w:ascii="Times" w:hAnsi="Times" w:eastAsia="宋体" w:cs="Times New Roman"/>
          <w:b/>
          <w:bCs/>
          <w:color w:val="000000" w:themeColor="text1"/>
          <w:sz w:val="24"/>
          <w:szCs w:val="24"/>
          <w:lang w:val="en-US" w:eastAsia="zh-CN" w:bidi="ar-SA"/>
          <w14:textFill>
            <w14:solidFill>
              <w14:schemeClr w14:val="tx1"/>
            </w14:solidFill>
          </w14:textFill>
        </w:rPr>
        <w:fldChar w:fldCharType="end"/>
      </w:r>
      <w:r>
        <w:rPr>
          <w:rFonts w:hint="eastAsia" w:ascii="Times" w:hAnsi="Times" w:eastAsia="宋体" w:cs="Times New Roman"/>
          <w:b/>
          <w:bCs/>
          <w:color w:val="000000" w:themeColor="text1"/>
          <w:sz w:val="24"/>
          <w:szCs w:val="24"/>
          <w:lang w:val="en-US" w:eastAsia="zh-CN" w:bidi="ar-SA"/>
          <w14:textFill>
            <w14:solidFill>
              <w14:schemeClr w14:val="tx1"/>
            </w14:solidFill>
          </w14:textFill>
        </w:rPr>
        <w:t>.</w:t>
      </w:r>
      <w:r>
        <w:rPr>
          <w:rFonts w:hint="eastAsia" w:ascii="Times" w:hAnsi="Times" w:eastAsia="宋体" w:cs="Times New Roman"/>
          <w:color w:val="000000" w:themeColor="text1"/>
          <w:sz w:val="24"/>
          <w:szCs w:val="24"/>
          <w:lang w:val="en-US" w:eastAsia="zh-CN" w:bidi="ar-SA"/>
          <w14:textFill>
            <w14:solidFill>
              <w14:schemeClr w14:val="tx1"/>
            </w14:solidFill>
          </w14:textFill>
        </w:rPr>
        <w:t xml:space="preserve"> Association between LE8 Score and </w:t>
      </w:r>
      <w:r>
        <w:rPr>
          <w:rFonts w:hint="eastAsia" w:ascii="Times" w:hAnsi="Times" w:eastAsia="宋体" w:cs="Times New Roman"/>
          <w:color w:val="000000" w:themeColor="text1"/>
          <w:sz w:val="24"/>
          <w:szCs w:val="24"/>
          <w:lang w:val="en-US" w:eastAsia="zh-CN" w:bidi="ar-SA"/>
          <w14:textFill>
            <w14:solidFill>
              <w14:schemeClr w14:val="tx1"/>
            </w14:solidFill>
          </w14:textFill>
        </w:rPr>
        <w:t>depression severity</w:t>
      </w:r>
    </w:p>
    <w:tbl>
      <w:tblPr>
        <w:tblStyle w:val="5"/>
        <w:tblW w:w="5502" w:type="pct"/>
        <w:tblInd w:w="-439" w:type="dxa"/>
        <w:tblBorders>
          <w:top w:val="single" w:color="auto" w:sz="4" w:space="0"/>
          <w:left w:val="none" w:color="auto" w:sz="4" w:space="0"/>
          <w:bottom w:val="single" w:color="auto" w:sz="4" w:space="0"/>
          <w:right w:val="none" w:color="auto" w:sz="4" w:space="0"/>
          <w:insideH w:val="none" w:color="auto" w:sz="4" w:space="0"/>
          <w:insideV w:val="none" w:color="auto" w:sz="4" w:space="0"/>
        </w:tblBorders>
        <w:shd w:val="clear"/>
        <w:tblLayout w:type="autofit"/>
        <w:tblCellMar>
          <w:top w:w="0" w:type="dxa"/>
          <w:left w:w="108" w:type="dxa"/>
          <w:bottom w:w="0" w:type="dxa"/>
          <w:right w:w="108" w:type="dxa"/>
        </w:tblCellMar>
      </w:tblPr>
      <w:tblGrid>
        <w:gridCol w:w="1376"/>
        <w:gridCol w:w="1385"/>
        <w:gridCol w:w="1475"/>
        <w:gridCol w:w="1141"/>
        <w:gridCol w:w="1385"/>
        <w:gridCol w:w="1475"/>
        <w:gridCol w:w="1141"/>
      </w:tblGrid>
      <w:tr w14:paraId="41E9ADF6">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shd w:val="clear"/>
          <w:tblCellMar>
            <w:top w:w="0" w:type="dxa"/>
            <w:left w:w="108" w:type="dxa"/>
            <w:bottom w:w="0" w:type="dxa"/>
            <w:right w:w="108" w:type="dxa"/>
          </w:tblCellMar>
        </w:tblPrEx>
        <w:trPr>
          <w:trHeight w:val="408" w:hRule="atLeast"/>
        </w:trPr>
        <w:tc>
          <w:tcPr>
            <w:tcW w:w="733" w:type="pct"/>
            <w:vMerge w:val="restart"/>
            <w:tcBorders>
              <w:top w:val="single" w:color="auto" w:sz="4" w:space="0"/>
              <w:left w:val="nil"/>
              <w:bottom w:val="single" w:color="auto" w:sz="4" w:space="0"/>
              <w:right w:val="nil"/>
            </w:tcBorders>
            <w:shd w:val="clear"/>
            <w:vAlign w:val="top"/>
          </w:tcPr>
          <w:p w14:paraId="1DD1EBC2">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2132" w:type="pct"/>
            <w:gridSpan w:val="3"/>
            <w:tcBorders>
              <w:top w:val="single" w:color="auto" w:sz="4" w:space="0"/>
              <w:left w:val="nil"/>
              <w:bottom w:val="single" w:color="auto" w:sz="4" w:space="0"/>
              <w:right w:val="nil"/>
            </w:tcBorders>
            <w:shd w:val="clear"/>
            <w:vAlign w:val="top"/>
          </w:tcPr>
          <w:p w14:paraId="39AEBEAD">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Crude model</w:t>
            </w:r>
          </w:p>
        </w:tc>
        <w:tc>
          <w:tcPr>
            <w:tcW w:w="2132" w:type="pct"/>
            <w:gridSpan w:val="3"/>
            <w:tcBorders>
              <w:top w:val="single" w:color="auto" w:sz="4" w:space="0"/>
              <w:left w:val="nil"/>
              <w:bottom w:val="single" w:color="auto" w:sz="4" w:space="0"/>
              <w:right w:val="nil"/>
            </w:tcBorders>
            <w:shd w:val="clear"/>
            <w:vAlign w:val="top"/>
          </w:tcPr>
          <w:p w14:paraId="16DAFC45">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Multivariable model</w:t>
            </w:r>
          </w:p>
        </w:tc>
      </w:tr>
      <w:tr w14:paraId="26074762">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shd w:val="clear"/>
          <w:tblCellMar>
            <w:top w:w="0" w:type="dxa"/>
            <w:left w:w="108" w:type="dxa"/>
            <w:bottom w:w="0" w:type="dxa"/>
            <w:right w:w="108" w:type="dxa"/>
          </w:tblCellMar>
        </w:tblPrEx>
        <w:trPr>
          <w:trHeight w:val="408" w:hRule="atLeast"/>
        </w:trPr>
        <w:tc>
          <w:tcPr>
            <w:tcW w:w="733" w:type="pct"/>
            <w:vMerge w:val="continue"/>
            <w:tcBorders>
              <w:top w:val="single" w:color="auto" w:sz="4" w:space="0"/>
              <w:left w:val="nil"/>
              <w:bottom w:val="single" w:color="auto" w:sz="4" w:space="0"/>
              <w:right w:val="nil"/>
            </w:tcBorders>
            <w:shd w:val="clear"/>
            <w:vAlign w:val="top"/>
          </w:tcPr>
          <w:p w14:paraId="0F62D39B">
            <w:pPr>
              <w:rPr>
                <w:rFonts w:hint="default" w:ascii="Times" w:hAnsi="Times" w:eastAsia="宋体" w:cs="Times New Roman"/>
                <w:color w:val="000000" w:themeColor="text1"/>
                <w:sz w:val="24"/>
                <w:szCs w:val="24"/>
                <w:lang w:val="en-US" w:eastAsia="zh-CN" w:bidi="ar-SA"/>
                <w14:textFill>
                  <w14:solidFill>
                    <w14:schemeClr w14:val="tx1"/>
                  </w14:solidFill>
                </w14:textFill>
              </w:rPr>
            </w:pPr>
          </w:p>
        </w:tc>
        <w:tc>
          <w:tcPr>
            <w:tcW w:w="738" w:type="pct"/>
            <w:tcBorders>
              <w:top w:val="single" w:color="auto" w:sz="4" w:space="0"/>
              <w:left w:val="nil"/>
              <w:bottom w:val="single" w:color="auto" w:sz="4" w:space="0"/>
              <w:right w:val="nil"/>
            </w:tcBorders>
            <w:shd w:val="clear"/>
            <w:vAlign w:val="top"/>
          </w:tcPr>
          <w:p w14:paraId="7EB021C2">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eastAsia" w:ascii="Times" w:hAnsi="Times" w:eastAsia="宋体" w:cs="Times New Roman"/>
                <w:color w:val="000000" w:themeColor="text1"/>
                <w:sz w:val="24"/>
                <w:szCs w:val="24"/>
                <w:lang w:val="en-US" w:eastAsia="zh-CN" w:bidi="ar-SA"/>
                <w14:textFill>
                  <w14:solidFill>
                    <w14:schemeClr w14:val="tx1"/>
                  </w14:solidFill>
                </w14:textFill>
              </w:rPr>
              <w:t>OR</w:t>
            </w:r>
          </w:p>
        </w:tc>
        <w:tc>
          <w:tcPr>
            <w:tcW w:w="786" w:type="pct"/>
            <w:tcBorders>
              <w:top w:val="single" w:color="auto" w:sz="4" w:space="0"/>
              <w:left w:val="nil"/>
              <w:bottom w:val="single" w:color="auto" w:sz="4" w:space="0"/>
              <w:right w:val="nil"/>
            </w:tcBorders>
            <w:shd w:val="clear"/>
            <w:vAlign w:val="top"/>
          </w:tcPr>
          <w:p w14:paraId="3EAB2FC4">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95% CI</w:t>
            </w:r>
          </w:p>
        </w:tc>
        <w:tc>
          <w:tcPr>
            <w:tcW w:w="605" w:type="pct"/>
            <w:tcBorders>
              <w:top w:val="single" w:color="auto" w:sz="4" w:space="0"/>
              <w:left w:val="nil"/>
              <w:bottom w:val="single" w:color="auto" w:sz="4" w:space="0"/>
              <w:right w:val="nil"/>
            </w:tcBorders>
            <w:shd w:val="clear"/>
            <w:vAlign w:val="top"/>
          </w:tcPr>
          <w:p w14:paraId="7361C521">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P-value</w:t>
            </w:r>
          </w:p>
        </w:tc>
        <w:tc>
          <w:tcPr>
            <w:tcW w:w="738" w:type="pct"/>
            <w:tcBorders>
              <w:top w:val="single" w:color="auto" w:sz="4" w:space="0"/>
              <w:left w:val="nil"/>
              <w:bottom w:val="single" w:color="auto" w:sz="4" w:space="0"/>
              <w:right w:val="nil"/>
            </w:tcBorders>
            <w:shd w:val="clear"/>
            <w:vAlign w:val="top"/>
          </w:tcPr>
          <w:p w14:paraId="4B99F3D2">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eastAsia" w:ascii="Times" w:hAnsi="Times" w:eastAsia="宋体" w:cs="Times New Roman"/>
                <w:color w:val="000000" w:themeColor="text1"/>
                <w:sz w:val="24"/>
                <w:szCs w:val="24"/>
                <w:lang w:val="en-US" w:eastAsia="zh-CN" w:bidi="ar-SA"/>
                <w14:textFill>
                  <w14:solidFill>
                    <w14:schemeClr w14:val="tx1"/>
                  </w14:solidFill>
                </w14:textFill>
              </w:rPr>
              <w:t>OR</w:t>
            </w:r>
          </w:p>
        </w:tc>
        <w:tc>
          <w:tcPr>
            <w:tcW w:w="786" w:type="pct"/>
            <w:tcBorders>
              <w:top w:val="single" w:color="auto" w:sz="4" w:space="0"/>
              <w:left w:val="nil"/>
              <w:bottom w:val="single" w:color="auto" w:sz="4" w:space="0"/>
              <w:right w:val="nil"/>
            </w:tcBorders>
            <w:shd w:val="clear"/>
            <w:vAlign w:val="top"/>
          </w:tcPr>
          <w:p w14:paraId="49E1F73C">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95% CI</w:t>
            </w:r>
          </w:p>
        </w:tc>
        <w:tc>
          <w:tcPr>
            <w:tcW w:w="605" w:type="pct"/>
            <w:tcBorders>
              <w:top w:val="single" w:color="auto" w:sz="4" w:space="0"/>
              <w:left w:val="nil"/>
              <w:bottom w:val="single" w:color="auto" w:sz="4" w:space="0"/>
              <w:right w:val="nil"/>
            </w:tcBorders>
            <w:shd w:val="clear"/>
            <w:vAlign w:val="top"/>
          </w:tcPr>
          <w:p w14:paraId="7B78C48C">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P-value</w:t>
            </w:r>
          </w:p>
        </w:tc>
      </w:tr>
      <w:tr w14:paraId="6C725C40">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408" w:hRule="atLeast"/>
        </w:trPr>
        <w:tc>
          <w:tcPr>
            <w:tcW w:w="1278" w:type="dxa"/>
            <w:tcBorders>
              <w:top w:val="single" w:color="auto" w:sz="4" w:space="0"/>
              <w:left w:val="nil"/>
              <w:bottom w:val="nil"/>
              <w:right w:val="nil"/>
            </w:tcBorders>
            <w:shd w:val="clear"/>
            <w:vAlign w:val="top"/>
          </w:tcPr>
          <w:p w14:paraId="57D9995C">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LE8 Score</w:t>
            </w:r>
          </w:p>
        </w:tc>
        <w:tc>
          <w:tcPr>
            <w:tcW w:w="738" w:type="pct"/>
            <w:tcBorders>
              <w:top w:val="single" w:color="auto" w:sz="4" w:space="0"/>
              <w:left w:val="nil"/>
              <w:bottom w:val="nil"/>
              <w:right w:val="nil"/>
            </w:tcBorders>
            <w:shd w:val="clear"/>
            <w:vAlign w:val="top"/>
          </w:tcPr>
          <w:p w14:paraId="1AEC9211">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786" w:type="pct"/>
            <w:tcBorders>
              <w:top w:val="single" w:color="auto" w:sz="4" w:space="0"/>
              <w:left w:val="nil"/>
              <w:bottom w:val="nil"/>
              <w:right w:val="nil"/>
            </w:tcBorders>
            <w:shd w:val="clear"/>
            <w:vAlign w:val="top"/>
          </w:tcPr>
          <w:p w14:paraId="10017B6D">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605" w:type="pct"/>
            <w:tcBorders>
              <w:top w:val="single" w:color="auto" w:sz="4" w:space="0"/>
              <w:left w:val="nil"/>
              <w:bottom w:val="nil"/>
              <w:right w:val="nil"/>
            </w:tcBorders>
            <w:shd w:val="clear"/>
            <w:vAlign w:val="top"/>
          </w:tcPr>
          <w:p w14:paraId="7405DB9C">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738" w:type="pct"/>
            <w:tcBorders>
              <w:top w:val="single" w:color="auto" w:sz="4" w:space="0"/>
              <w:left w:val="nil"/>
              <w:bottom w:val="nil"/>
              <w:right w:val="nil"/>
            </w:tcBorders>
            <w:shd w:val="clear"/>
            <w:vAlign w:val="top"/>
          </w:tcPr>
          <w:p w14:paraId="0138241D">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786" w:type="pct"/>
            <w:tcBorders>
              <w:top w:val="single" w:color="auto" w:sz="4" w:space="0"/>
              <w:left w:val="nil"/>
              <w:bottom w:val="nil"/>
              <w:right w:val="nil"/>
            </w:tcBorders>
            <w:shd w:val="clear"/>
            <w:vAlign w:val="top"/>
          </w:tcPr>
          <w:p w14:paraId="7A2D02B7">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605" w:type="pct"/>
            <w:tcBorders>
              <w:top w:val="single" w:color="auto" w:sz="4" w:space="0"/>
              <w:left w:val="nil"/>
              <w:bottom w:val="nil"/>
              <w:right w:val="nil"/>
            </w:tcBorders>
            <w:shd w:val="clear"/>
            <w:vAlign w:val="top"/>
          </w:tcPr>
          <w:p w14:paraId="7828FA2F">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r>
      <w:tr w14:paraId="1239C007">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65" w:hRule="atLeast"/>
        </w:trPr>
        <w:tc>
          <w:tcPr>
            <w:tcW w:w="1278" w:type="dxa"/>
            <w:tcBorders>
              <w:top w:val="nil"/>
              <w:left w:val="nil"/>
              <w:bottom w:val="nil"/>
              <w:right w:val="nil"/>
            </w:tcBorders>
            <w:shd w:val="clear"/>
            <w:vAlign w:val="top"/>
          </w:tcPr>
          <w:p w14:paraId="48724253">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Low CVH (0–49)</w:t>
            </w:r>
          </w:p>
        </w:tc>
        <w:tc>
          <w:tcPr>
            <w:tcW w:w="738" w:type="pct"/>
            <w:tcBorders>
              <w:top w:val="nil"/>
              <w:left w:val="nil"/>
              <w:bottom w:val="nil"/>
              <w:right w:val="nil"/>
            </w:tcBorders>
            <w:shd w:val="clear"/>
            <w:vAlign w:val="top"/>
          </w:tcPr>
          <w:p w14:paraId="55669EFE">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Reference</w:t>
            </w:r>
          </w:p>
        </w:tc>
        <w:tc>
          <w:tcPr>
            <w:tcW w:w="786" w:type="pct"/>
            <w:tcBorders>
              <w:top w:val="nil"/>
              <w:left w:val="nil"/>
              <w:bottom w:val="nil"/>
              <w:right w:val="nil"/>
            </w:tcBorders>
            <w:shd w:val="clear"/>
            <w:vAlign w:val="top"/>
          </w:tcPr>
          <w:p w14:paraId="776677C0">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605" w:type="pct"/>
            <w:tcBorders>
              <w:top w:val="nil"/>
              <w:left w:val="nil"/>
              <w:bottom w:val="nil"/>
              <w:right w:val="nil"/>
            </w:tcBorders>
            <w:shd w:val="clear"/>
            <w:vAlign w:val="top"/>
          </w:tcPr>
          <w:p w14:paraId="6995A879">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738" w:type="pct"/>
            <w:tcBorders>
              <w:top w:val="nil"/>
              <w:left w:val="nil"/>
              <w:bottom w:val="nil"/>
              <w:right w:val="nil"/>
            </w:tcBorders>
            <w:shd w:val="clear"/>
            <w:vAlign w:val="top"/>
          </w:tcPr>
          <w:p w14:paraId="540C6422">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Reference</w:t>
            </w:r>
          </w:p>
        </w:tc>
        <w:tc>
          <w:tcPr>
            <w:tcW w:w="786" w:type="pct"/>
            <w:tcBorders>
              <w:top w:val="nil"/>
              <w:left w:val="nil"/>
              <w:bottom w:val="nil"/>
              <w:right w:val="nil"/>
            </w:tcBorders>
            <w:shd w:val="clear"/>
            <w:vAlign w:val="top"/>
          </w:tcPr>
          <w:p w14:paraId="04A3DFC2">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605" w:type="pct"/>
            <w:tcBorders>
              <w:top w:val="nil"/>
              <w:left w:val="nil"/>
              <w:bottom w:val="nil"/>
              <w:right w:val="nil"/>
            </w:tcBorders>
            <w:shd w:val="clear"/>
            <w:vAlign w:val="top"/>
          </w:tcPr>
          <w:p w14:paraId="4C137172">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r>
      <w:tr w14:paraId="447D4699">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65" w:hRule="atLeast"/>
        </w:trPr>
        <w:tc>
          <w:tcPr>
            <w:tcW w:w="1278" w:type="dxa"/>
            <w:tcBorders>
              <w:top w:val="nil"/>
              <w:left w:val="nil"/>
              <w:bottom w:val="nil"/>
              <w:right w:val="nil"/>
            </w:tcBorders>
            <w:shd w:val="clear"/>
            <w:vAlign w:val="top"/>
          </w:tcPr>
          <w:p w14:paraId="44F8A4A9">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Moderate CVH (50–79)</w:t>
            </w:r>
          </w:p>
        </w:tc>
        <w:tc>
          <w:tcPr>
            <w:tcW w:w="738" w:type="pct"/>
            <w:tcBorders>
              <w:top w:val="nil"/>
              <w:left w:val="nil"/>
              <w:bottom w:val="nil"/>
              <w:right w:val="nil"/>
            </w:tcBorders>
            <w:shd w:val="clear"/>
            <w:vAlign w:val="top"/>
          </w:tcPr>
          <w:p w14:paraId="25F25466">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cs="Times New Roman"/>
                <w:color w:val="000000" w:themeColor="text1"/>
                <w:sz w:val="24"/>
                <w:szCs w:val="24"/>
                <w:lang w:val="en-US" w:eastAsia="zh-CN" w:bidi="ar-SA"/>
                <w14:textFill>
                  <w14:solidFill>
                    <w14:schemeClr w14:val="tx1"/>
                  </w14:solidFill>
                </w14:textFill>
              </w:rPr>
              <w:t>0.44</w:t>
            </w:r>
          </w:p>
        </w:tc>
        <w:tc>
          <w:tcPr>
            <w:tcW w:w="1475" w:type="dxa"/>
            <w:tcBorders>
              <w:top w:val="nil"/>
              <w:left w:val="nil"/>
              <w:bottom w:val="nil"/>
              <w:right w:val="nil"/>
            </w:tcBorders>
            <w:shd w:val="clear"/>
            <w:vAlign w:val="top"/>
          </w:tcPr>
          <w:p w14:paraId="6E832AAF">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(0.</w:t>
            </w:r>
            <w:r>
              <w:rPr>
                <w:rFonts w:hint="eastAsia" w:cs="Times New Roman"/>
                <w:color w:val="000000" w:themeColor="text1"/>
                <w:sz w:val="24"/>
                <w:szCs w:val="24"/>
                <w:lang w:val="en-US" w:eastAsia="zh-CN" w:bidi="ar-SA"/>
                <w14:textFill>
                  <w14:solidFill>
                    <w14:schemeClr w14:val="tx1"/>
                  </w14:solidFill>
                </w14:textFill>
              </w:rPr>
              <w:t>45</w:t>
            </w:r>
            <w:r>
              <w:rPr>
                <w:rFonts w:hint="default" w:ascii="Times" w:hAnsi="Times" w:eastAsia="宋体" w:cs="Times New Roman"/>
                <w:color w:val="000000" w:themeColor="text1"/>
                <w:sz w:val="24"/>
                <w:szCs w:val="24"/>
                <w:lang w:val="en-US" w:eastAsia="zh-CN" w:bidi="ar-SA"/>
                <w14:textFill>
                  <w14:solidFill>
                    <w14:schemeClr w14:val="tx1"/>
                  </w14:solidFill>
                </w14:textFill>
              </w:rPr>
              <w:t>,0.</w:t>
            </w:r>
            <w:r>
              <w:rPr>
                <w:rFonts w:hint="eastAsia" w:cs="Times New Roman"/>
                <w:color w:val="000000" w:themeColor="text1"/>
                <w:sz w:val="24"/>
                <w:szCs w:val="24"/>
                <w:lang w:val="en-US" w:eastAsia="zh-CN" w:bidi="ar-SA"/>
                <w14:textFill>
                  <w14:solidFill>
                    <w14:schemeClr w14:val="tx1"/>
                  </w14:solidFill>
                </w14:textFill>
              </w:rPr>
              <w:t>5</w:t>
            </w:r>
            <w:r>
              <w:rPr>
                <w:rFonts w:hint="default" w:ascii="Times" w:hAnsi="Times" w:eastAsia="宋体" w:cs="Times New Roman"/>
                <w:color w:val="000000" w:themeColor="text1"/>
                <w:sz w:val="24"/>
                <w:szCs w:val="24"/>
                <w:lang w:val="en-US" w:eastAsia="zh-CN" w:bidi="ar-SA"/>
                <w14:textFill>
                  <w14:solidFill>
                    <w14:schemeClr w14:val="tx1"/>
                  </w14:solidFill>
                </w14:textFill>
              </w:rPr>
              <w:t>3)</w:t>
            </w:r>
          </w:p>
        </w:tc>
        <w:tc>
          <w:tcPr>
            <w:tcW w:w="605" w:type="pct"/>
            <w:tcBorders>
              <w:top w:val="nil"/>
              <w:left w:val="nil"/>
              <w:bottom w:val="nil"/>
              <w:right w:val="nil"/>
            </w:tcBorders>
            <w:shd w:val="clear"/>
            <w:vAlign w:val="top"/>
          </w:tcPr>
          <w:p w14:paraId="71C57561">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&lt;0.001</w:t>
            </w:r>
          </w:p>
        </w:tc>
        <w:tc>
          <w:tcPr>
            <w:tcW w:w="738" w:type="pct"/>
            <w:tcBorders>
              <w:top w:val="nil"/>
              <w:left w:val="nil"/>
              <w:bottom w:val="nil"/>
              <w:right w:val="nil"/>
            </w:tcBorders>
            <w:shd w:val="clear"/>
            <w:vAlign w:val="top"/>
          </w:tcPr>
          <w:p w14:paraId="03AB33FD">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0.4</w:t>
            </w:r>
            <w:r>
              <w:rPr>
                <w:rFonts w:hint="eastAsia" w:cs="Times New Roman"/>
                <w:color w:val="000000" w:themeColor="text1"/>
                <w:sz w:val="24"/>
                <w:szCs w:val="24"/>
                <w:lang w:val="en-US" w:eastAsia="zh-CN" w:bidi="ar-SA"/>
                <w14:textFill>
                  <w14:solidFill>
                    <w14:schemeClr w14:val="tx1"/>
                  </w14:solidFill>
                </w14:textFill>
              </w:rPr>
              <w:t>9</w:t>
            </w:r>
          </w:p>
        </w:tc>
        <w:tc>
          <w:tcPr>
            <w:tcW w:w="786" w:type="pct"/>
            <w:tcBorders>
              <w:top w:val="nil"/>
              <w:left w:val="nil"/>
              <w:bottom w:val="nil"/>
              <w:right w:val="nil"/>
            </w:tcBorders>
            <w:shd w:val="clear"/>
            <w:vAlign w:val="top"/>
          </w:tcPr>
          <w:p w14:paraId="62F0D6F9">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(0.</w:t>
            </w:r>
            <w:r>
              <w:rPr>
                <w:rFonts w:hint="eastAsia" w:cs="Times New Roman"/>
                <w:color w:val="000000" w:themeColor="text1"/>
                <w:sz w:val="24"/>
                <w:szCs w:val="24"/>
                <w:lang w:val="en-US" w:eastAsia="zh-CN" w:bidi="ar-SA"/>
                <w14:textFill>
                  <w14:solidFill>
                    <w14:schemeClr w14:val="tx1"/>
                  </w14:solidFill>
                </w14:textFill>
              </w:rPr>
              <w:t>45</w:t>
            </w:r>
            <w:r>
              <w:rPr>
                <w:rFonts w:hint="default" w:ascii="Times" w:hAnsi="Times" w:eastAsia="宋体" w:cs="Times New Roman"/>
                <w:color w:val="000000" w:themeColor="text1"/>
                <w:sz w:val="24"/>
                <w:szCs w:val="24"/>
                <w:lang w:val="en-US" w:eastAsia="zh-CN" w:bidi="ar-SA"/>
                <w14:textFill>
                  <w14:solidFill>
                    <w14:schemeClr w14:val="tx1"/>
                  </w14:solidFill>
                </w14:textFill>
              </w:rPr>
              <w:t>,</w:t>
            </w:r>
            <w:r>
              <w:rPr>
                <w:rFonts w:hint="eastAsia" w:cs="Times New Roman"/>
                <w:color w:val="000000" w:themeColor="text1"/>
                <w:sz w:val="24"/>
                <w:szCs w:val="24"/>
                <w:lang w:val="en-US" w:eastAsia="zh-CN" w:bidi="ar-SA"/>
                <w14:textFill>
                  <w14:solidFill>
                    <w14:schemeClr w14:val="tx1"/>
                  </w14:solidFill>
                </w14:textFill>
              </w:rPr>
              <w:t>0.53</w:t>
            </w:r>
            <w:r>
              <w:rPr>
                <w:rFonts w:hint="default" w:ascii="Times" w:hAnsi="Times" w:eastAsia="宋体" w:cs="Times New Roman"/>
                <w:color w:val="000000" w:themeColor="text1"/>
                <w:sz w:val="24"/>
                <w:szCs w:val="24"/>
                <w:lang w:val="en-US" w:eastAsia="zh-CN" w:bidi="ar-SA"/>
                <w14:textFill>
                  <w14:solidFill>
                    <w14:schemeClr w14:val="tx1"/>
                  </w14:solidFill>
                </w14:textFill>
              </w:rPr>
              <w:t>)</w:t>
            </w:r>
          </w:p>
        </w:tc>
        <w:tc>
          <w:tcPr>
            <w:tcW w:w="605" w:type="pct"/>
            <w:tcBorders>
              <w:top w:val="nil"/>
              <w:left w:val="nil"/>
              <w:bottom w:val="nil"/>
              <w:right w:val="nil"/>
            </w:tcBorders>
            <w:shd w:val="clear"/>
            <w:vAlign w:val="top"/>
          </w:tcPr>
          <w:p w14:paraId="63E5127F">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&lt;0.001</w:t>
            </w:r>
          </w:p>
        </w:tc>
      </w:tr>
      <w:tr w14:paraId="793A9183">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shd w:val="clear"/>
          <w:tblCellMar>
            <w:top w:w="0" w:type="dxa"/>
            <w:left w:w="108" w:type="dxa"/>
            <w:bottom w:w="0" w:type="dxa"/>
            <w:right w:w="108" w:type="dxa"/>
          </w:tblCellMar>
        </w:tblPrEx>
        <w:trPr>
          <w:trHeight w:val="375" w:hRule="atLeast"/>
        </w:trPr>
        <w:tc>
          <w:tcPr>
            <w:tcW w:w="1278" w:type="dxa"/>
            <w:tcBorders>
              <w:top w:val="nil"/>
              <w:left w:val="nil"/>
              <w:bottom w:val="single" w:color="auto" w:sz="4" w:space="0"/>
              <w:right w:val="nil"/>
            </w:tcBorders>
            <w:shd w:val="clear"/>
            <w:vAlign w:val="top"/>
          </w:tcPr>
          <w:p w14:paraId="7F6AE01F">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High CVH (80–100)</w:t>
            </w:r>
          </w:p>
        </w:tc>
        <w:tc>
          <w:tcPr>
            <w:tcW w:w="738" w:type="pct"/>
            <w:tcBorders>
              <w:top w:val="nil"/>
              <w:left w:val="nil"/>
              <w:bottom w:val="single" w:color="auto" w:sz="4" w:space="0"/>
              <w:right w:val="nil"/>
            </w:tcBorders>
            <w:shd w:val="clear"/>
            <w:vAlign w:val="top"/>
          </w:tcPr>
          <w:p w14:paraId="7BB42F46">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0.</w:t>
            </w:r>
            <w:r>
              <w:rPr>
                <w:rFonts w:hint="eastAsia" w:cs="Times New Roman"/>
                <w:color w:val="000000" w:themeColor="text1"/>
                <w:sz w:val="24"/>
                <w:szCs w:val="24"/>
                <w:lang w:val="en-US" w:eastAsia="zh-CN" w:bidi="ar-SA"/>
                <w14:textFill>
                  <w14:solidFill>
                    <w14:schemeClr w14:val="tx1"/>
                  </w14:solidFill>
                </w14:textFill>
              </w:rPr>
              <w:t>25</w:t>
            </w:r>
          </w:p>
          <w:p w14:paraId="6D026FE4">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p>
        </w:tc>
        <w:tc>
          <w:tcPr>
            <w:tcW w:w="1475" w:type="dxa"/>
            <w:tcBorders>
              <w:top w:val="nil"/>
              <w:left w:val="nil"/>
              <w:bottom w:val="single" w:color="auto" w:sz="4" w:space="0"/>
              <w:right w:val="nil"/>
            </w:tcBorders>
            <w:shd w:val="clear"/>
            <w:vAlign w:val="top"/>
          </w:tcPr>
          <w:p w14:paraId="4E4F721E">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(0.</w:t>
            </w:r>
            <w:r>
              <w:rPr>
                <w:rFonts w:hint="eastAsia" w:cs="Times New Roman"/>
                <w:color w:val="000000" w:themeColor="text1"/>
                <w:sz w:val="24"/>
                <w:szCs w:val="24"/>
                <w:lang w:val="en-US" w:eastAsia="zh-CN" w:bidi="ar-SA"/>
                <w14:textFill>
                  <w14:solidFill>
                    <w14:schemeClr w14:val="tx1"/>
                  </w14:solidFill>
                </w14:textFill>
              </w:rPr>
              <w:t>24</w:t>
            </w:r>
            <w:r>
              <w:rPr>
                <w:rFonts w:hint="default" w:ascii="Times" w:hAnsi="Times" w:eastAsia="宋体" w:cs="Times New Roman"/>
                <w:color w:val="000000" w:themeColor="text1"/>
                <w:sz w:val="24"/>
                <w:szCs w:val="24"/>
                <w:lang w:val="en-US" w:eastAsia="zh-CN" w:bidi="ar-SA"/>
                <w14:textFill>
                  <w14:solidFill>
                    <w14:schemeClr w14:val="tx1"/>
                  </w14:solidFill>
                </w14:textFill>
              </w:rPr>
              <w:t>,0.</w:t>
            </w:r>
            <w:r>
              <w:rPr>
                <w:rFonts w:hint="eastAsia" w:cs="Times New Roman"/>
                <w:color w:val="000000" w:themeColor="text1"/>
                <w:sz w:val="24"/>
                <w:szCs w:val="24"/>
                <w:lang w:val="en-US" w:eastAsia="zh-CN" w:bidi="ar-SA"/>
                <w14:textFill>
                  <w14:solidFill>
                    <w14:schemeClr w14:val="tx1"/>
                  </w14:solidFill>
                </w14:textFill>
              </w:rPr>
              <w:t>30</w:t>
            </w:r>
            <w:r>
              <w:rPr>
                <w:rFonts w:hint="default" w:ascii="Times" w:hAnsi="Times" w:eastAsia="宋体" w:cs="Times New Roman"/>
                <w:color w:val="000000" w:themeColor="text1"/>
                <w:sz w:val="24"/>
                <w:szCs w:val="24"/>
                <w:lang w:val="en-US" w:eastAsia="zh-CN" w:bidi="ar-SA"/>
                <w14:textFill>
                  <w14:solidFill>
                    <w14:schemeClr w14:val="tx1"/>
                  </w14:solidFill>
                </w14:textFill>
              </w:rPr>
              <w:t>)</w:t>
            </w:r>
          </w:p>
        </w:tc>
        <w:tc>
          <w:tcPr>
            <w:tcW w:w="605" w:type="pct"/>
            <w:tcBorders>
              <w:top w:val="nil"/>
              <w:left w:val="nil"/>
              <w:bottom w:val="single" w:color="auto" w:sz="4" w:space="0"/>
              <w:right w:val="nil"/>
            </w:tcBorders>
            <w:shd w:val="clear"/>
            <w:vAlign w:val="top"/>
          </w:tcPr>
          <w:p w14:paraId="2B5ABCBA">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&lt;0.001</w:t>
            </w:r>
          </w:p>
        </w:tc>
        <w:tc>
          <w:tcPr>
            <w:tcW w:w="738" w:type="pct"/>
            <w:tcBorders>
              <w:top w:val="nil"/>
              <w:left w:val="nil"/>
              <w:bottom w:val="single" w:color="auto" w:sz="4" w:space="0"/>
              <w:right w:val="nil"/>
            </w:tcBorders>
            <w:shd w:val="clear"/>
            <w:vAlign w:val="top"/>
          </w:tcPr>
          <w:p w14:paraId="7AA66206">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eastAsia" w:cs="Times New Roman"/>
                <w:color w:val="000000" w:themeColor="text1"/>
                <w:sz w:val="24"/>
                <w:szCs w:val="24"/>
                <w:lang w:val="en-US" w:eastAsia="zh-CN" w:bidi="ar-SA"/>
                <w14:textFill>
                  <w14:solidFill>
                    <w14:schemeClr w14:val="tx1"/>
                  </w14:solidFill>
                </w14:textFill>
              </w:rPr>
              <w:t>0.27</w:t>
            </w:r>
          </w:p>
        </w:tc>
        <w:tc>
          <w:tcPr>
            <w:tcW w:w="786" w:type="pct"/>
            <w:tcBorders>
              <w:top w:val="nil"/>
              <w:left w:val="nil"/>
              <w:bottom w:val="single" w:color="auto" w:sz="4" w:space="0"/>
              <w:right w:val="nil"/>
            </w:tcBorders>
            <w:shd w:val="clear"/>
            <w:vAlign w:val="top"/>
          </w:tcPr>
          <w:p w14:paraId="657F5891">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(0.</w:t>
            </w:r>
            <w:r>
              <w:rPr>
                <w:rFonts w:hint="eastAsia" w:cs="Times New Roman"/>
                <w:color w:val="000000" w:themeColor="text1"/>
                <w:sz w:val="24"/>
                <w:szCs w:val="24"/>
                <w:lang w:val="en-US" w:eastAsia="zh-CN" w:bidi="ar-SA"/>
                <w14:textFill>
                  <w14:solidFill>
                    <w14:schemeClr w14:val="tx1"/>
                  </w14:solidFill>
                </w14:textFill>
              </w:rPr>
              <w:t>24</w:t>
            </w:r>
            <w:r>
              <w:rPr>
                <w:rFonts w:hint="default" w:ascii="Times" w:hAnsi="Times" w:eastAsia="宋体" w:cs="Times New Roman"/>
                <w:color w:val="000000" w:themeColor="text1"/>
                <w:sz w:val="24"/>
                <w:szCs w:val="24"/>
                <w:lang w:val="en-US" w:eastAsia="zh-CN" w:bidi="ar-SA"/>
                <w14:textFill>
                  <w14:solidFill>
                    <w14:schemeClr w14:val="tx1"/>
                  </w14:solidFill>
                </w14:textFill>
              </w:rPr>
              <w:t>,</w:t>
            </w:r>
            <w:r>
              <w:rPr>
                <w:rFonts w:hint="eastAsia" w:cs="Times New Roman"/>
                <w:color w:val="000000" w:themeColor="text1"/>
                <w:sz w:val="24"/>
                <w:szCs w:val="24"/>
                <w:lang w:val="en-US" w:eastAsia="zh-CN" w:bidi="ar-SA"/>
                <w14:textFill>
                  <w14:solidFill>
                    <w14:schemeClr w14:val="tx1"/>
                  </w14:solidFill>
                </w14:textFill>
              </w:rPr>
              <w:t>0.30</w:t>
            </w:r>
            <w:r>
              <w:rPr>
                <w:rFonts w:hint="default" w:ascii="Times" w:hAnsi="Times" w:eastAsia="宋体" w:cs="Times New Roman"/>
                <w:color w:val="000000" w:themeColor="text1"/>
                <w:sz w:val="24"/>
                <w:szCs w:val="24"/>
                <w:lang w:val="en-US" w:eastAsia="zh-CN" w:bidi="ar-SA"/>
                <w14:textFill>
                  <w14:solidFill>
                    <w14:schemeClr w14:val="tx1"/>
                  </w14:solidFill>
                </w14:textFill>
              </w:rPr>
              <w:t>)</w:t>
            </w:r>
          </w:p>
        </w:tc>
        <w:tc>
          <w:tcPr>
            <w:tcW w:w="605" w:type="pct"/>
            <w:tcBorders>
              <w:top w:val="nil"/>
              <w:left w:val="nil"/>
              <w:bottom w:val="single" w:color="auto" w:sz="4" w:space="0"/>
              <w:right w:val="nil"/>
            </w:tcBorders>
            <w:shd w:val="clear"/>
            <w:vAlign w:val="top"/>
          </w:tcPr>
          <w:p w14:paraId="67283ED9">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&lt;0.001</w:t>
            </w:r>
          </w:p>
        </w:tc>
      </w:tr>
    </w:tbl>
    <w:p w14:paraId="1A026A49">
      <w:pPr>
        <w:rPr>
          <w:rFonts w:hint="eastAsia"/>
        </w:rPr>
      </w:pPr>
      <w:r>
        <w:rPr>
          <w:rFonts w:hint="eastAsia"/>
        </w:rPr>
        <w:t xml:space="preserve">Notes: CVH, cardiovascular health; </w:t>
      </w:r>
      <w:r>
        <w:rPr>
          <w:rFonts w:hint="eastAsia"/>
          <w:lang w:val="en-US" w:eastAsia="zh-CN"/>
        </w:rPr>
        <w:t>OR, o</w:t>
      </w:r>
      <w:r>
        <w:rPr>
          <w:rFonts w:hint="eastAsia"/>
        </w:rPr>
        <w:t xml:space="preserve">dds </w:t>
      </w:r>
      <w:r>
        <w:rPr>
          <w:rFonts w:hint="eastAsia"/>
          <w:lang w:val="en-US" w:eastAsia="zh-CN"/>
        </w:rPr>
        <w:t>r</w:t>
      </w:r>
      <w:r>
        <w:rPr>
          <w:rFonts w:hint="eastAsia"/>
        </w:rPr>
        <w:t>atio</w:t>
      </w:r>
      <w:r>
        <w:rPr>
          <w:rFonts w:hint="eastAsia"/>
          <w:lang w:val="en-US" w:eastAsia="zh-CN"/>
        </w:rPr>
        <w:t xml:space="preserve">; </w:t>
      </w:r>
      <w:r>
        <w:rPr>
          <w:rFonts w:hint="eastAsia"/>
        </w:rPr>
        <w:t xml:space="preserve">CI, confidence interval; Crude Model, </w:t>
      </w:r>
      <w:r>
        <w:rPr>
          <w:rFonts w:hint="eastAsia"/>
          <w:lang w:val="en-US" w:eastAsia="zh-CN"/>
        </w:rPr>
        <w:t>n</w:t>
      </w:r>
      <w:r>
        <w:rPr>
          <w:rFonts w:hint="eastAsia"/>
        </w:rPr>
        <w:t xml:space="preserve">o covariates were adjusted. Multivariable model, </w:t>
      </w:r>
      <w:r>
        <w:rPr>
          <w:rFonts w:hint="eastAsia"/>
          <w:lang w:val="en-US" w:eastAsia="zh-CN"/>
        </w:rPr>
        <w:t>a</w:t>
      </w:r>
      <w:r>
        <w:rPr>
          <w:rFonts w:hint="eastAsia"/>
        </w:rPr>
        <w:t>djusted for sex, age, race/ethnicity, education level and poverty-income ratio.</w:t>
      </w:r>
    </w:p>
    <w:p w14:paraId="66E61798">
      <w:pPr>
        <w:pStyle w:val="2"/>
        <w:rPr>
          <w:rFonts w:ascii="Times" w:hAnsi="Times" w:eastAsia="宋体" w:cs="Times New Roman"/>
          <w:b/>
          <w:bCs/>
          <w:color w:val="000000" w:themeColor="text1"/>
          <w:sz w:val="24"/>
          <w:szCs w:val="24"/>
          <w:lang w:val="en-US" w:eastAsia="zh-CN" w:bidi="ar-SA"/>
          <w14:textFill>
            <w14:solidFill>
              <w14:schemeClr w14:val="tx1"/>
            </w14:solidFill>
          </w14:textFill>
        </w:rPr>
        <w:sectPr>
          <w:footnotePr>
            <w:numFmt w:val="decimal"/>
          </w:footnote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7837642">
      <w:pPr>
        <w:pStyle w:val="2"/>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b/>
          <w:bCs/>
          <w:color w:val="000000" w:themeColor="text1"/>
          <w:sz w:val="24"/>
          <w:szCs w:val="24"/>
          <w:lang w:val="en-US" w:eastAsia="zh-CN" w:bidi="ar-SA"/>
          <w14:textFill>
            <w14:solidFill>
              <w14:schemeClr w14:val="tx1"/>
            </w14:solidFill>
          </w14:textFill>
        </w:rPr>
        <w:t>Supplementary</w:t>
      </w:r>
      <w:r>
        <w:rPr>
          <w:rFonts w:ascii="Times" w:hAnsi="Times" w:eastAsia="宋体" w:cs="Times New Roman"/>
          <w:b/>
          <w:bCs/>
          <w:color w:val="000000" w:themeColor="text1"/>
          <w:sz w:val="24"/>
          <w:szCs w:val="24"/>
          <w:lang w:val="en-US" w:eastAsia="zh-CN" w:bidi="ar-SA"/>
          <w14:textFill>
            <w14:solidFill>
              <w14:schemeClr w14:val="tx1"/>
            </w14:solidFill>
          </w14:textFill>
        </w:rPr>
        <w:t xml:space="preserve"> Table </w:t>
      </w:r>
      <w:r>
        <w:rPr>
          <w:rFonts w:ascii="Times" w:hAnsi="Times" w:eastAsia="宋体" w:cs="Times New Roman"/>
          <w:b/>
          <w:bCs/>
          <w:color w:val="000000" w:themeColor="text1"/>
          <w:sz w:val="24"/>
          <w:szCs w:val="24"/>
          <w:lang w:val="en-US" w:eastAsia="zh-CN" w:bidi="ar-SA"/>
          <w14:textFill>
            <w14:solidFill>
              <w14:schemeClr w14:val="tx1"/>
            </w14:solidFill>
          </w14:textFill>
        </w:rPr>
        <w:fldChar w:fldCharType="begin"/>
      </w:r>
      <w:r>
        <w:rPr>
          <w:rFonts w:ascii="Times" w:hAnsi="Times" w:eastAsia="宋体" w:cs="Times New Roman"/>
          <w:b/>
          <w:bCs/>
          <w:color w:val="000000" w:themeColor="text1"/>
          <w:sz w:val="24"/>
          <w:szCs w:val="24"/>
          <w:lang w:val="en-US" w:eastAsia="zh-CN" w:bidi="ar-SA"/>
          <w14:textFill>
            <w14:solidFill>
              <w14:schemeClr w14:val="tx1"/>
            </w14:solidFill>
          </w14:textFill>
        </w:rPr>
        <w:instrText xml:space="preserve"> SEQ Supplemental_Table \* ARABIC </w:instrText>
      </w:r>
      <w:r>
        <w:rPr>
          <w:rFonts w:ascii="Times" w:hAnsi="Times" w:eastAsia="宋体" w:cs="Times New Roman"/>
          <w:b/>
          <w:bCs/>
          <w:color w:val="000000" w:themeColor="text1"/>
          <w:sz w:val="24"/>
          <w:szCs w:val="24"/>
          <w:lang w:val="en-US" w:eastAsia="zh-CN" w:bidi="ar-SA"/>
          <w14:textFill>
            <w14:solidFill>
              <w14:schemeClr w14:val="tx1"/>
            </w14:solidFill>
          </w14:textFill>
        </w:rPr>
        <w:fldChar w:fldCharType="separate"/>
      </w:r>
      <w:r>
        <w:rPr>
          <w:rFonts w:ascii="Times" w:hAnsi="Times" w:eastAsia="宋体" w:cs="Times New Roman"/>
          <w:b/>
          <w:bCs/>
          <w:color w:val="000000" w:themeColor="text1"/>
          <w:sz w:val="24"/>
          <w:szCs w:val="24"/>
          <w:lang w:val="en-US" w:eastAsia="zh-CN" w:bidi="ar-SA"/>
          <w14:textFill>
            <w14:solidFill>
              <w14:schemeClr w14:val="tx1"/>
            </w14:solidFill>
          </w14:textFill>
        </w:rPr>
        <w:t>3</w:t>
      </w:r>
      <w:r>
        <w:rPr>
          <w:rFonts w:ascii="Times" w:hAnsi="Times" w:eastAsia="宋体" w:cs="Times New Roman"/>
          <w:b/>
          <w:bCs/>
          <w:color w:val="000000" w:themeColor="text1"/>
          <w:sz w:val="24"/>
          <w:szCs w:val="24"/>
          <w:lang w:val="en-US" w:eastAsia="zh-CN" w:bidi="ar-SA"/>
          <w14:textFill>
            <w14:solidFill>
              <w14:schemeClr w14:val="tx1"/>
            </w14:solidFill>
          </w14:textFill>
        </w:rPr>
        <w:fldChar w:fldCharType="end"/>
      </w:r>
      <w:r>
        <w:rPr>
          <w:rFonts w:hint="eastAsia" w:ascii="Times" w:hAnsi="Times" w:eastAsia="宋体" w:cs="Times New Roman"/>
          <w:b/>
          <w:bCs/>
          <w:color w:val="000000" w:themeColor="text1"/>
          <w:sz w:val="24"/>
          <w:szCs w:val="24"/>
          <w:lang w:val="en-US" w:eastAsia="zh-CN" w:bidi="ar-SA"/>
          <w14:textFill>
            <w14:solidFill>
              <w14:schemeClr w14:val="tx1"/>
            </w14:solidFill>
          </w14:textFill>
        </w:rPr>
        <w:t>.</w:t>
      </w:r>
      <w:r>
        <w:rPr>
          <w:rFonts w:hint="eastAsia" w:ascii="Times" w:hAnsi="Times" w:eastAsia="宋体" w:cs="Times New Roman"/>
          <w:color w:val="000000" w:themeColor="text1"/>
          <w:sz w:val="24"/>
          <w:szCs w:val="24"/>
          <w:lang w:val="en-US" w:eastAsia="zh-CN" w:bidi="ar-SA"/>
          <w14:textFill>
            <w14:solidFill>
              <w14:schemeClr w14:val="tx1"/>
            </w14:solidFill>
          </w14:textFill>
        </w:rPr>
        <w:t xml:space="preserve"> Association between LE8 Score and clinically relevant depression ((PHQ-9≥10)</w:t>
      </w:r>
    </w:p>
    <w:tbl>
      <w:tblPr>
        <w:tblStyle w:val="5"/>
        <w:tblW w:w="5502" w:type="pct"/>
        <w:tblInd w:w="-439" w:type="dxa"/>
        <w:tblBorders>
          <w:top w:val="single" w:color="auto" w:sz="4" w:space="0"/>
          <w:left w:val="none" w:color="auto" w:sz="4" w:space="0"/>
          <w:bottom w:val="single" w:color="auto" w:sz="4" w:space="0"/>
          <w:right w:val="none" w:color="auto" w:sz="4" w:space="0"/>
          <w:insideH w:val="none" w:color="auto" w:sz="4" w:space="0"/>
          <w:insideV w:val="none" w:color="auto" w:sz="4" w:space="0"/>
        </w:tblBorders>
        <w:shd w:val="clear" w:color="auto" w:fill="auto"/>
        <w:tblLayout w:type="autofit"/>
        <w:tblCellMar>
          <w:top w:w="0" w:type="dxa"/>
          <w:left w:w="108" w:type="dxa"/>
          <w:bottom w:w="0" w:type="dxa"/>
          <w:right w:w="108" w:type="dxa"/>
        </w:tblCellMar>
      </w:tblPr>
      <w:tblGrid>
        <w:gridCol w:w="1376"/>
        <w:gridCol w:w="1385"/>
        <w:gridCol w:w="1475"/>
        <w:gridCol w:w="1141"/>
        <w:gridCol w:w="1385"/>
        <w:gridCol w:w="1475"/>
        <w:gridCol w:w="1141"/>
      </w:tblGrid>
      <w:tr w14:paraId="3683EAE7">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shd w:val="clear" w:color="auto" w:fill="auto"/>
          <w:tblCellMar>
            <w:top w:w="0" w:type="dxa"/>
            <w:left w:w="108" w:type="dxa"/>
            <w:bottom w:w="0" w:type="dxa"/>
            <w:right w:w="108" w:type="dxa"/>
          </w:tblCellMar>
        </w:tblPrEx>
        <w:trPr>
          <w:trHeight w:val="408" w:hRule="atLeast"/>
        </w:trPr>
        <w:tc>
          <w:tcPr>
            <w:tcW w:w="733" w:type="pct"/>
            <w:vMerge w:val="restart"/>
            <w:tcBorders>
              <w:top w:val="single" w:color="auto" w:sz="4" w:space="0"/>
              <w:left w:val="nil"/>
              <w:bottom w:val="single" w:color="auto" w:sz="4" w:space="0"/>
              <w:right w:val="nil"/>
            </w:tcBorders>
            <w:shd w:val="clear" w:color="auto" w:fill="auto"/>
            <w:vAlign w:val="top"/>
          </w:tcPr>
          <w:p w14:paraId="453AFE71">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2132" w:type="pct"/>
            <w:gridSpan w:val="3"/>
            <w:tcBorders>
              <w:top w:val="single" w:color="auto" w:sz="4" w:space="0"/>
              <w:left w:val="nil"/>
              <w:bottom w:val="single" w:color="auto" w:sz="4" w:space="0"/>
              <w:right w:val="nil"/>
            </w:tcBorders>
            <w:shd w:val="clear" w:color="auto" w:fill="auto"/>
            <w:vAlign w:val="top"/>
          </w:tcPr>
          <w:p w14:paraId="3C825393">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Crude model</w:t>
            </w:r>
          </w:p>
        </w:tc>
        <w:tc>
          <w:tcPr>
            <w:tcW w:w="2132" w:type="pct"/>
            <w:gridSpan w:val="3"/>
            <w:tcBorders>
              <w:top w:val="single" w:color="auto" w:sz="4" w:space="0"/>
              <w:left w:val="nil"/>
              <w:bottom w:val="single" w:color="auto" w:sz="4" w:space="0"/>
              <w:right w:val="nil"/>
            </w:tcBorders>
            <w:shd w:val="clear" w:color="auto" w:fill="auto"/>
            <w:vAlign w:val="top"/>
          </w:tcPr>
          <w:p w14:paraId="402F3567">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Multivariable model</w:t>
            </w:r>
          </w:p>
        </w:tc>
      </w:tr>
      <w:tr w14:paraId="32A2D435">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408" w:hRule="atLeast"/>
        </w:trPr>
        <w:tc>
          <w:tcPr>
            <w:tcW w:w="733" w:type="pct"/>
            <w:vMerge w:val="continue"/>
            <w:tcBorders>
              <w:top w:val="single" w:color="auto" w:sz="4" w:space="0"/>
              <w:left w:val="nil"/>
              <w:bottom w:val="single" w:color="auto" w:sz="4" w:space="0"/>
              <w:right w:val="nil"/>
            </w:tcBorders>
            <w:shd w:val="clear" w:color="auto" w:fill="auto"/>
            <w:vAlign w:val="top"/>
          </w:tcPr>
          <w:p w14:paraId="10CE5D2C">
            <w:pPr>
              <w:rPr>
                <w:rFonts w:hint="default" w:ascii="Times" w:hAnsi="Times" w:eastAsia="宋体" w:cs="Times New Roman"/>
                <w:color w:val="000000" w:themeColor="text1"/>
                <w:sz w:val="24"/>
                <w:szCs w:val="24"/>
                <w:lang w:val="en-US" w:eastAsia="zh-CN" w:bidi="ar-SA"/>
                <w14:textFill>
                  <w14:solidFill>
                    <w14:schemeClr w14:val="tx1"/>
                  </w14:solidFill>
                </w14:textFill>
              </w:rPr>
            </w:pPr>
          </w:p>
        </w:tc>
        <w:tc>
          <w:tcPr>
            <w:tcW w:w="738" w:type="pct"/>
            <w:tcBorders>
              <w:top w:val="single" w:color="auto" w:sz="4" w:space="0"/>
              <w:left w:val="nil"/>
              <w:bottom w:val="single" w:color="auto" w:sz="4" w:space="0"/>
              <w:right w:val="nil"/>
            </w:tcBorders>
            <w:shd w:val="clear" w:color="auto" w:fill="auto"/>
            <w:vAlign w:val="top"/>
          </w:tcPr>
          <w:p w14:paraId="4DE4BF23">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eastAsia" w:ascii="Times" w:hAnsi="Times" w:eastAsia="宋体" w:cs="Times New Roman"/>
                <w:color w:val="000000" w:themeColor="text1"/>
                <w:sz w:val="24"/>
                <w:szCs w:val="24"/>
                <w:lang w:val="en-US" w:eastAsia="zh-CN" w:bidi="ar-SA"/>
                <w14:textFill>
                  <w14:solidFill>
                    <w14:schemeClr w14:val="tx1"/>
                  </w14:solidFill>
                </w14:textFill>
              </w:rPr>
              <w:t>OR</w:t>
            </w:r>
          </w:p>
        </w:tc>
        <w:tc>
          <w:tcPr>
            <w:tcW w:w="786" w:type="pct"/>
            <w:tcBorders>
              <w:top w:val="single" w:color="auto" w:sz="4" w:space="0"/>
              <w:left w:val="nil"/>
              <w:bottom w:val="single" w:color="auto" w:sz="4" w:space="0"/>
              <w:right w:val="nil"/>
            </w:tcBorders>
            <w:shd w:val="clear" w:color="auto" w:fill="auto"/>
            <w:vAlign w:val="top"/>
          </w:tcPr>
          <w:p w14:paraId="3DCE51DC">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95% CI</w:t>
            </w:r>
          </w:p>
        </w:tc>
        <w:tc>
          <w:tcPr>
            <w:tcW w:w="605" w:type="pct"/>
            <w:tcBorders>
              <w:top w:val="single" w:color="auto" w:sz="4" w:space="0"/>
              <w:left w:val="nil"/>
              <w:bottom w:val="single" w:color="auto" w:sz="4" w:space="0"/>
              <w:right w:val="nil"/>
            </w:tcBorders>
            <w:shd w:val="clear" w:color="auto" w:fill="auto"/>
            <w:vAlign w:val="top"/>
          </w:tcPr>
          <w:p w14:paraId="4A2E1FFB">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P-value</w:t>
            </w:r>
          </w:p>
        </w:tc>
        <w:tc>
          <w:tcPr>
            <w:tcW w:w="738" w:type="pct"/>
            <w:tcBorders>
              <w:top w:val="single" w:color="auto" w:sz="4" w:space="0"/>
              <w:left w:val="nil"/>
              <w:bottom w:val="single" w:color="auto" w:sz="4" w:space="0"/>
              <w:right w:val="nil"/>
            </w:tcBorders>
            <w:shd w:val="clear" w:color="auto" w:fill="auto"/>
            <w:vAlign w:val="top"/>
          </w:tcPr>
          <w:p w14:paraId="06E2E767">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eastAsia" w:ascii="Times" w:hAnsi="Times" w:eastAsia="宋体" w:cs="Times New Roman"/>
                <w:color w:val="000000" w:themeColor="text1"/>
                <w:sz w:val="24"/>
                <w:szCs w:val="24"/>
                <w:lang w:val="en-US" w:eastAsia="zh-CN" w:bidi="ar-SA"/>
                <w14:textFill>
                  <w14:solidFill>
                    <w14:schemeClr w14:val="tx1"/>
                  </w14:solidFill>
                </w14:textFill>
              </w:rPr>
              <w:t>OR</w:t>
            </w:r>
          </w:p>
        </w:tc>
        <w:tc>
          <w:tcPr>
            <w:tcW w:w="786" w:type="pct"/>
            <w:tcBorders>
              <w:top w:val="single" w:color="auto" w:sz="4" w:space="0"/>
              <w:left w:val="nil"/>
              <w:bottom w:val="single" w:color="auto" w:sz="4" w:space="0"/>
              <w:right w:val="nil"/>
            </w:tcBorders>
            <w:shd w:val="clear" w:color="auto" w:fill="auto"/>
            <w:vAlign w:val="top"/>
          </w:tcPr>
          <w:p w14:paraId="5BA1C54D">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95% CI</w:t>
            </w:r>
          </w:p>
        </w:tc>
        <w:tc>
          <w:tcPr>
            <w:tcW w:w="605" w:type="pct"/>
            <w:tcBorders>
              <w:top w:val="single" w:color="auto" w:sz="4" w:space="0"/>
              <w:left w:val="nil"/>
              <w:bottom w:val="single" w:color="auto" w:sz="4" w:space="0"/>
              <w:right w:val="nil"/>
            </w:tcBorders>
            <w:shd w:val="clear" w:color="auto" w:fill="auto"/>
            <w:vAlign w:val="top"/>
          </w:tcPr>
          <w:p w14:paraId="1A2E17D0">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P-value</w:t>
            </w:r>
          </w:p>
        </w:tc>
      </w:tr>
      <w:tr w14:paraId="75CE0D9D">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408" w:hRule="atLeast"/>
        </w:trPr>
        <w:tc>
          <w:tcPr>
            <w:tcW w:w="1278" w:type="dxa"/>
            <w:tcBorders>
              <w:top w:val="single" w:color="auto" w:sz="4" w:space="0"/>
              <w:left w:val="nil"/>
              <w:bottom w:val="nil"/>
              <w:right w:val="nil"/>
            </w:tcBorders>
            <w:shd w:val="clear" w:color="auto" w:fill="auto"/>
            <w:vAlign w:val="top"/>
          </w:tcPr>
          <w:p w14:paraId="40323EA0">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LE8 Score</w:t>
            </w:r>
          </w:p>
        </w:tc>
        <w:tc>
          <w:tcPr>
            <w:tcW w:w="738" w:type="pct"/>
            <w:tcBorders>
              <w:top w:val="single" w:color="auto" w:sz="4" w:space="0"/>
              <w:left w:val="nil"/>
              <w:bottom w:val="nil"/>
              <w:right w:val="nil"/>
            </w:tcBorders>
            <w:shd w:val="clear" w:color="auto" w:fill="auto"/>
            <w:vAlign w:val="top"/>
          </w:tcPr>
          <w:p w14:paraId="6E36F6A6">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786" w:type="pct"/>
            <w:tcBorders>
              <w:top w:val="single" w:color="auto" w:sz="4" w:space="0"/>
              <w:left w:val="nil"/>
              <w:bottom w:val="nil"/>
              <w:right w:val="nil"/>
            </w:tcBorders>
            <w:shd w:val="clear" w:color="auto" w:fill="auto"/>
            <w:vAlign w:val="top"/>
          </w:tcPr>
          <w:p w14:paraId="561041F9">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605" w:type="pct"/>
            <w:tcBorders>
              <w:top w:val="single" w:color="auto" w:sz="4" w:space="0"/>
              <w:left w:val="nil"/>
              <w:bottom w:val="nil"/>
              <w:right w:val="nil"/>
            </w:tcBorders>
            <w:shd w:val="clear" w:color="auto" w:fill="auto"/>
            <w:vAlign w:val="top"/>
          </w:tcPr>
          <w:p w14:paraId="799C6150">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738" w:type="pct"/>
            <w:tcBorders>
              <w:top w:val="single" w:color="auto" w:sz="4" w:space="0"/>
              <w:left w:val="nil"/>
              <w:bottom w:val="nil"/>
              <w:right w:val="nil"/>
            </w:tcBorders>
            <w:shd w:val="clear" w:color="auto" w:fill="auto"/>
            <w:vAlign w:val="top"/>
          </w:tcPr>
          <w:p w14:paraId="35947AB8">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786" w:type="pct"/>
            <w:tcBorders>
              <w:top w:val="single" w:color="auto" w:sz="4" w:space="0"/>
              <w:left w:val="nil"/>
              <w:bottom w:val="nil"/>
              <w:right w:val="nil"/>
            </w:tcBorders>
            <w:shd w:val="clear" w:color="auto" w:fill="auto"/>
            <w:vAlign w:val="top"/>
          </w:tcPr>
          <w:p w14:paraId="6D447FB9">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605" w:type="pct"/>
            <w:tcBorders>
              <w:top w:val="single" w:color="auto" w:sz="4" w:space="0"/>
              <w:left w:val="nil"/>
              <w:bottom w:val="nil"/>
              <w:right w:val="nil"/>
            </w:tcBorders>
            <w:shd w:val="clear" w:color="auto" w:fill="auto"/>
            <w:vAlign w:val="top"/>
          </w:tcPr>
          <w:p w14:paraId="4E99283F">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r>
      <w:tr w14:paraId="70D40C8E">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65" w:hRule="atLeast"/>
        </w:trPr>
        <w:tc>
          <w:tcPr>
            <w:tcW w:w="1278" w:type="dxa"/>
            <w:tcBorders>
              <w:top w:val="nil"/>
              <w:left w:val="nil"/>
              <w:bottom w:val="nil"/>
              <w:right w:val="nil"/>
            </w:tcBorders>
            <w:shd w:val="clear" w:color="auto" w:fill="auto"/>
            <w:vAlign w:val="top"/>
          </w:tcPr>
          <w:p w14:paraId="7EAB2B8B">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Low CVH (0–49)</w:t>
            </w:r>
          </w:p>
        </w:tc>
        <w:tc>
          <w:tcPr>
            <w:tcW w:w="738" w:type="pct"/>
            <w:tcBorders>
              <w:top w:val="nil"/>
              <w:left w:val="nil"/>
              <w:bottom w:val="nil"/>
              <w:right w:val="nil"/>
            </w:tcBorders>
            <w:shd w:val="clear" w:color="auto" w:fill="auto"/>
            <w:vAlign w:val="top"/>
          </w:tcPr>
          <w:p w14:paraId="6BB8096B">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Reference</w:t>
            </w:r>
          </w:p>
        </w:tc>
        <w:tc>
          <w:tcPr>
            <w:tcW w:w="786" w:type="pct"/>
            <w:tcBorders>
              <w:top w:val="nil"/>
              <w:left w:val="nil"/>
              <w:bottom w:val="nil"/>
              <w:right w:val="nil"/>
            </w:tcBorders>
            <w:shd w:val="clear" w:color="auto" w:fill="auto"/>
            <w:vAlign w:val="top"/>
          </w:tcPr>
          <w:p w14:paraId="50F11C7A">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605" w:type="pct"/>
            <w:tcBorders>
              <w:top w:val="nil"/>
              <w:left w:val="nil"/>
              <w:bottom w:val="nil"/>
              <w:right w:val="nil"/>
            </w:tcBorders>
            <w:shd w:val="clear" w:color="auto" w:fill="auto"/>
            <w:vAlign w:val="top"/>
          </w:tcPr>
          <w:p w14:paraId="15382882">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738" w:type="pct"/>
            <w:tcBorders>
              <w:top w:val="nil"/>
              <w:left w:val="nil"/>
              <w:bottom w:val="nil"/>
              <w:right w:val="nil"/>
            </w:tcBorders>
            <w:shd w:val="clear" w:color="auto" w:fill="auto"/>
            <w:vAlign w:val="top"/>
          </w:tcPr>
          <w:p w14:paraId="6C0A301B">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Reference</w:t>
            </w:r>
          </w:p>
        </w:tc>
        <w:tc>
          <w:tcPr>
            <w:tcW w:w="786" w:type="pct"/>
            <w:tcBorders>
              <w:top w:val="nil"/>
              <w:left w:val="nil"/>
              <w:bottom w:val="nil"/>
              <w:right w:val="nil"/>
            </w:tcBorders>
            <w:shd w:val="clear" w:color="auto" w:fill="auto"/>
            <w:vAlign w:val="top"/>
          </w:tcPr>
          <w:p w14:paraId="11230A42">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c>
          <w:tcPr>
            <w:tcW w:w="605" w:type="pct"/>
            <w:tcBorders>
              <w:top w:val="nil"/>
              <w:left w:val="nil"/>
              <w:bottom w:val="nil"/>
              <w:right w:val="nil"/>
            </w:tcBorders>
            <w:shd w:val="clear" w:color="auto" w:fill="auto"/>
            <w:vAlign w:val="top"/>
          </w:tcPr>
          <w:p w14:paraId="478D0E03">
            <w:pPr>
              <w:keepNext w:val="0"/>
              <w:keepLines w:val="0"/>
              <w:widowControl/>
              <w:suppressLineNumbers w:val="0"/>
              <w:spacing w:before="120" w:beforeAutospacing="0" w:after="240" w:afterAutospacing="0"/>
              <w:ind w:left="0" w:right="0"/>
              <w:jc w:val="center"/>
              <w:rPr>
                <w:rFonts w:ascii="Times" w:hAnsi="Times" w:eastAsia="宋体" w:cs="Times New Roman"/>
                <w:color w:val="000000" w:themeColor="text1"/>
                <w:sz w:val="24"/>
                <w:szCs w:val="24"/>
                <w:lang w:val="en-US" w:eastAsia="zh-CN" w:bidi="ar-SA"/>
                <w14:textFill>
                  <w14:solidFill>
                    <w14:schemeClr w14:val="tx1"/>
                  </w14:solidFill>
                </w14:textFill>
              </w:rPr>
            </w:pPr>
          </w:p>
        </w:tc>
      </w:tr>
      <w:tr w14:paraId="3CBB8099">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65" w:hRule="atLeast"/>
        </w:trPr>
        <w:tc>
          <w:tcPr>
            <w:tcW w:w="1278" w:type="dxa"/>
            <w:tcBorders>
              <w:top w:val="nil"/>
              <w:left w:val="nil"/>
              <w:bottom w:val="nil"/>
              <w:right w:val="nil"/>
            </w:tcBorders>
            <w:shd w:val="clear" w:color="auto" w:fill="auto"/>
            <w:vAlign w:val="top"/>
          </w:tcPr>
          <w:p w14:paraId="3A29AE6F">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Moderate CVH (50–79)</w:t>
            </w:r>
          </w:p>
        </w:tc>
        <w:tc>
          <w:tcPr>
            <w:tcW w:w="1385" w:type="dxa"/>
            <w:tcBorders>
              <w:top w:val="nil"/>
              <w:left w:val="nil"/>
              <w:bottom w:val="nil"/>
              <w:right w:val="nil"/>
            </w:tcBorders>
            <w:shd w:val="clear" w:color="auto" w:fill="auto"/>
            <w:vAlign w:val="top"/>
          </w:tcPr>
          <w:p w14:paraId="5BBE32A1">
            <w:pPr>
              <w:keepNext w:val="0"/>
              <w:keepLines w:val="0"/>
              <w:widowControl/>
              <w:suppressLineNumbers w:val="0"/>
              <w:spacing w:before="120" w:beforeAutospacing="0" w:after="240" w:afterAutospacing="0"/>
              <w:ind w:left="0" w:leftChars="0" w:right="0" w:rightChars="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0.</w:t>
            </w:r>
            <w:r>
              <w:rPr>
                <w:rFonts w:hint="eastAsia" w:cs="Times New Roman"/>
                <w:color w:val="000000" w:themeColor="text1"/>
                <w:sz w:val="24"/>
                <w:szCs w:val="24"/>
                <w:lang w:val="en-US" w:eastAsia="zh-CN" w:bidi="ar-SA"/>
                <w14:textFill>
                  <w14:solidFill>
                    <w14:schemeClr w14:val="tx1"/>
                  </w14:solidFill>
                </w14:textFill>
              </w:rPr>
              <w:t>36</w:t>
            </w:r>
          </w:p>
        </w:tc>
        <w:tc>
          <w:tcPr>
            <w:tcW w:w="1475" w:type="dxa"/>
            <w:tcBorders>
              <w:top w:val="nil"/>
              <w:left w:val="nil"/>
              <w:bottom w:val="nil"/>
              <w:right w:val="nil"/>
            </w:tcBorders>
            <w:shd w:val="clear" w:color="auto" w:fill="auto"/>
            <w:vAlign w:val="top"/>
          </w:tcPr>
          <w:p w14:paraId="3ECEC2BA">
            <w:pPr>
              <w:keepNext w:val="0"/>
              <w:keepLines w:val="0"/>
              <w:widowControl/>
              <w:suppressLineNumbers w:val="0"/>
              <w:spacing w:before="120" w:beforeAutospacing="0" w:after="240" w:afterAutospacing="0"/>
              <w:ind w:left="0" w:leftChars="0" w:right="0" w:rightChars="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(0.31,0.43)</w:t>
            </w:r>
          </w:p>
        </w:tc>
        <w:tc>
          <w:tcPr>
            <w:tcW w:w="1141" w:type="dxa"/>
            <w:tcBorders>
              <w:top w:val="nil"/>
              <w:left w:val="nil"/>
              <w:bottom w:val="nil"/>
              <w:right w:val="nil"/>
            </w:tcBorders>
            <w:shd w:val="clear" w:color="auto" w:fill="auto"/>
            <w:vAlign w:val="top"/>
          </w:tcPr>
          <w:p w14:paraId="0C3262A0">
            <w:pPr>
              <w:keepNext w:val="0"/>
              <w:keepLines w:val="0"/>
              <w:widowControl/>
              <w:suppressLineNumbers w:val="0"/>
              <w:spacing w:before="120" w:beforeAutospacing="0" w:after="240" w:afterAutospacing="0"/>
              <w:ind w:left="0" w:leftChars="0" w:right="0" w:rightChars="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&lt;0.001</w:t>
            </w:r>
          </w:p>
        </w:tc>
        <w:tc>
          <w:tcPr>
            <w:tcW w:w="1385" w:type="dxa"/>
            <w:tcBorders>
              <w:top w:val="nil"/>
              <w:left w:val="nil"/>
              <w:bottom w:val="nil"/>
              <w:right w:val="nil"/>
            </w:tcBorders>
            <w:shd w:val="clear" w:color="auto" w:fill="auto"/>
            <w:vAlign w:val="top"/>
          </w:tcPr>
          <w:p w14:paraId="0236AE41">
            <w:pPr>
              <w:keepNext w:val="0"/>
              <w:keepLines w:val="0"/>
              <w:widowControl/>
              <w:suppressLineNumbers w:val="0"/>
              <w:spacing w:before="120" w:beforeAutospacing="0" w:after="240" w:afterAutospacing="0"/>
              <w:ind w:left="0" w:leftChars="0" w:right="0" w:rightChars="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0.4</w:t>
            </w:r>
            <w:r>
              <w:rPr>
                <w:rFonts w:hint="eastAsia" w:cs="Times New Roman"/>
                <w:color w:val="000000" w:themeColor="text1"/>
                <w:sz w:val="24"/>
                <w:szCs w:val="24"/>
                <w:lang w:val="en-US" w:eastAsia="zh-CN" w:bidi="ar-SA"/>
                <w14:textFill>
                  <w14:solidFill>
                    <w14:schemeClr w14:val="tx1"/>
                  </w14:solidFill>
                </w14:textFill>
              </w:rPr>
              <w:t>3</w:t>
            </w:r>
          </w:p>
        </w:tc>
        <w:tc>
          <w:tcPr>
            <w:tcW w:w="1475" w:type="dxa"/>
            <w:tcBorders>
              <w:top w:val="nil"/>
              <w:left w:val="nil"/>
              <w:bottom w:val="nil"/>
              <w:right w:val="nil"/>
            </w:tcBorders>
            <w:shd w:val="clear" w:color="auto" w:fill="auto"/>
            <w:vAlign w:val="top"/>
          </w:tcPr>
          <w:p w14:paraId="3776303D">
            <w:pPr>
              <w:keepNext w:val="0"/>
              <w:keepLines w:val="0"/>
              <w:widowControl/>
              <w:suppressLineNumbers w:val="0"/>
              <w:spacing w:before="120" w:beforeAutospacing="0" w:after="240" w:afterAutospacing="0"/>
              <w:ind w:left="0" w:leftChars="0" w:right="0" w:rightChars="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(0.</w:t>
            </w:r>
            <w:r>
              <w:rPr>
                <w:rFonts w:hint="eastAsia" w:cs="Times New Roman"/>
                <w:color w:val="000000" w:themeColor="text1"/>
                <w:sz w:val="24"/>
                <w:szCs w:val="24"/>
                <w:lang w:val="en-US" w:eastAsia="zh-CN" w:bidi="ar-SA"/>
                <w14:textFill>
                  <w14:solidFill>
                    <w14:schemeClr w14:val="tx1"/>
                  </w14:solidFill>
                </w14:textFill>
              </w:rPr>
              <w:t>36</w:t>
            </w:r>
            <w:r>
              <w:rPr>
                <w:rFonts w:hint="default" w:ascii="Times" w:hAnsi="Times" w:eastAsia="宋体" w:cs="Times New Roman"/>
                <w:color w:val="000000" w:themeColor="text1"/>
                <w:sz w:val="24"/>
                <w:szCs w:val="24"/>
                <w:lang w:val="en-US" w:eastAsia="zh-CN" w:bidi="ar-SA"/>
                <w14:textFill>
                  <w14:solidFill>
                    <w14:schemeClr w14:val="tx1"/>
                  </w14:solidFill>
                </w14:textFill>
              </w:rPr>
              <w:t>,</w:t>
            </w:r>
            <w:r>
              <w:rPr>
                <w:rFonts w:hint="eastAsia" w:cs="Times New Roman"/>
                <w:color w:val="000000" w:themeColor="text1"/>
                <w:sz w:val="24"/>
                <w:szCs w:val="24"/>
                <w:lang w:val="en-US" w:eastAsia="zh-CN" w:bidi="ar-SA"/>
                <w14:textFill>
                  <w14:solidFill>
                    <w14:schemeClr w14:val="tx1"/>
                  </w14:solidFill>
                </w14:textFill>
              </w:rPr>
              <w:t>0.51</w:t>
            </w:r>
            <w:r>
              <w:rPr>
                <w:rFonts w:hint="default" w:ascii="Times" w:hAnsi="Times" w:eastAsia="宋体" w:cs="Times New Roman"/>
                <w:color w:val="000000" w:themeColor="text1"/>
                <w:sz w:val="24"/>
                <w:szCs w:val="24"/>
                <w:lang w:val="en-US" w:eastAsia="zh-CN" w:bidi="ar-SA"/>
                <w14:textFill>
                  <w14:solidFill>
                    <w14:schemeClr w14:val="tx1"/>
                  </w14:solidFill>
                </w14:textFill>
              </w:rPr>
              <w:t>)</w:t>
            </w:r>
          </w:p>
        </w:tc>
        <w:tc>
          <w:tcPr>
            <w:tcW w:w="1141" w:type="dxa"/>
            <w:tcBorders>
              <w:top w:val="nil"/>
              <w:left w:val="nil"/>
              <w:bottom w:val="nil"/>
              <w:right w:val="nil"/>
            </w:tcBorders>
            <w:shd w:val="clear" w:color="auto" w:fill="auto"/>
            <w:vAlign w:val="top"/>
          </w:tcPr>
          <w:p w14:paraId="0DE0D109">
            <w:pPr>
              <w:keepNext w:val="0"/>
              <w:keepLines w:val="0"/>
              <w:widowControl/>
              <w:suppressLineNumbers w:val="0"/>
              <w:spacing w:before="120" w:beforeAutospacing="0" w:after="240" w:afterAutospacing="0"/>
              <w:ind w:left="0" w:leftChars="0" w:right="0" w:rightChars="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&lt;0.001</w:t>
            </w:r>
          </w:p>
        </w:tc>
      </w:tr>
      <w:tr w14:paraId="592130A2">
        <w:tblPrEx>
          <w:tblBorders>
            <w:top w:val="single" w:color="auto" w:sz="4" w:space="0"/>
            <w:left w:val="none" w:color="auto" w:sz="4" w:space="0"/>
            <w:bottom w:val="single" w:color="auto" w:sz="4" w:space="0"/>
            <w:right w:val="none" w:color="auto" w:sz="4" w:space="0"/>
            <w:insideH w:val="none" w:color="auto" w:sz="4" w:space="0"/>
            <w:insideV w:val="none" w:color="auto" w:sz="4" w:space="0"/>
          </w:tblBorders>
          <w:tblCellMar>
            <w:top w:w="0" w:type="dxa"/>
            <w:left w:w="108" w:type="dxa"/>
            <w:bottom w:w="0" w:type="dxa"/>
            <w:right w:w="108" w:type="dxa"/>
          </w:tblCellMar>
        </w:tblPrEx>
        <w:trPr>
          <w:trHeight w:val="375" w:hRule="atLeast"/>
        </w:trPr>
        <w:tc>
          <w:tcPr>
            <w:tcW w:w="1278" w:type="dxa"/>
            <w:tcBorders>
              <w:top w:val="nil"/>
              <w:left w:val="nil"/>
              <w:bottom w:val="single" w:color="auto" w:sz="4" w:space="0"/>
              <w:right w:val="nil"/>
            </w:tcBorders>
            <w:shd w:val="clear" w:color="auto" w:fill="auto"/>
            <w:vAlign w:val="top"/>
          </w:tcPr>
          <w:p w14:paraId="5246D86D">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High CVH (80–100)</w:t>
            </w:r>
          </w:p>
        </w:tc>
        <w:tc>
          <w:tcPr>
            <w:tcW w:w="1385" w:type="dxa"/>
            <w:tcBorders>
              <w:top w:val="nil"/>
              <w:left w:val="nil"/>
              <w:bottom w:val="single" w:color="auto" w:sz="4" w:space="0"/>
              <w:right w:val="nil"/>
            </w:tcBorders>
            <w:shd w:val="clear" w:color="auto" w:fill="auto"/>
            <w:vAlign w:val="top"/>
          </w:tcPr>
          <w:p w14:paraId="585300F0">
            <w:pPr>
              <w:keepNext w:val="0"/>
              <w:keepLines w:val="0"/>
              <w:widowControl/>
              <w:suppressLineNumbers w:val="0"/>
              <w:spacing w:before="120" w:beforeAutospacing="0" w:after="240" w:afterAutospacing="0"/>
              <w:ind w:left="0" w:right="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0.13</w:t>
            </w:r>
          </w:p>
          <w:p w14:paraId="490D1618">
            <w:pPr>
              <w:keepNext w:val="0"/>
              <w:keepLines w:val="0"/>
              <w:widowControl/>
              <w:suppressLineNumbers w:val="0"/>
              <w:spacing w:before="120" w:beforeAutospacing="0" w:after="240" w:afterAutospacing="0"/>
              <w:ind w:left="0" w:leftChars="0" w:right="0" w:rightChars="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p>
        </w:tc>
        <w:tc>
          <w:tcPr>
            <w:tcW w:w="1475" w:type="dxa"/>
            <w:tcBorders>
              <w:top w:val="nil"/>
              <w:left w:val="nil"/>
              <w:bottom w:val="single" w:color="auto" w:sz="4" w:space="0"/>
              <w:right w:val="nil"/>
            </w:tcBorders>
            <w:shd w:val="clear" w:color="auto" w:fill="auto"/>
            <w:vAlign w:val="top"/>
          </w:tcPr>
          <w:p w14:paraId="0CD7256E">
            <w:pPr>
              <w:keepNext w:val="0"/>
              <w:keepLines w:val="0"/>
              <w:widowControl/>
              <w:suppressLineNumbers w:val="0"/>
              <w:spacing w:before="120" w:beforeAutospacing="0" w:after="240" w:afterAutospacing="0"/>
              <w:ind w:left="0" w:leftChars="0" w:right="0" w:rightChars="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(0.10,0.17)</w:t>
            </w:r>
          </w:p>
        </w:tc>
        <w:tc>
          <w:tcPr>
            <w:tcW w:w="1141" w:type="dxa"/>
            <w:tcBorders>
              <w:top w:val="nil"/>
              <w:left w:val="nil"/>
              <w:bottom w:val="single" w:color="auto" w:sz="4" w:space="0"/>
              <w:right w:val="nil"/>
            </w:tcBorders>
            <w:shd w:val="clear" w:color="auto" w:fill="auto"/>
            <w:vAlign w:val="top"/>
          </w:tcPr>
          <w:p w14:paraId="689395C5">
            <w:pPr>
              <w:keepNext w:val="0"/>
              <w:keepLines w:val="0"/>
              <w:widowControl/>
              <w:suppressLineNumbers w:val="0"/>
              <w:spacing w:before="120" w:beforeAutospacing="0" w:after="240" w:afterAutospacing="0"/>
              <w:ind w:left="0" w:leftChars="0" w:right="0" w:rightChars="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&lt;0.001</w:t>
            </w:r>
          </w:p>
        </w:tc>
        <w:tc>
          <w:tcPr>
            <w:tcW w:w="1385" w:type="dxa"/>
            <w:tcBorders>
              <w:top w:val="nil"/>
              <w:left w:val="nil"/>
              <w:bottom w:val="single" w:color="auto" w:sz="4" w:space="0"/>
              <w:right w:val="nil"/>
            </w:tcBorders>
            <w:shd w:val="clear" w:color="auto" w:fill="auto"/>
            <w:vAlign w:val="top"/>
          </w:tcPr>
          <w:p w14:paraId="117AE042">
            <w:pPr>
              <w:keepNext w:val="0"/>
              <w:keepLines w:val="0"/>
              <w:widowControl/>
              <w:suppressLineNumbers w:val="0"/>
              <w:spacing w:before="120" w:beforeAutospacing="0" w:after="240" w:afterAutospacing="0"/>
              <w:ind w:left="0" w:leftChars="0" w:right="0" w:rightChars="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eastAsia" w:cs="Times New Roman"/>
                <w:color w:val="000000" w:themeColor="text1"/>
                <w:sz w:val="24"/>
                <w:szCs w:val="24"/>
                <w:lang w:val="en-US" w:eastAsia="zh-CN" w:bidi="ar-SA"/>
                <w14:textFill>
                  <w14:solidFill>
                    <w14:schemeClr w14:val="tx1"/>
                  </w14:solidFill>
                </w14:textFill>
              </w:rPr>
              <w:t>0.16</w:t>
            </w:r>
          </w:p>
        </w:tc>
        <w:tc>
          <w:tcPr>
            <w:tcW w:w="1475" w:type="dxa"/>
            <w:tcBorders>
              <w:top w:val="nil"/>
              <w:left w:val="nil"/>
              <w:bottom w:val="single" w:color="auto" w:sz="4" w:space="0"/>
              <w:right w:val="nil"/>
            </w:tcBorders>
            <w:shd w:val="clear" w:color="auto" w:fill="auto"/>
            <w:vAlign w:val="top"/>
          </w:tcPr>
          <w:p w14:paraId="5C1AF05F">
            <w:pPr>
              <w:keepNext w:val="0"/>
              <w:keepLines w:val="0"/>
              <w:widowControl/>
              <w:suppressLineNumbers w:val="0"/>
              <w:spacing w:before="120" w:beforeAutospacing="0" w:after="240" w:afterAutospacing="0"/>
              <w:ind w:left="0" w:leftChars="0" w:right="0" w:rightChars="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(0.</w:t>
            </w:r>
            <w:r>
              <w:rPr>
                <w:rFonts w:hint="eastAsia" w:cs="Times New Roman"/>
                <w:color w:val="000000" w:themeColor="text1"/>
                <w:sz w:val="24"/>
                <w:szCs w:val="24"/>
                <w:lang w:val="en-US" w:eastAsia="zh-CN" w:bidi="ar-SA"/>
                <w14:textFill>
                  <w14:solidFill>
                    <w14:schemeClr w14:val="tx1"/>
                  </w14:solidFill>
                </w14:textFill>
              </w:rPr>
              <w:t>12</w:t>
            </w:r>
            <w:r>
              <w:rPr>
                <w:rFonts w:hint="default" w:ascii="Times" w:hAnsi="Times" w:eastAsia="宋体" w:cs="Times New Roman"/>
                <w:color w:val="000000" w:themeColor="text1"/>
                <w:sz w:val="24"/>
                <w:szCs w:val="24"/>
                <w:lang w:val="en-US" w:eastAsia="zh-CN" w:bidi="ar-SA"/>
                <w14:textFill>
                  <w14:solidFill>
                    <w14:schemeClr w14:val="tx1"/>
                  </w14:solidFill>
                </w14:textFill>
              </w:rPr>
              <w:t>,</w:t>
            </w:r>
            <w:r>
              <w:rPr>
                <w:rFonts w:hint="eastAsia" w:cs="Times New Roman"/>
                <w:color w:val="000000" w:themeColor="text1"/>
                <w:sz w:val="24"/>
                <w:szCs w:val="24"/>
                <w:lang w:val="en-US" w:eastAsia="zh-CN" w:bidi="ar-SA"/>
                <w14:textFill>
                  <w14:solidFill>
                    <w14:schemeClr w14:val="tx1"/>
                  </w14:solidFill>
                </w14:textFill>
              </w:rPr>
              <w:t>0.21</w:t>
            </w:r>
            <w:r>
              <w:rPr>
                <w:rFonts w:hint="default" w:ascii="Times" w:hAnsi="Times" w:eastAsia="宋体" w:cs="Times New Roman"/>
                <w:color w:val="000000" w:themeColor="text1"/>
                <w:sz w:val="24"/>
                <w:szCs w:val="24"/>
                <w:lang w:val="en-US" w:eastAsia="zh-CN" w:bidi="ar-SA"/>
                <w14:textFill>
                  <w14:solidFill>
                    <w14:schemeClr w14:val="tx1"/>
                  </w14:solidFill>
                </w14:textFill>
              </w:rPr>
              <w:t>)</w:t>
            </w:r>
          </w:p>
        </w:tc>
        <w:tc>
          <w:tcPr>
            <w:tcW w:w="1141" w:type="dxa"/>
            <w:tcBorders>
              <w:top w:val="nil"/>
              <w:left w:val="nil"/>
              <w:bottom w:val="single" w:color="auto" w:sz="4" w:space="0"/>
              <w:right w:val="nil"/>
            </w:tcBorders>
            <w:shd w:val="clear" w:color="auto" w:fill="auto"/>
            <w:vAlign w:val="top"/>
          </w:tcPr>
          <w:p w14:paraId="56452AE1">
            <w:pPr>
              <w:keepNext w:val="0"/>
              <w:keepLines w:val="0"/>
              <w:widowControl/>
              <w:suppressLineNumbers w:val="0"/>
              <w:spacing w:before="120" w:beforeAutospacing="0" w:after="240" w:afterAutospacing="0"/>
              <w:ind w:left="0" w:leftChars="0" w:right="0" w:rightChars="0"/>
              <w:jc w:val="center"/>
              <w:rPr>
                <w:rFonts w:hint="default" w:ascii="Times" w:hAnsi="Times" w:eastAsia="宋体" w:cs="Times New Roman"/>
                <w:color w:val="000000" w:themeColor="text1"/>
                <w:sz w:val="24"/>
                <w:szCs w:val="24"/>
                <w:lang w:val="en-US" w:eastAsia="zh-CN" w:bidi="ar-SA"/>
                <w14:textFill>
                  <w14:solidFill>
                    <w14:schemeClr w14:val="tx1"/>
                  </w14:solidFill>
                </w14:textFill>
              </w:rPr>
            </w:pPr>
            <w:r>
              <w:rPr>
                <w:rFonts w:hint="default" w:ascii="Times" w:hAnsi="Times" w:eastAsia="宋体" w:cs="Times New Roman"/>
                <w:color w:val="000000" w:themeColor="text1"/>
                <w:sz w:val="24"/>
                <w:szCs w:val="24"/>
                <w:lang w:val="en-US" w:eastAsia="zh-CN" w:bidi="ar-SA"/>
                <w14:textFill>
                  <w14:solidFill>
                    <w14:schemeClr w14:val="tx1"/>
                  </w14:solidFill>
                </w14:textFill>
              </w:rPr>
              <w:t>&lt;0.001</w:t>
            </w:r>
          </w:p>
        </w:tc>
      </w:tr>
    </w:tbl>
    <w:p w14:paraId="6ADBF7E6">
      <w:pPr>
        <w:rPr>
          <w:rFonts w:hint="eastAsia"/>
        </w:rPr>
      </w:pPr>
    </w:p>
    <w:p w14:paraId="6BB32C33">
      <w:pPr>
        <w:rPr>
          <w:rFonts w:hint="eastAsia"/>
        </w:rPr>
      </w:pPr>
      <w:r>
        <w:rPr>
          <w:rFonts w:hint="eastAsia"/>
        </w:rPr>
        <w:t xml:space="preserve">Notes: CVH, cardiovascular health; </w:t>
      </w:r>
      <w:r>
        <w:rPr>
          <w:rFonts w:hint="eastAsia"/>
          <w:lang w:val="en-US" w:eastAsia="zh-CN"/>
        </w:rPr>
        <w:t>OR, o</w:t>
      </w:r>
      <w:r>
        <w:rPr>
          <w:rFonts w:hint="eastAsia"/>
        </w:rPr>
        <w:t xml:space="preserve">dds </w:t>
      </w:r>
      <w:r>
        <w:rPr>
          <w:rFonts w:hint="eastAsia"/>
          <w:lang w:val="en-US" w:eastAsia="zh-CN"/>
        </w:rPr>
        <w:t>r</w:t>
      </w:r>
      <w:r>
        <w:rPr>
          <w:rFonts w:hint="eastAsia"/>
        </w:rPr>
        <w:t>atio</w:t>
      </w:r>
      <w:r>
        <w:rPr>
          <w:rFonts w:hint="eastAsia"/>
          <w:lang w:val="en-US" w:eastAsia="zh-CN"/>
        </w:rPr>
        <w:t xml:space="preserve">; </w:t>
      </w:r>
      <w:r>
        <w:rPr>
          <w:rFonts w:hint="eastAsia"/>
        </w:rPr>
        <w:t>CI,</w:t>
      </w:r>
      <w:r>
        <w:rPr>
          <w:rFonts w:hint="eastAsia"/>
          <w:lang w:val="en-US" w:eastAsia="zh-CN"/>
        </w:rPr>
        <w:t xml:space="preserve"> </w:t>
      </w:r>
      <w:r>
        <w:rPr>
          <w:rFonts w:hint="eastAsia"/>
        </w:rPr>
        <w:t>confidence interval; PHQ-9, Patient Health Questionnaire-9;</w:t>
      </w:r>
      <w:r>
        <w:rPr>
          <w:rFonts w:hint="eastAsia"/>
          <w:lang w:val="en-US" w:eastAsia="zh-CN"/>
        </w:rPr>
        <w:t xml:space="preserve"> </w:t>
      </w:r>
      <w:r>
        <w:rPr>
          <w:rFonts w:hint="eastAsia"/>
        </w:rPr>
        <w:t xml:space="preserve">Crude Model, </w:t>
      </w:r>
      <w:r>
        <w:rPr>
          <w:rFonts w:hint="eastAsia"/>
          <w:lang w:val="en-US" w:eastAsia="zh-CN"/>
        </w:rPr>
        <w:t>n</w:t>
      </w:r>
      <w:r>
        <w:rPr>
          <w:rFonts w:hint="eastAsia"/>
        </w:rPr>
        <w:t xml:space="preserve">o covariates were adjusted. Multivariable model, </w:t>
      </w:r>
      <w:r>
        <w:rPr>
          <w:rFonts w:hint="eastAsia"/>
          <w:lang w:val="en-US" w:eastAsia="zh-CN"/>
        </w:rPr>
        <w:t>a</w:t>
      </w:r>
      <w:r>
        <w:rPr>
          <w:rFonts w:hint="eastAsia"/>
        </w:rPr>
        <w:t>djusted for sex, age, race/ethnicity, education level and poverty-income ratio.</w:t>
      </w:r>
    </w:p>
    <w:p w14:paraId="79F6B1E1">
      <w:pPr>
        <w:rPr>
          <w:rFonts w:hint="eastAsia"/>
        </w:rPr>
      </w:pPr>
    </w:p>
    <w:sectPr>
      <w:footnotePr>
        <w:numFmt w:val="decimal"/>
      </w:footnote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0000500000000000000"/>
    <w:charset w:val="00"/>
    <w:family w:val="roman"/>
    <w:pitch w:val="default"/>
    <w:sig w:usb0="00000000" w:usb1="00000000" w:usb2="00000000" w:usb3="00000000" w:csb0="00000001" w:csb1="00000000"/>
  </w:font>
  <w:font w:name="Cambria Math">
    <w:panose1 w:val="02040503050406030204"/>
    <w:charset w:val="00"/>
    <w:family w:val="auto"/>
    <w:pitch w:val="variable"/>
    <w:sig w:usb0="E00006FF" w:usb1="420024FF" w:usb2="02000000" w:usb3="00000000" w:csb0="2000019F" w:csb1="00000000"/>
  </w:font>
  <w:font w:name="@宋体">
    <w:panose1 w:val="02010600030101010101"/>
    <w:charset w:val="86"/>
    <w:family w:val="auto"/>
    <w:pitch w:val="variable"/>
    <w:sig w:usb0="00000203" w:usb1="288F0000" w:usb2="00000006" w:usb3="00000000" w:csb0="00040001" w:csb1="00000000"/>
  </w:font>
  <w:font w:name="Times New Roman Regular">
    <w:altName w:val="Times New Roman"/>
    <w:panose1 w:val="00000000000000000000"/>
    <w:charset w:val="00"/>
    <w:family w:val="auto"/>
    <w:pitch w:val="default"/>
    <w:sig w:usb0="00000000" w:usb1="00000000" w:usb2="00000000" w:usb3="00000000" w:csb0="00000000" w:csb1="00000000"/>
  </w:font>
  <w:font w:name="LXGWWenKaiGBScree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0">
    <w:p>
      <w:r>
        <w:separator/>
      </w:r>
    </w:p>
  </w:footnote>
  <w:footnote w:type="continuationSeparator" w:id="21">
    <w:p>
      <w:r>
        <w:continuationSeparator/>
      </w:r>
    </w:p>
  </w:footnote>
  <w:footnote w:id="0">
    <w:p w14:paraId="6E4D4029">
      <w:pPr>
        <w:pStyle w:val="3"/>
        <w:snapToGrid w:val="0"/>
        <w:rPr>
          <w:rFonts w:ascii="Times" w:hAnsi="Times" w:eastAsia="Times New Roman" w:cs="Times New Roman"/>
          <w:color w:val="212529"/>
          <w:sz w:val="24"/>
          <w:szCs w:val="24"/>
          <w:lang w:val="en-US" w:eastAsia="zh-CN" w:bidi="ar-SA"/>
        </w:rPr>
      </w:pPr>
      <w:r>
        <w:rPr>
          <w:rFonts w:ascii="Times" w:hAnsi="Times" w:eastAsia="Times New Roman" w:cs="Times New Roman"/>
          <w:color w:val="212529"/>
          <w:sz w:val="24"/>
          <w:szCs w:val="24"/>
          <w:lang w:val="en-US" w:eastAsia="zh-CN" w:bidi="ar-SA"/>
        </w:rPr>
        <w:footnoteRef/>
      </w:r>
      <w:r>
        <w:rPr>
          <w:rFonts w:ascii="Times" w:hAnsi="Times" w:eastAsia="Times New Roman" w:cs="Times New Roman"/>
          <w:color w:val="212529"/>
          <w:sz w:val="24"/>
          <w:szCs w:val="24"/>
          <w:lang w:val="en-US" w:eastAsia="zh-CN" w:bidi="ar-SA"/>
        </w:rPr>
        <w:t xml:space="preserve"> Intakes between the minimum and maximum standards are scored proportionately</w:t>
      </w:r>
    </w:p>
  </w:footnote>
  <w:footnote w:id="1">
    <w:p w14:paraId="06EF9A4B">
      <w:pPr>
        <w:pStyle w:val="3"/>
        <w:snapToGrid w:val="0"/>
        <w:rPr>
          <w:rFonts w:ascii="Times" w:hAnsi="Times" w:eastAsia="Times New Roman" w:cs="Times New Roman"/>
          <w:color w:val="212529"/>
          <w:sz w:val="24"/>
          <w:szCs w:val="24"/>
          <w:lang w:val="en-US" w:eastAsia="zh-CN" w:bidi="ar-SA"/>
        </w:rPr>
      </w:pPr>
      <w:r>
        <w:rPr>
          <w:rFonts w:ascii="Times" w:hAnsi="Times" w:eastAsia="Times New Roman" w:cs="Times New Roman"/>
          <w:color w:val="212529"/>
          <w:sz w:val="24"/>
          <w:szCs w:val="24"/>
          <w:lang w:val="en-US" w:eastAsia="zh-CN" w:bidi="ar-SA"/>
        </w:rPr>
        <w:footnoteRef/>
      </w:r>
      <w:r>
        <w:rPr>
          <w:rFonts w:ascii="Times" w:hAnsi="Times" w:eastAsia="Times New Roman" w:cs="Times New Roman"/>
          <w:color w:val="212529"/>
          <w:sz w:val="24"/>
          <w:szCs w:val="24"/>
          <w:lang w:val="en-US" w:eastAsia="zh-CN" w:bidi="ar-SA"/>
        </w:rPr>
        <w:t xml:space="preserve"> </w:t>
      </w:r>
      <w:r>
        <w:rPr>
          <w:rFonts w:hint="eastAsia" w:ascii="Times" w:hAnsi="Times" w:eastAsia="Times New Roman" w:cs="Times New Roman"/>
          <w:color w:val="212529"/>
          <w:sz w:val="24"/>
          <w:szCs w:val="24"/>
          <w:lang w:val="en-US" w:eastAsia="zh-CN" w:bidi="ar-SA"/>
        </w:rPr>
        <w:t>Adequacy components represent the food groups, subgroups, and dietary elements that are encouraged. For these components, higher scores reflect higher intakes, because higher intakes are desirable</w:t>
      </w:r>
    </w:p>
  </w:footnote>
  <w:footnote w:id="2">
    <w:p w14:paraId="162FE70A">
      <w:pPr>
        <w:pStyle w:val="3"/>
        <w:snapToGrid w:val="0"/>
        <w:rPr>
          <w:rFonts w:ascii="Times" w:hAnsi="Times" w:eastAsia="Times New Roman" w:cs="Times New Roman"/>
          <w:color w:val="212529"/>
          <w:sz w:val="24"/>
          <w:szCs w:val="24"/>
          <w:lang w:val="en-US" w:eastAsia="zh-CN" w:bidi="ar-SA"/>
        </w:rPr>
      </w:pPr>
      <w:r>
        <w:rPr>
          <w:rFonts w:ascii="Times" w:hAnsi="Times" w:eastAsia="Times New Roman" w:cs="Times New Roman"/>
          <w:color w:val="212529"/>
          <w:sz w:val="24"/>
          <w:szCs w:val="24"/>
          <w:lang w:val="en-US" w:eastAsia="zh-CN" w:bidi="ar-SA"/>
        </w:rPr>
        <w:footnoteRef/>
      </w:r>
      <w:r>
        <w:rPr>
          <w:rFonts w:ascii="Times" w:hAnsi="Times" w:eastAsia="Times New Roman" w:cs="Times New Roman"/>
          <w:color w:val="212529"/>
          <w:sz w:val="24"/>
          <w:szCs w:val="24"/>
          <w:lang w:val="en-US" w:eastAsia="zh-CN" w:bidi="ar-SA"/>
        </w:rPr>
        <w:t xml:space="preserve"> Includes 100% fruit juice</w:t>
      </w:r>
    </w:p>
  </w:footnote>
  <w:footnote w:id="3">
    <w:p w14:paraId="77FD8062">
      <w:pPr>
        <w:pStyle w:val="3"/>
        <w:snapToGrid w:val="0"/>
        <w:rPr>
          <w:rFonts w:ascii="Times" w:hAnsi="Times" w:eastAsia="Times New Roman" w:cs="Times New Roman"/>
          <w:color w:val="212529"/>
          <w:sz w:val="24"/>
          <w:szCs w:val="24"/>
          <w:lang w:val="en-US" w:eastAsia="zh-CN" w:bidi="ar-SA"/>
        </w:rPr>
      </w:pPr>
      <w:r>
        <w:rPr>
          <w:rFonts w:ascii="Times" w:hAnsi="Times" w:eastAsia="Times New Roman" w:cs="Times New Roman"/>
          <w:color w:val="212529"/>
          <w:sz w:val="24"/>
          <w:szCs w:val="24"/>
          <w:lang w:val="en-US" w:eastAsia="zh-CN" w:bidi="ar-SA"/>
        </w:rPr>
        <w:footnoteRef/>
      </w:r>
      <w:r>
        <w:rPr>
          <w:rFonts w:ascii="Times" w:hAnsi="Times" w:eastAsia="Times New Roman" w:cs="Times New Roman"/>
          <w:color w:val="212529"/>
          <w:sz w:val="24"/>
          <w:szCs w:val="24"/>
          <w:lang w:val="en-US" w:eastAsia="zh-CN" w:bidi="ar-SA"/>
        </w:rPr>
        <w:t xml:space="preserve"> Includes all forms except juic</w:t>
      </w:r>
    </w:p>
  </w:footnote>
  <w:footnote w:id="4">
    <w:p w14:paraId="4D73DCCB">
      <w:pPr>
        <w:pStyle w:val="3"/>
        <w:snapToGrid w:val="0"/>
        <w:rPr>
          <w:rFonts w:ascii="Times" w:hAnsi="Times" w:eastAsia="Times New Roman" w:cs="Times New Roman"/>
          <w:color w:val="212529"/>
          <w:sz w:val="24"/>
          <w:szCs w:val="24"/>
          <w:lang w:val="en-US" w:eastAsia="zh-CN" w:bidi="ar-SA"/>
        </w:rPr>
      </w:pPr>
      <w:r>
        <w:rPr>
          <w:rFonts w:ascii="Times" w:hAnsi="Times" w:eastAsia="Times New Roman" w:cs="Times New Roman"/>
          <w:color w:val="212529"/>
          <w:sz w:val="24"/>
          <w:szCs w:val="24"/>
          <w:lang w:val="en-US" w:eastAsia="zh-CN" w:bidi="ar-SA"/>
        </w:rPr>
        <w:footnoteRef/>
      </w:r>
      <w:r>
        <w:rPr>
          <w:rFonts w:ascii="Times" w:hAnsi="Times" w:eastAsia="Times New Roman" w:cs="Times New Roman"/>
          <w:color w:val="212529"/>
          <w:sz w:val="24"/>
          <w:szCs w:val="24"/>
          <w:lang w:val="en-US" w:eastAsia="zh-CN" w:bidi="ar-SA"/>
        </w:rPr>
        <w:t xml:space="preserve"> Includes legumes (beans and peas)</w:t>
      </w:r>
    </w:p>
  </w:footnote>
  <w:footnote w:id="5">
    <w:p w14:paraId="465C1EF2">
      <w:pPr>
        <w:pStyle w:val="3"/>
        <w:snapToGrid w:val="0"/>
        <w:rPr>
          <w:rFonts w:ascii="Times" w:hAnsi="Times" w:eastAsia="Times New Roman" w:cs="Times New Roman"/>
          <w:color w:val="212529"/>
          <w:sz w:val="24"/>
          <w:szCs w:val="24"/>
          <w:lang w:val="en-US" w:eastAsia="zh-CN" w:bidi="ar-SA"/>
        </w:rPr>
      </w:pPr>
      <w:r>
        <w:rPr>
          <w:rFonts w:ascii="Times" w:hAnsi="Times" w:eastAsia="Times New Roman" w:cs="Times New Roman"/>
          <w:color w:val="212529"/>
          <w:sz w:val="24"/>
          <w:szCs w:val="24"/>
          <w:lang w:val="en-US" w:eastAsia="zh-CN" w:bidi="ar-SA"/>
        </w:rPr>
        <w:footnoteRef/>
      </w:r>
      <w:r>
        <w:rPr>
          <w:rFonts w:ascii="Times" w:hAnsi="Times" w:eastAsia="Times New Roman" w:cs="Times New Roman"/>
          <w:color w:val="212529"/>
          <w:sz w:val="24"/>
          <w:szCs w:val="24"/>
          <w:lang w:val="en-US" w:eastAsia="zh-CN" w:bidi="ar-SA"/>
        </w:rPr>
        <w:t xml:space="preserve"> Includes all milk products, such as fluid milk, yogurt, and cheese, and fortified soy beverages</w:t>
      </w:r>
    </w:p>
  </w:footnote>
  <w:footnote w:id="6">
    <w:p w14:paraId="622E270E">
      <w:pPr>
        <w:pStyle w:val="3"/>
        <w:snapToGrid w:val="0"/>
        <w:rPr>
          <w:rFonts w:ascii="Times" w:hAnsi="Times" w:eastAsia="Times New Roman" w:cs="Times New Roman"/>
          <w:color w:val="212529"/>
          <w:sz w:val="24"/>
          <w:szCs w:val="24"/>
          <w:lang w:val="en-US" w:eastAsia="zh-CN" w:bidi="ar-SA"/>
        </w:rPr>
      </w:pPr>
      <w:r>
        <w:rPr>
          <w:rFonts w:ascii="Times" w:hAnsi="Times" w:eastAsia="Times New Roman" w:cs="Times New Roman"/>
          <w:color w:val="212529"/>
          <w:sz w:val="24"/>
          <w:szCs w:val="24"/>
          <w:lang w:val="en-US" w:eastAsia="zh-CN" w:bidi="ar-SA"/>
        </w:rPr>
        <w:footnoteRef/>
      </w:r>
      <w:r>
        <w:rPr>
          <w:rFonts w:ascii="Times" w:hAnsi="Times" w:eastAsia="Times New Roman" w:cs="Times New Roman"/>
          <w:color w:val="212529"/>
          <w:sz w:val="24"/>
          <w:szCs w:val="24"/>
          <w:lang w:val="en-US" w:eastAsia="zh-CN" w:bidi="ar-SA"/>
        </w:rPr>
        <w:t xml:space="preserve"> Includes legumes (beans and peas)</w:t>
      </w:r>
    </w:p>
  </w:footnote>
  <w:footnote w:id="7">
    <w:p w14:paraId="408A8FCC">
      <w:pPr>
        <w:pStyle w:val="3"/>
        <w:snapToGrid w:val="0"/>
        <w:rPr>
          <w:rFonts w:ascii="Times" w:hAnsi="Times" w:eastAsia="Times New Roman" w:cs="Times New Roman"/>
          <w:color w:val="212529"/>
          <w:sz w:val="24"/>
          <w:szCs w:val="24"/>
          <w:lang w:val="en-US" w:eastAsia="zh-CN" w:bidi="ar-SA"/>
        </w:rPr>
      </w:pPr>
      <w:r>
        <w:rPr>
          <w:rFonts w:ascii="Times" w:hAnsi="Times" w:eastAsia="Times New Roman" w:cs="Times New Roman"/>
          <w:color w:val="212529"/>
          <w:sz w:val="24"/>
          <w:szCs w:val="24"/>
          <w:lang w:val="en-US" w:eastAsia="zh-CN" w:bidi="ar-SA"/>
        </w:rPr>
        <w:footnoteRef/>
      </w:r>
      <w:r>
        <w:rPr>
          <w:rFonts w:ascii="Times" w:hAnsi="Times" w:eastAsia="Times New Roman" w:cs="Times New Roman"/>
          <w:color w:val="212529"/>
          <w:sz w:val="24"/>
          <w:szCs w:val="24"/>
          <w:lang w:val="en-US" w:eastAsia="zh-CN" w:bidi="ar-SA"/>
        </w:rPr>
        <w:t xml:space="preserve"> Includes seafood, nuts, seeds, soy products (other than beverages), and legumes (beans and peas)</w:t>
      </w:r>
    </w:p>
  </w:footnote>
  <w:footnote w:id="8">
    <w:p w14:paraId="19FC21DB">
      <w:pPr>
        <w:pStyle w:val="3"/>
        <w:snapToGrid w:val="0"/>
        <w:rPr>
          <w:rFonts w:ascii="Times" w:hAnsi="Times" w:eastAsia="Times New Roman" w:cs="Times New Roman"/>
          <w:color w:val="212529"/>
          <w:sz w:val="24"/>
          <w:szCs w:val="24"/>
          <w:lang w:val="en-US" w:eastAsia="zh-CN" w:bidi="ar-SA"/>
        </w:rPr>
      </w:pPr>
      <w:r>
        <w:rPr>
          <w:rFonts w:ascii="Times" w:hAnsi="Times" w:eastAsia="Times New Roman" w:cs="Times New Roman"/>
          <w:color w:val="212529"/>
          <w:sz w:val="24"/>
          <w:szCs w:val="24"/>
          <w:lang w:val="en-US" w:eastAsia="zh-CN" w:bidi="ar-SA"/>
        </w:rPr>
        <w:footnoteRef/>
      </w:r>
      <w:r>
        <w:rPr>
          <w:rFonts w:ascii="Times" w:hAnsi="Times" w:eastAsia="Times New Roman" w:cs="Times New Roman"/>
          <w:color w:val="212529"/>
          <w:sz w:val="24"/>
          <w:szCs w:val="24"/>
          <w:lang w:val="en-US" w:eastAsia="zh-CN" w:bidi="ar-SA"/>
        </w:rPr>
        <w:t xml:space="preserve"> Ratio of poly- and monounsaturated fatty acids (PUFAs and MUFAs) to saturated fatty acids (SFAs)</w:t>
      </w:r>
    </w:p>
  </w:footnote>
  <w:footnote w:id="9">
    <w:p w14:paraId="0B409052">
      <w:pPr>
        <w:pStyle w:val="3"/>
        <w:snapToGrid w:val="0"/>
        <w:rPr>
          <w:rFonts w:hint="default" w:ascii="Times" w:hAnsi="Times" w:eastAsia="Times New Roman" w:cs="Times New Roman"/>
          <w:color w:val="212529"/>
          <w:sz w:val="24"/>
          <w:szCs w:val="24"/>
          <w:lang w:val="en-US" w:eastAsia="zh-CN" w:bidi="ar-SA"/>
        </w:rPr>
      </w:pPr>
      <w:r>
        <w:rPr>
          <w:rFonts w:ascii="Times" w:hAnsi="Times" w:eastAsia="Times New Roman" w:cs="Times New Roman"/>
          <w:color w:val="212529"/>
          <w:sz w:val="24"/>
          <w:szCs w:val="24"/>
          <w:lang w:val="en-US" w:eastAsia="zh-CN" w:bidi="ar-SA"/>
        </w:rPr>
        <w:footnoteRef/>
      </w:r>
      <w:r>
        <w:rPr>
          <w:rFonts w:ascii="Times" w:hAnsi="Times" w:eastAsia="Times New Roman" w:cs="Times New Roman"/>
          <w:color w:val="212529"/>
          <w:sz w:val="24"/>
          <w:szCs w:val="24"/>
          <w:lang w:val="en-US" w:eastAsia="zh-CN" w:bidi="ar-SA"/>
        </w:rPr>
        <w:t xml:space="preserve"> </w:t>
      </w:r>
      <w:r>
        <w:rPr>
          <w:rFonts w:hint="eastAsia" w:ascii="Times" w:hAnsi="Times" w:eastAsia="Times New Roman" w:cs="Times New Roman"/>
          <w:color w:val="212529"/>
          <w:sz w:val="24"/>
          <w:szCs w:val="24"/>
          <w:lang w:val="en-US" w:eastAsia="zh-CN" w:bidi="ar-SA"/>
        </w:rPr>
        <w:t>Moderation components represent the food groups and dietary elements for which there are recommended limits to consumption. For moderation components, higher scores reflect lower intakes, because lower intakes are more desirable</w:t>
      </w:r>
      <w:r>
        <w:rPr>
          <w:rFonts w:hint="eastAsia" w:eastAsia="Times New Roman" w:cs="Times New Roman"/>
          <w:color w:val="212529"/>
          <w:sz w:val="24"/>
          <w:szCs w:val="24"/>
          <w:lang w:val="en-US" w:eastAsia="zh-CN" w:bidi="ar-SA"/>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0"/>
    <w:footnote w:id="21"/>
  </w:footnotePr>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hOTdhMDMxMjYxYzQ3MzhjNmEzMjM4MTVkNzAyYmYifQ=="/>
  </w:docVars>
  <w:rsids>
    <w:rsidRoot w:val="00000000"/>
    <w:rsid w:val="023B0DB8"/>
    <w:rsid w:val="0DDB6377"/>
    <w:rsid w:val="1C2403C8"/>
    <w:rsid w:val="22745AB0"/>
    <w:rsid w:val="22DF0712"/>
    <w:rsid w:val="2BD4136D"/>
    <w:rsid w:val="2CC07300"/>
    <w:rsid w:val="41EF4FC2"/>
    <w:rsid w:val="43177F8C"/>
    <w:rsid w:val="60A6142B"/>
    <w:rsid w:val="7EA35E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w:hAnsi="Times" w:eastAsia="宋体" w:cs="Times New Roman"/>
      <w:color w:val="000000" w:themeColor="text1"/>
      <w:sz w:val="24"/>
      <w:szCs w:val="24"/>
      <w:lang w:val="en-US" w:eastAsia="zh-CN" w:bidi="ar-SA"/>
      <w14:textFill>
        <w14:solidFill>
          <w14:schemeClr w14:val="tx1"/>
        </w14:solidFill>
      </w14:textFill>
    </w:rPr>
  </w:style>
  <w:style w:type="character" w:default="1" w:styleId="6">
    <w:name w:val="Default Paragraph Font"/>
    <w:semiHidden/>
    <w:uiPriority w:val="0"/>
  </w:style>
  <w:style w:type="table" w:default="1" w:styleId="4">
    <w:name w:val="Normal Table"/>
    <w:semiHidden/>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caption"/>
    <w:basedOn w:val="1"/>
    <w:next w:val="1"/>
    <w:semiHidden/>
    <w:unhideWhenUsed/>
    <w:qFormat/>
    <w:uiPriority w:val="0"/>
    <w:rPr>
      <w:rFonts w:ascii="Arial" w:hAnsi="Arial" w:eastAsia="黑体"/>
      <w:sz w:val="20"/>
    </w:rPr>
  </w:style>
  <w:style w:type="paragraph" w:styleId="3">
    <w:name w:val="footnote text"/>
    <w:basedOn w:val="1"/>
    <w:uiPriority w:val="0"/>
    <w:pPr>
      <w:snapToGrid w:val="0"/>
      <w:jc w:val="left"/>
    </w:pPr>
    <w:rPr>
      <w:sz w:val="18"/>
    </w:rPr>
  </w:style>
  <w:style w:type="table" w:styleId="5">
    <w:name w:val="Table Grid"/>
    <w:basedOn w:val="4"/>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7">
    <w:name w:val="footnote reference"/>
    <w:basedOn w:val="6"/>
    <w:uiPriority w:val="0"/>
    <w:rPr>
      <w:vertAlign w:val="superscript"/>
    </w:rPr>
  </w:style>
  <w:style w:type="table" w:customStyle="1" w:styleId="8">
    <w:name w:val="Grid Table 1 Light"/>
    <w:basedOn w:val="4"/>
    <w:qFormat/>
    <w:uiPriority w:val="46"/>
    <w:rPr>
      <w:rFonts w:ascii="Calibri" w:hAnsi="Calibri" w:eastAsiaTheme="minorEastAsia"/>
      <w:color w:val="auto"/>
      <w:sz w:val="20"/>
      <w:szCs w:val="20"/>
      <w:lang w:eastAsia="en-US"/>
    </w:rPr>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193</Words>
  <Characters>968</Characters>
  <Lines>0</Lines>
  <Paragraphs>0</Paragraphs>
  <TotalTime>4</TotalTime>
  <ScaleCrop>false</ScaleCrop>
  <LinksUpToDate>false</LinksUpToDate>
  <CharactersWithSpaces>1100</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2023-11-20T05:24:00Z</dcterms:created>
  <dc:creator>常钰</dc:creator>
  <cp:lastModifiedBy>常小白</cp:lastModifiedBy>
  <dcterms:modified xsi:type="dcterms:W3CDTF">2024-12-08T16:08:38Z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1637E53D429E4ABBA4ADCFAA7541E459_12</vt:lpwstr>
  </property>
</Properties>
</file>