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148" w:rsidRPr="00E27148" w:rsidRDefault="00E33EDB" w:rsidP="00E2714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Table 6</w:t>
      </w:r>
      <w:r w:rsidR="00E27148" w:rsidRPr="00E27148">
        <w:rPr>
          <w:rFonts w:ascii="Times New Roman" w:hAnsi="Times New Roman" w:cs="Times New Roman"/>
          <w:b/>
          <w:sz w:val="24"/>
        </w:rPr>
        <w:t>. Assessm</w:t>
      </w:r>
      <w:bookmarkStart w:id="0" w:name="_GoBack"/>
      <w:bookmarkEnd w:id="0"/>
      <w:r w:rsidR="00E27148" w:rsidRPr="00E27148">
        <w:rPr>
          <w:rFonts w:ascii="Times New Roman" w:hAnsi="Times New Roman" w:cs="Times New Roman"/>
          <w:b/>
          <w:sz w:val="24"/>
        </w:rPr>
        <w:t>ent of leave-one-out sensitivity analysis for no/poor social support-related factors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1980"/>
        <w:gridCol w:w="2430"/>
        <w:gridCol w:w="1255"/>
      </w:tblGrid>
      <w:tr w:rsidR="00E27148" w:rsidRPr="00E27148" w:rsidTr="00E27148">
        <w:tc>
          <w:tcPr>
            <w:tcW w:w="3685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 xml:space="preserve">Omitted study  </w:t>
            </w:r>
          </w:p>
        </w:tc>
        <w:tc>
          <w:tcPr>
            <w:tcW w:w="1980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>Effect size</w:t>
            </w:r>
          </w:p>
        </w:tc>
        <w:tc>
          <w:tcPr>
            <w:tcW w:w="2430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>[95% conf. interval]</w:t>
            </w:r>
          </w:p>
        </w:tc>
        <w:tc>
          <w:tcPr>
            <w:tcW w:w="1255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>P-value</w:t>
            </w:r>
          </w:p>
        </w:tc>
      </w:tr>
      <w:tr w:rsidR="00E27148" w:rsidRPr="00E27148" w:rsidTr="00E27148">
        <w:tc>
          <w:tcPr>
            <w:tcW w:w="3685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 xml:space="preserve">Adane et al. 2024        </w:t>
            </w:r>
          </w:p>
        </w:tc>
        <w:tc>
          <w:tcPr>
            <w:tcW w:w="1980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 xml:space="preserve">1.42     </w:t>
            </w:r>
          </w:p>
        </w:tc>
        <w:tc>
          <w:tcPr>
            <w:tcW w:w="2430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>0.74 − 2.10</w:t>
            </w:r>
          </w:p>
        </w:tc>
        <w:tc>
          <w:tcPr>
            <w:tcW w:w="1255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E27148" w:rsidRPr="00E27148" w:rsidTr="00E27148">
        <w:tc>
          <w:tcPr>
            <w:tcW w:w="3685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 xml:space="preserve">Gebeyehu et al. 2019        </w:t>
            </w:r>
          </w:p>
        </w:tc>
        <w:tc>
          <w:tcPr>
            <w:tcW w:w="1980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 xml:space="preserve">1.22      </w:t>
            </w:r>
          </w:p>
        </w:tc>
        <w:tc>
          <w:tcPr>
            <w:tcW w:w="2430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>0.65 − 1.80</w:t>
            </w:r>
          </w:p>
        </w:tc>
        <w:tc>
          <w:tcPr>
            <w:tcW w:w="1255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E27148" w:rsidRPr="00E27148" w:rsidTr="00E27148">
        <w:tc>
          <w:tcPr>
            <w:tcW w:w="3685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 xml:space="preserve">Girma et al. 2017        </w:t>
            </w:r>
          </w:p>
        </w:tc>
        <w:tc>
          <w:tcPr>
            <w:tcW w:w="1980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 xml:space="preserve">1.44      </w:t>
            </w:r>
          </w:p>
        </w:tc>
        <w:tc>
          <w:tcPr>
            <w:tcW w:w="2430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>0.76 − 2.11</w:t>
            </w:r>
          </w:p>
        </w:tc>
        <w:tc>
          <w:tcPr>
            <w:tcW w:w="1255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E27148" w:rsidRPr="00E27148" w:rsidTr="00E27148">
        <w:tc>
          <w:tcPr>
            <w:tcW w:w="3685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 xml:space="preserve">Hibdye et al. 2015        </w:t>
            </w:r>
          </w:p>
        </w:tc>
        <w:tc>
          <w:tcPr>
            <w:tcW w:w="1980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 xml:space="preserve">1.13       </w:t>
            </w:r>
          </w:p>
        </w:tc>
        <w:tc>
          <w:tcPr>
            <w:tcW w:w="2430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>0.68 − 1.59</w:t>
            </w:r>
          </w:p>
        </w:tc>
        <w:tc>
          <w:tcPr>
            <w:tcW w:w="1255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E27148" w:rsidRPr="00E27148" w:rsidTr="00E27148">
        <w:tc>
          <w:tcPr>
            <w:tcW w:w="3685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 xml:space="preserve">Nega et al. 2018        </w:t>
            </w:r>
          </w:p>
        </w:tc>
        <w:tc>
          <w:tcPr>
            <w:tcW w:w="1980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 xml:space="preserve">1.54       </w:t>
            </w:r>
          </w:p>
        </w:tc>
        <w:tc>
          <w:tcPr>
            <w:tcW w:w="2430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>0.92 − 2.16</w:t>
            </w:r>
          </w:p>
        </w:tc>
        <w:tc>
          <w:tcPr>
            <w:tcW w:w="1255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E27148" w:rsidRPr="00E27148" w:rsidTr="00E27148">
        <w:tc>
          <w:tcPr>
            <w:tcW w:w="3685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 xml:space="preserve">Tesfaye et. al. 2013        </w:t>
            </w:r>
          </w:p>
        </w:tc>
        <w:tc>
          <w:tcPr>
            <w:tcW w:w="1980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 xml:space="preserve">1.46    </w:t>
            </w:r>
          </w:p>
        </w:tc>
        <w:tc>
          <w:tcPr>
            <w:tcW w:w="2430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>0.77 − 2.15</w:t>
            </w:r>
          </w:p>
        </w:tc>
        <w:tc>
          <w:tcPr>
            <w:tcW w:w="1255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E27148" w:rsidRPr="00E27148" w:rsidTr="00E27148">
        <w:tc>
          <w:tcPr>
            <w:tcW w:w="3685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 xml:space="preserve">Zeleke et al. 2023        </w:t>
            </w:r>
          </w:p>
        </w:tc>
        <w:tc>
          <w:tcPr>
            <w:tcW w:w="1980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 xml:space="preserve">1.47     </w:t>
            </w:r>
          </w:p>
        </w:tc>
        <w:tc>
          <w:tcPr>
            <w:tcW w:w="2430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>0.74 − 2.19</w:t>
            </w:r>
          </w:p>
        </w:tc>
        <w:tc>
          <w:tcPr>
            <w:tcW w:w="1255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E27148" w:rsidRPr="00E27148" w:rsidTr="00E27148">
        <w:tc>
          <w:tcPr>
            <w:tcW w:w="3685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 xml:space="preserve">theta  </w:t>
            </w:r>
          </w:p>
        </w:tc>
        <w:tc>
          <w:tcPr>
            <w:tcW w:w="1980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 xml:space="preserve">1.39    </w:t>
            </w:r>
          </w:p>
        </w:tc>
        <w:tc>
          <w:tcPr>
            <w:tcW w:w="2430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>0.79 − 1.98</w:t>
            </w:r>
          </w:p>
        </w:tc>
        <w:tc>
          <w:tcPr>
            <w:tcW w:w="1255" w:type="dxa"/>
            <w:shd w:val="clear" w:color="auto" w:fill="auto"/>
          </w:tcPr>
          <w:p w:rsidR="00E27148" w:rsidRPr="00E27148" w:rsidRDefault="00E27148" w:rsidP="00E27148">
            <w:pPr>
              <w:rPr>
                <w:rFonts w:ascii="Times New Roman" w:hAnsi="Times New Roman" w:cs="Times New Roman"/>
                <w:sz w:val="24"/>
              </w:rPr>
            </w:pPr>
            <w:r w:rsidRPr="00E27148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</w:tbl>
    <w:p w:rsidR="00C627AD" w:rsidRDefault="00C627AD"/>
    <w:sectPr w:rsidR="00C627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148"/>
    <w:rsid w:val="00C627AD"/>
    <w:rsid w:val="00E27148"/>
    <w:rsid w:val="00E3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E96D6"/>
  <w15:chartTrackingRefBased/>
  <w15:docId w15:val="{E341CC4C-96A5-485B-B0C4-0918C290E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7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2024-10-13T23:49:00Z</dcterms:created>
  <dcterms:modified xsi:type="dcterms:W3CDTF">2024-10-25T18:18:00Z</dcterms:modified>
</cp:coreProperties>
</file>