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CAB" w:rsidRPr="00D07CAB" w:rsidRDefault="00AC6A62" w:rsidP="00D07CA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9</w:t>
      </w:r>
      <w:bookmarkStart w:id="0" w:name="_GoBack"/>
      <w:bookmarkEnd w:id="0"/>
      <w:r w:rsidR="00D07CAB" w:rsidRPr="00D07CAB">
        <w:rPr>
          <w:rFonts w:ascii="Times New Roman" w:hAnsi="Times New Roman" w:cs="Times New Roman"/>
          <w:b/>
          <w:sz w:val="24"/>
        </w:rPr>
        <w:t>. Assessment of leave-on</w:t>
      </w:r>
      <w:r w:rsidR="00DC2533">
        <w:rPr>
          <w:rFonts w:ascii="Times New Roman" w:hAnsi="Times New Roman" w:cs="Times New Roman"/>
          <w:b/>
          <w:sz w:val="24"/>
        </w:rPr>
        <w:t>e-out sensitivity analysis for drug-related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440"/>
        <w:gridCol w:w="2970"/>
        <w:gridCol w:w="1255"/>
      </w:tblGrid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Omitted study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Effect size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[95% conf. interval]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D07CAB" w:rsidRPr="00D07CAB" w:rsidTr="00D07CAB">
        <w:trPr>
          <w:trHeight w:val="152"/>
        </w:trPr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Alemayehu et al. 2022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1.21 − 1.58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Gebeyehu et al. 2019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1.21 − 1.58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Girma et al. 2017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1.22 − 1.60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Girma et al. 2017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1.24 − 1.61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Hibdye et al. 2015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1.25 − 1.63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Mogasa et.al.2020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1.22  1.62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Mohammed et al. 2024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1.25 − 1.63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Mohammed et al. 2024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1.25 − 1.63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Mohammed et al. 2024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1.25 − 1.63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Mulugeta 2020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1.22 − 1.59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Nega et al. 2018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1.25 − 1.63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Nega et al. 2018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1.25 − 1.63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Nega et al. 2018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1.24 − 1.62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Nega et al. 2018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1.24  − 1.62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Nega et al. 2018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1.24  −1.62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Nega et al. 2018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1.25 − 1.63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Nega et al. 2018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1.24 − 1.63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Nega et al. 2018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1.23   1.62  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Tamene et al. 2024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1.24 − 1.63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Tamene et al. 2024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1.23 − 1.62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Tamene et al. 2024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1.23 − 1.60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Tareke et al. 2018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1.21 − 1.59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Tesfaye et. al. 2013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1.22 − 1.60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Zeleke et al. 2023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1.20 − 1.56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Zeleke et al. 2023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1.20 − 1.49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7CAB" w:rsidRPr="00D07CAB" w:rsidTr="00D07CAB">
        <w:trPr>
          <w:trHeight w:val="116"/>
        </w:trPr>
        <w:tc>
          <w:tcPr>
            <w:tcW w:w="368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 xml:space="preserve">theta         </w:t>
            </w:r>
          </w:p>
        </w:tc>
        <w:tc>
          <w:tcPr>
            <w:tcW w:w="144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2970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1.23 − 1.60</w:t>
            </w:r>
          </w:p>
        </w:tc>
        <w:tc>
          <w:tcPr>
            <w:tcW w:w="1255" w:type="dxa"/>
            <w:shd w:val="clear" w:color="auto" w:fill="auto"/>
          </w:tcPr>
          <w:p w:rsidR="00D07CAB" w:rsidRPr="00D07CAB" w:rsidRDefault="00D07CAB" w:rsidP="00D0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A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D07CAB" w:rsidRPr="00D07CAB" w:rsidRDefault="00D07CAB" w:rsidP="00D07CAB"/>
    <w:p w:rsidR="00C627AD" w:rsidRDefault="00C627AD"/>
    <w:sectPr w:rsidR="00C62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AB"/>
    <w:rsid w:val="00AC6A62"/>
    <w:rsid w:val="00C627AD"/>
    <w:rsid w:val="00D07CAB"/>
    <w:rsid w:val="00DC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119B4"/>
  <w15:chartTrackingRefBased/>
  <w15:docId w15:val="{E030528B-2BBB-443A-832B-C09EBAEF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2024-10-13T23:55:00Z</dcterms:created>
  <dcterms:modified xsi:type="dcterms:W3CDTF">2024-10-25T18:22:00Z</dcterms:modified>
</cp:coreProperties>
</file>