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595"/>
        <w:tblW w:w="0" w:type="auto"/>
        <w:tblLook w:val="04A0" w:firstRow="1" w:lastRow="0" w:firstColumn="1" w:lastColumn="0" w:noHBand="0" w:noVBand="1"/>
      </w:tblPr>
      <w:tblGrid>
        <w:gridCol w:w="3685"/>
        <w:gridCol w:w="1980"/>
        <w:gridCol w:w="2430"/>
        <w:gridCol w:w="1255"/>
      </w:tblGrid>
      <w:tr w:rsidR="00CD0C98" w:rsidRPr="00CD0C98" w:rsidTr="00CD0C98">
        <w:tc>
          <w:tcPr>
            <w:tcW w:w="368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 xml:space="preserve">Omitted study  </w:t>
            </w:r>
          </w:p>
        </w:tc>
        <w:tc>
          <w:tcPr>
            <w:tcW w:w="198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243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[95% conf. interval]</w:t>
            </w:r>
          </w:p>
        </w:tc>
        <w:tc>
          <w:tcPr>
            <w:tcW w:w="125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CD0C98" w:rsidRPr="00CD0C98" w:rsidTr="00CD0C98">
        <w:tc>
          <w:tcPr>
            <w:tcW w:w="368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 xml:space="preserve">Abegaz et al. 2017        </w:t>
            </w:r>
          </w:p>
        </w:tc>
        <w:tc>
          <w:tcPr>
            <w:tcW w:w="198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243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1.01 − 2.12</w:t>
            </w:r>
          </w:p>
        </w:tc>
        <w:tc>
          <w:tcPr>
            <w:tcW w:w="125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D0C98" w:rsidRPr="00CD0C98" w:rsidTr="00CD0C98">
        <w:tc>
          <w:tcPr>
            <w:tcW w:w="368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 xml:space="preserve">Adane et al. 2024        </w:t>
            </w:r>
          </w:p>
        </w:tc>
        <w:tc>
          <w:tcPr>
            <w:tcW w:w="198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1.66</w:t>
            </w:r>
          </w:p>
        </w:tc>
        <w:tc>
          <w:tcPr>
            <w:tcW w:w="243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1.12  − 2.19</w:t>
            </w:r>
          </w:p>
        </w:tc>
        <w:tc>
          <w:tcPr>
            <w:tcW w:w="125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D0C98" w:rsidRPr="00CD0C98" w:rsidTr="00CD0C98">
        <w:trPr>
          <w:trHeight w:val="152"/>
        </w:trPr>
        <w:tc>
          <w:tcPr>
            <w:tcW w:w="368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Alemayehu et al. 2022</w:t>
            </w:r>
          </w:p>
        </w:tc>
        <w:tc>
          <w:tcPr>
            <w:tcW w:w="198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243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1.11 − 2.19</w:t>
            </w:r>
          </w:p>
        </w:tc>
        <w:tc>
          <w:tcPr>
            <w:tcW w:w="125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D0C98" w:rsidRPr="00CD0C98" w:rsidTr="00CD0C98">
        <w:tc>
          <w:tcPr>
            <w:tcW w:w="368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 xml:space="preserve">Eticha et al. - 2015        </w:t>
            </w:r>
          </w:p>
        </w:tc>
        <w:tc>
          <w:tcPr>
            <w:tcW w:w="198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1.549</w:t>
            </w:r>
          </w:p>
        </w:tc>
        <w:tc>
          <w:tcPr>
            <w:tcW w:w="243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1.02 − 2.08</w:t>
            </w:r>
          </w:p>
        </w:tc>
        <w:tc>
          <w:tcPr>
            <w:tcW w:w="125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D0C98" w:rsidRPr="00CD0C98" w:rsidTr="00CD0C98">
        <w:tc>
          <w:tcPr>
            <w:tcW w:w="368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Eticha et al. - 2015</w:t>
            </w:r>
          </w:p>
        </w:tc>
        <w:tc>
          <w:tcPr>
            <w:tcW w:w="198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243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0.94 − 1.95</w:t>
            </w:r>
          </w:p>
        </w:tc>
        <w:tc>
          <w:tcPr>
            <w:tcW w:w="125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D0C98" w:rsidRPr="00CD0C98" w:rsidTr="00CD0C98">
        <w:tc>
          <w:tcPr>
            <w:tcW w:w="368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 xml:space="preserve">Gebeyehu et al. 2019        </w:t>
            </w:r>
          </w:p>
        </w:tc>
        <w:tc>
          <w:tcPr>
            <w:tcW w:w="198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1.63</w:t>
            </w:r>
          </w:p>
        </w:tc>
        <w:tc>
          <w:tcPr>
            <w:tcW w:w="243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1.09 − 2.17</w:t>
            </w:r>
          </w:p>
        </w:tc>
        <w:tc>
          <w:tcPr>
            <w:tcW w:w="125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D0C98" w:rsidRPr="00CD0C98" w:rsidTr="00CD0C98">
        <w:tc>
          <w:tcPr>
            <w:tcW w:w="368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 xml:space="preserve">Hibdye et al. 2015        </w:t>
            </w:r>
          </w:p>
        </w:tc>
        <w:tc>
          <w:tcPr>
            <w:tcW w:w="198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243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1.01 − 2.12</w:t>
            </w:r>
          </w:p>
        </w:tc>
        <w:tc>
          <w:tcPr>
            <w:tcW w:w="125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D0C98" w:rsidRPr="00CD0C98" w:rsidTr="00CD0C98">
        <w:tc>
          <w:tcPr>
            <w:tcW w:w="368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 xml:space="preserve">Mohammed et al. 2024        </w:t>
            </w:r>
          </w:p>
        </w:tc>
        <w:tc>
          <w:tcPr>
            <w:tcW w:w="198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243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1.11 − 2.19</w:t>
            </w:r>
          </w:p>
        </w:tc>
        <w:tc>
          <w:tcPr>
            <w:tcW w:w="125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D0C98" w:rsidRPr="00CD0C98" w:rsidTr="00CD0C98">
        <w:tc>
          <w:tcPr>
            <w:tcW w:w="368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 xml:space="preserve">Mulugeta 2020        </w:t>
            </w:r>
          </w:p>
        </w:tc>
        <w:tc>
          <w:tcPr>
            <w:tcW w:w="198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 xml:space="preserve">1.35       </w:t>
            </w:r>
          </w:p>
        </w:tc>
        <w:tc>
          <w:tcPr>
            <w:tcW w:w="243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1.02 − 1.68</w:t>
            </w:r>
          </w:p>
        </w:tc>
        <w:tc>
          <w:tcPr>
            <w:tcW w:w="125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D0C98" w:rsidRPr="00CD0C98" w:rsidTr="00CD0C98">
        <w:tc>
          <w:tcPr>
            <w:tcW w:w="368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 xml:space="preserve">Tareke et al. 2018        </w:t>
            </w:r>
          </w:p>
        </w:tc>
        <w:tc>
          <w:tcPr>
            <w:tcW w:w="198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 xml:space="preserve">1.63      </w:t>
            </w:r>
          </w:p>
        </w:tc>
        <w:tc>
          <w:tcPr>
            <w:tcW w:w="243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1.07 − 2.20</w:t>
            </w:r>
          </w:p>
        </w:tc>
        <w:tc>
          <w:tcPr>
            <w:tcW w:w="125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D0C98" w:rsidRPr="00CD0C98" w:rsidTr="00CD0C98">
        <w:tc>
          <w:tcPr>
            <w:tcW w:w="368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 xml:space="preserve">theta  </w:t>
            </w:r>
          </w:p>
        </w:tc>
        <w:tc>
          <w:tcPr>
            <w:tcW w:w="198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 xml:space="preserve">1.58      </w:t>
            </w:r>
          </w:p>
        </w:tc>
        <w:tc>
          <w:tcPr>
            <w:tcW w:w="2430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1.08 − 2.08</w:t>
            </w:r>
          </w:p>
        </w:tc>
        <w:tc>
          <w:tcPr>
            <w:tcW w:w="1255" w:type="dxa"/>
            <w:shd w:val="clear" w:color="auto" w:fill="auto"/>
          </w:tcPr>
          <w:p w:rsidR="00CD0C98" w:rsidRPr="00CD0C98" w:rsidRDefault="00CD0C98" w:rsidP="00C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9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:rsidR="00CD0C98" w:rsidRPr="00CD0C98" w:rsidRDefault="00CD0C98" w:rsidP="00CD0C9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Table 2</w:t>
      </w:r>
      <w:bookmarkStart w:id="0" w:name="_GoBack"/>
      <w:bookmarkEnd w:id="0"/>
      <w:r w:rsidRPr="00CD0C98">
        <w:rPr>
          <w:rFonts w:ascii="Times New Roman" w:hAnsi="Times New Roman" w:cs="Times New Roman"/>
          <w:sz w:val="24"/>
        </w:rPr>
        <w:t>. Assessment of leave-one-out sensitivity analysis for sociodemographic factors</w:t>
      </w:r>
    </w:p>
    <w:p w:rsidR="00C627AD" w:rsidRDefault="00C627AD"/>
    <w:sectPr w:rsidR="00C627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C98"/>
    <w:rsid w:val="00C627AD"/>
    <w:rsid w:val="00CD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D44C5"/>
  <w15:chartTrackingRefBased/>
  <w15:docId w15:val="{86635BF1-3F4F-44F6-B0FE-5E4B870C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0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2024-10-13T23:41:00Z</dcterms:created>
  <dcterms:modified xsi:type="dcterms:W3CDTF">2024-10-13T23:44:00Z</dcterms:modified>
</cp:coreProperties>
</file>