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D33" w:rsidRPr="00BA6C3E" w:rsidRDefault="00894D33" w:rsidP="00BA6C3E">
      <w:pPr>
        <w:spacing w:after="0" w:line="360" w:lineRule="auto"/>
        <w:jc w:val="both"/>
        <w:rPr>
          <w:rFonts w:ascii="Times New Roman" w:hAnsi="Times New Roman" w:cs="Times New Roman"/>
          <w:iCs/>
          <w:sz w:val="24"/>
          <w:szCs w:val="24"/>
        </w:rPr>
      </w:pPr>
      <w:bookmarkStart w:id="0" w:name="_Ref171651424"/>
      <w:r w:rsidRPr="00BA6C3E">
        <w:rPr>
          <w:rFonts w:ascii="Times New Roman" w:hAnsi="Times New Roman" w:cs="Times New Roman"/>
          <w:iCs/>
          <w:sz w:val="24"/>
          <w:szCs w:val="24"/>
        </w:rPr>
        <w:t xml:space="preserve">Table </w:t>
      </w:r>
      <w:r w:rsidRPr="00BA6C3E">
        <w:rPr>
          <w:rFonts w:ascii="Times New Roman" w:hAnsi="Times New Roman" w:cs="Times New Roman"/>
          <w:iCs/>
          <w:sz w:val="24"/>
          <w:szCs w:val="24"/>
        </w:rPr>
        <w:fldChar w:fldCharType="begin"/>
      </w:r>
      <w:r w:rsidRPr="00BA6C3E">
        <w:rPr>
          <w:rFonts w:ascii="Times New Roman" w:hAnsi="Times New Roman" w:cs="Times New Roman"/>
          <w:iCs/>
          <w:sz w:val="24"/>
          <w:szCs w:val="24"/>
        </w:rPr>
        <w:instrText xml:space="preserve"> SEQ Table \* ARABIC </w:instrText>
      </w:r>
      <w:r w:rsidRPr="00BA6C3E">
        <w:rPr>
          <w:rFonts w:ascii="Times New Roman" w:hAnsi="Times New Roman" w:cs="Times New Roman"/>
          <w:iCs/>
          <w:sz w:val="24"/>
          <w:szCs w:val="24"/>
        </w:rPr>
        <w:fldChar w:fldCharType="separate"/>
      </w:r>
      <w:r w:rsidR="00BA6C3E" w:rsidRPr="00BA6C3E">
        <w:rPr>
          <w:rFonts w:ascii="Times New Roman" w:hAnsi="Times New Roman" w:cs="Times New Roman"/>
          <w:iCs/>
          <w:noProof/>
          <w:sz w:val="24"/>
          <w:szCs w:val="24"/>
        </w:rPr>
        <w:t>1</w:t>
      </w:r>
      <w:r w:rsidRPr="00BA6C3E">
        <w:rPr>
          <w:rFonts w:ascii="Times New Roman" w:hAnsi="Times New Roman" w:cs="Times New Roman"/>
          <w:sz w:val="24"/>
          <w:szCs w:val="24"/>
        </w:rPr>
        <w:fldChar w:fldCharType="end"/>
      </w:r>
      <w:bookmarkEnd w:id="0"/>
      <w:r w:rsidRPr="00BA6C3E">
        <w:rPr>
          <w:rFonts w:ascii="Times New Roman" w:hAnsi="Times New Roman" w:cs="Times New Roman"/>
          <w:iCs/>
          <w:sz w:val="24"/>
          <w:szCs w:val="24"/>
        </w:rPr>
        <w:t>. The Joanna Briggs Ins</w:t>
      </w:r>
      <w:r w:rsidR="00E664A6">
        <w:rPr>
          <w:rFonts w:ascii="Times New Roman" w:hAnsi="Times New Roman" w:cs="Times New Roman"/>
          <w:iCs/>
          <w:sz w:val="24"/>
          <w:szCs w:val="24"/>
        </w:rPr>
        <w:t>titute Critical Appraisal Score</w:t>
      </w:r>
      <w:r w:rsidRPr="00BA6C3E">
        <w:rPr>
          <w:rFonts w:ascii="Times New Roman" w:hAnsi="Times New Roman" w:cs="Times New Roman"/>
          <w:iCs/>
          <w:sz w:val="24"/>
          <w:szCs w:val="24"/>
        </w:rPr>
        <w:t xml:space="preserve"> of included cross-sectional studies</w:t>
      </w:r>
    </w:p>
    <w:tbl>
      <w:tblPr>
        <w:tblStyle w:val="TableGrid"/>
        <w:tblW w:w="9805" w:type="dxa"/>
        <w:jc w:val="center"/>
        <w:tblLayout w:type="fixed"/>
        <w:tblLook w:val="04A0" w:firstRow="1" w:lastRow="0" w:firstColumn="1" w:lastColumn="0" w:noHBand="0" w:noVBand="1"/>
      </w:tblPr>
      <w:tblGrid>
        <w:gridCol w:w="625"/>
        <w:gridCol w:w="2885"/>
        <w:gridCol w:w="805"/>
        <w:gridCol w:w="720"/>
        <w:gridCol w:w="540"/>
        <w:gridCol w:w="630"/>
        <w:gridCol w:w="720"/>
        <w:gridCol w:w="720"/>
        <w:gridCol w:w="720"/>
        <w:gridCol w:w="630"/>
        <w:gridCol w:w="810"/>
      </w:tblGrid>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S no</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sz w:val="24"/>
                <w:szCs w:val="24"/>
              </w:rPr>
              <w:t>Studies</w:t>
            </w:r>
          </w:p>
        </w:tc>
        <w:tc>
          <w:tcPr>
            <w:tcW w:w="80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Q1</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Q2</w:t>
            </w:r>
          </w:p>
        </w:tc>
        <w:tc>
          <w:tcPr>
            <w:tcW w:w="54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Q3</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Q4</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Q5</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Q6</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Q7</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Q8</w:t>
            </w:r>
          </w:p>
        </w:tc>
        <w:tc>
          <w:tcPr>
            <w:tcW w:w="81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Total Score</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1</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Abdisa et al. 2020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10.1186/s13033-020-00391-6","ISSN":"1752-4458","author":[{"dropping-particle":"","family":"Abdisa","given":"Eba","non-dropping-particle":"","parse-names":false,"suffix":""},{"dropping-particle":"","family":"Fekadu","given":"Ginenus","non-dropping-particle":"","parse-names":false,"suffix":""},{"dropping-particle":"","family":"Girma","given":"Shimelis","non-dropping-particle":"","parse-names":false,"suffix":""},{"dropping-particle":"","family":"Shibiru","given":"Tesfaye","non-dropping-particle":"","parse-names":false,"suffix":""},{"dropping-particle":"","family":"Tilahun","given":"Temesgen","non-dropping-particle":"","parse-names":false,"suffix":""},{"dropping-particle":"","family":"Mohamed","given":"Habib","non-dropping-particle":"","parse-names":false,"suffix":""},{"dropping-particle":"","family":"Wakgari","given":"Aaga","non-dropping-particle":"","parse-names":false,"suffix":""},{"dropping-particle":"","family":"Takele","given":"Amsalu","non-dropping-particle":"","parse-names":false,"suffix":""},{"dropping-particle":"","family":"Abebe","given":"Milkias","non-dropping-particle":"","parse-names":false,"suffix":""},{"dropping-particle":"","family":"Tsegaye","given":"Reta","non-dropping-particle":"","parse-names":false,"suffix":""}],"container-title":"International Journal of Mental Health Systems","id":"ITEM-1","issued":{"date-parts":[["2020"]]},"page":"1-13","publisher":"BioMed Central","title":"Self ‑ stigma and medication adherence among patients with mental illness treated at Jimma University Medical Center , Southwest Ethiopia","type":"article-journal"},"uris":["http://www.mendeley.com/documents/?uuid=146f6edc-452d-46f6-8eeb-ac6faf725efc"]}],"mendeley":{"formattedCitation":"[11]","plainTextFormattedCitation":"[11]","previouslyFormattedCitation":"[11]"},"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[11]</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AB37DC" w:rsidP="00BA6C3E">
            <w:pPr>
              <w:rPr>
                <w:sz w:val="24"/>
                <w:szCs w:val="24"/>
              </w:rPr>
            </w:pPr>
            <w:r>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810" w:type="dxa"/>
          </w:tcPr>
          <w:p w:rsidR="00BA6C3E" w:rsidRPr="00BA6C3E" w:rsidRDefault="00CF18CD"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2</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Abegaz et al. 2017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{"citationItems":[{"id":"ITEM-1","itemData":{"DOI":"10.1155/2018/9274278","ISSN":"2314-4327","abstract":"[This corrects the article DOI: 10.1155/2017/5812817.].","author":[{"dropping-particle":"","family":"Abegaz","given":"Tadesse Melaku","non-dropping-particle":"","parse-names":false,"suffix":""},{"dropping-particle":"","family":"Sori","given":"Lamesa Melese","non-dropping-particle":"","parse-names":false,"suffix":""},{"dropping-particle":"","family":"Toleha","given":"Hussien Nurahmed","non-dropping-particle":"","parse-names":false,"suffix":""}],"container-title":"Psychiatry Journal","id":"ITEM-1","issued":{"date-parts":[["2018"]]},"page":"1-1","title":"Self-Reported Adverse Drug Reactions, Medication Adherence, and Clinical Outcomes among Major Depressive Disorder Patients in Ethiopia: A Prospective Hospital Based Study”","type":"article-journal","volume":"2018"},"uris":["http://www.mendeley.com/documents/?uuid=0b9c1095-d1a2-4c34-a837-21f164d1ef97"]}],"mendeley":{"formattedCitation":"[12]","plainTextFormattedCitation":"[12]","previouslyFormattedCitation":"[12]"},"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[12]</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CF18CD" w:rsidP="00BA6C3E">
            <w:pPr>
              <w:rPr>
                <w:sz w:val="24"/>
                <w:szCs w:val="24"/>
              </w:rPr>
            </w:pPr>
            <w:r>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810" w:type="dxa"/>
          </w:tcPr>
          <w:p w:rsidR="00BA6C3E" w:rsidRPr="00BA6C3E" w:rsidRDefault="00CF18CD"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3</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Adane et al. 2024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{"citationItems":[{"id":"ITEM-1","itemData":{"author":[{"dropping-particle":"","family":"Adane","given":"Adugnaw","non-dropping-particle":"","parse-names":false,"suffix":""}],"container-title":"Research Square","id":"ITEM-1","issued":{"date-parts":[["2024"]]},"title":"Medication Non-adherence and Associated Factors Among Patients with Mental Illness at St . Amanuel Specialized Psychiatric Hospital , Addis Ababa , Ethiopia ; A Cross Sectional Study Introduction :","type":"article-journal"},"uris":["http://www.mendeley.com/documents/?uuid=f159ffdf-976c-4a40-9885-a0c1f679bd2a"]}],"mendeley":{"formattedCitation":"[13]","plainTextFormattedCitation":"[13]","previouslyFormattedCitation":"[13]"},"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[13]</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U</w:t>
            </w:r>
          </w:p>
        </w:tc>
        <w:tc>
          <w:tcPr>
            <w:tcW w:w="720" w:type="dxa"/>
          </w:tcPr>
          <w:p w:rsidR="00BA6C3E" w:rsidRPr="00BA6C3E" w:rsidRDefault="00CF18CD"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810" w:type="dxa"/>
          </w:tcPr>
          <w:p w:rsidR="00BA6C3E" w:rsidRPr="00BA6C3E" w:rsidRDefault="00CF18CD"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4</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Alemayehu et al. 2022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{"citationItems":[{"id":"ITEM-1","itemData":{"DOI":"10.1371/journal.pone.0271713","ISBN":"1111111111","ISSN":"19326203","PMID":"35901017","abstract":"Background Inadequate adherence to treatment is among the main underlying causes of depression becoming a chronic problem. In developing countries due to limited access to health care, inaccurate diagnoses, and scarcity of medications, poor adherence may become an even larger obstacle in the treatment of depression. The current study aims to assess the magnitude and factors related to treatment non-adherence among patients with depressive disorders. Objective To assess the magnitude and factors associated with treatment non adherence among patients with depressive disorders at St. Amanuel Mental Specialized Hospital, Addis Ababa, Ethiopia, 2019. Methods A hospital-based cross-sectional study was conducted among 415 respondents using systematic random sampling technique. Medication adherence was assessed by using Medication Adherence Rating Scale. Data was entered to Epi-data version 3.1 and analyzed using SPSS version 20. Binary logistic analysis was done and P-values less than 0.05 were considered statistically significant. Results The prevalence of treatment non-adherence among patients with depressive disorders was 26% (95%CI; 21.2, 32.5). Previous suicide attempt (AOR = 3.05, 95%CI; 1.82, 5.12), medication side effects (AOR = 2.46, 95%CI; 1.47, 4.11), moderate to high self-stigma (AOR = 2.60, 95%CI; 1.45, 4.66), and poor quality of life (AOR = 2.47, 95%CI; 1.42, 4.28) were significantly associated with treatment non-adherence among patients with depressive disorders. Conclusion and recommendation Treatment non-adherence is a common problem among patients being treated for depressive disorders. Previous suicide attempts, medication side effects, moderate to high selfstigma, and poor quality of life were significantly associated with treatment non-adherence. Appropriate interventions should be developed to promote measures to facilitate adherence in this group of patients, and address the associated factors when applicable.","author":[{"dropping-particle":"","family":"Alemayehu","given":"Yadeta","non-dropping-particle":"","parse-names":false,"suffix":""},{"dropping-particle":"","family":"Asfaw","given":"Henock","non-dropping-particle":"","parse-names":false,"suffix":""},{"dropping-particle":"","family":"Girma","given":"Million","non-dropping-particle":"","parse-names":false,"suffix":""}],"container-title":"PLoS ONE","id":"ITEM-1","issue":"7 July","issued":{"date-parts":[["2022"]]},"page":"1-13","title":"Magnitude and factors associated with treatment non-adherence among patients with depressive disorders at St. Amanuel Mental Specialized Hospital, Addis Ababa, Ethiopia, 2019: A cross sectional study","type":"article-journal","volume":"17"},"uris":["http://www.mendeley.com/documents/?uuid=af3715d6-a2a5-476b-842c-0397cd51a191"]}],"mendeley":{"formattedCitation":"[6]","plainTextFormattedCitation":"[6]","previouslyFormattedCitation":"[6]"},"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[6]</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U</w:t>
            </w:r>
          </w:p>
        </w:tc>
        <w:tc>
          <w:tcPr>
            <w:tcW w:w="720" w:type="dxa"/>
          </w:tcPr>
          <w:p w:rsidR="00BA6C3E" w:rsidRPr="00BA6C3E" w:rsidRDefault="00CF18CD"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Y</w:t>
            </w:r>
          </w:p>
        </w:tc>
        <w:tc>
          <w:tcPr>
            <w:tcW w:w="810" w:type="dxa"/>
          </w:tcPr>
          <w:p w:rsidR="00BA6C3E" w:rsidRPr="00BA6C3E" w:rsidRDefault="00D64B6C"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5</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Alene et al. 2012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{"citationItems":[{"id":"ITEM-1","itemData":{"DOI":"10.1186/1472-6904-12-10","ISSN":"14726904","PMID":"22709356","abstract":"Background: Medication-taking behavior, specifically non-adherence, is significantly associated with treatment outcome and is a major cause of relapse in the treatment of psychotic disorders. Non-adherence can be multifactorial; however, the rates and associated risk factors in an Ethiopian population have not yet been elucidated. The principal aim of this study was to evaluate adherence rates to antipsychotic medications, and secondarily to identify potential factors associated with non-adherence, among psychotic patients at tertiary care teaching hospital in Southwest Ethiopia.Methods: A cross-sectional study was conducted over a 2-month period in 2009 (January 15th to March 20th) at the Jimma University Specialized Hospital. Adherence was computed using both a compliant fill rate method and self-reporting via a structured patient interview (focusing on how often regular medication doses were missed altogether, and whether they missed taking their doses on time). Data were analyzed using SPSS for windows version 16.0, and chi-square and Pearsons r tests were used to determine the statistical significance of the association of variables with adherence.Result: Three hundred thirty six patients were included in the study. A total of 75.6% were diagnosed with schizophrenia, while the others were diagnosed with other psychotic disorders. Most (88.1%) patients were taking only antipsychotics, while the remainder took more than one medication. Based upon the compliant fill rate, 57.5% of prescription fills were considered compliant, but only 19.6% of participants had compliant fills for all of their prescriptions. In contrast, on the basis of patients self-report, 52.1% of patients reported that they had never missed a medication dose, 32.0% sometimes missed their daily doses, 22.0% only missed taking their dose at the specific scheduled time, and 5.9% missed both taking their dose at the specific scheduled time and sometimes missed their daily doses. The most common reasons provided for missing medication doses were: forgetfulness (36.2%); being busy (21.0%); and a lack of sufficient information about the medication (10.0%). Pill burden, medication side-effects, social drug use, and duration of maintenance therapy each had a statistically significant association with medication adherence (P ≤ 0.05).Conclusion: The observed rate of antipsychotic medication adherence in this study was low, and depending upon the definition used to determine adherence, it is e…","author":[{"dropping-particle":"","family":"Alene","given":"Menna","non-dropping-particle":"","parse-names":false,"suffix":""},{"dropping-particle":"","family":"Wiese","given":"Michael D.","non-dropping-particle":"","parse-names":false,"suffix":""},{"dropping-particle":"","family":"Angamo","given":"Mulugeta T.","non-dropping-particle":"","parse-names":false,"suffix":""},{"dropping-particle":"V.","family":"Bajorek","given":"Beata","non-dropping-particle":"","parse-names":false,"suffix":""},{"dropping-particle":"","family":"Yesuf","given":"Elias A.","non-dropping-particle":"","parse-names":false,"suffix":""},{"dropping-particle":"","family":"Wabe","given":"Nasir T.","non-dropping-particle":"","parse-names":false,"suffix":""}],"container-title":"BMC Clinical Pharmacology","id":"ITEM-1","issued":{"date-parts":[["2012"]]},"page":"1-9","title":"Adherence to medication for the treatment of psychosis: rates and risk factors in an Ethiopian population","type":"article-journal","volume":"12"},"uris":["http://www.mendeley.com/documents/?uuid=12828049-f532-4421-998c-ca5b48037f9f"]}],"mendeley":{"formattedCitation":"[14]","plainTextFormattedCitation":"[14]","previouslyFormattedCitation":"[14]"},"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[14]</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U</w:t>
            </w:r>
          </w:p>
        </w:tc>
        <w:tc>
          <w:tcPr>
            <w:tcW w:w="720" w:type="dxa"/>
          </w:tcPr>
          <w:p w:rsidR="00BA6C3E" w:rsidRPr="00BA6C3E" w:rsidRDefault="009207AA"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D64B6C"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6</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Demoz et.al. 2014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author":[{"dropping-particle":"","family":"Demoz","given":"Zaid","non-dropping-particle":"","parse-names":false,"suffix":""},{"dropping-particle":"","family":"Legesse","given":"Befikadu","non-dropping-particle":"","parse-names":false,"suffix":""},{"dropping-particle":"","family":"Teklay","given":"Gebrehiwot","non-dropping-particle":"","parse-names":false,"suffix":""},{"dropping-particle":"","family":"Demeke","given":"Birhanu","non-dropping-particle":"","parse-names":false,"suffix":""},{"dropping-particle":"","family":"Eyob","given":"Tewodros","non-dropping-particle":"","parse-names":false,"suffix":""},{"dropping-particle":"","family":"Shewamene","given":"Zewdneh","non-dropping-particle":"","parse-names":false,"suffix":""},{"dropping-particle":"","family":"Abera","given":"Mubarek","non-dropping-particle":"","parse-names":false,"suffix":""}],"container-title":"Patient Preference and Adherence","id":"ITEM-1","issued":{"date-parts":[["2014"]]},"page":"1329-1335","title":"Medication adherence and its determinants among psychiatric patients in an Ethiopian referral hospital","type":"article-journal","volume":"8"},"uris":["http://www.mendeley.com/documents/?uuid=97a0aad7-a32d-42b1-af00-de932245e5fa"]}],"mendeley":{"formattedCitation":"[15]","plainTextFormattedCitation":"[15]","previouslyFormattedCitation":"[15]"},"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[15]</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U</w:t>
            </w:r>
          </w:p>
        </w:tc>
        <w:tc>
          <w:tcPr>
            <w:tcW w:w="720" w:type="dxa"/>
          </w:tcPr>
          <w:p w:rsidR="00BA6C3E" w:rsidRPr="00BA6C3E" w:rsidRDefault="000B3A3D"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0B3A3D"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7</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Eticha et al. – 2015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{"citationItems":[{"id":"ITEM-1","itemData":{"DOI":"10.1371/journal.pone.0120560","ISSN":"19326203","PMID":"25816353","abstract":"Background: Non-adherence to antipsychotic medication has a negative impact on the course of illness resulting in increased risk of relapse, rehospitalization and suicide, and increased costs to healthcare systems. The objective of this study was to investigate factors associated with medication adherence among patients with schizophrenia at Ayder Referral Hospital and Mekelle Hospital in Mekelle, Tigray region, Northern Ethiopia. Methods: The study was a cross-sectional survey in which sociodemographic characteristics, drug attitudes, insight and side effects were measured and explored in terms of their relationship with medication adherence. A structured questionnaire as a data collection tool was used. Data were analyzed with the help of SPSS Version 20.0. Results: A total of 393 patients participated, 26.5% were non-adherent to their antipsychotic medication. The factors significantly associated with better adherence were positive treatment attitudes (AOR = 1.40, 95% CI: 1.26, 1.55), fewer side effects (AOR = 0.97, 95% CI: 0.94, 0.99), awareness of illness (AOR = 1.44, 95% CI: 1.12, 1.85) and the ability to relabel symptoms (AOR = 1.57, 95% CI: 1.19, 2.07). However, khat chewers (AOR = 0.24, 95% CI: 0.09, 0.68), being illiterate (AOR = 0.13, 95% CI: 0.03, 0.47) and older age group (AOR = 0.03, 95% CI: 0.01, 0.16) were associated with less medication adherence. Conclusions: A high prevalence of medication non-adherence was found among patients with schizophrenia. Intervention strategies focused on educating the patients to better understand the illness, medications and their potential side effects might be useful in improving adherence to antipsychotic medication treatment.","author":[{"dropping-particle":"","family":"Eticha","given":"Tadele","non-dropping-particle":"","parse-names":false,"suffix":""},{"dropping-particle":"","family":"Teklu","given":"Amha","non-dropping-particle":"","parse-names":false,"suffix":""},{"dropping-particle":"","family":"Ali","given":"Dagim","non-dropping-particle":"","parse-names":false,"suffix":""},{"dropping-particle":"","family":"Solomon","given":"Gebremedhin","non-dropping-particle":"","parse-names":false,"suffix":""},{"dropping-particle":"","family":"Alemayehu","given":"Adissu","non-dropping-particle":"","parse-names":false,"suffix":""}],"container-title":"PLoS ONE","id":"ITEM-1","issue":"3","issued":{"date-parts":[["2015"]]},"page":"1-11","title":"Factors associated with medication adherence among patients with schizophrenia in Mekelle, Northern Ethiopia","type":"article-journal","volume":"10"},"uris":["http://www.mendeley.com/documents/?uuid=cb339c12-7750-4bd6-9374-6f89a57af7b9"]}],"mendeley":{"formattedCitation":"[16]","plainTextFormattedCitation":"[16]","previouslyFormattedCitation":"[16]"},"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[16]</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DD2CF5"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DD2CF5" w:rsidP="00BA6C3E">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DD2CF5" w:rsidP="00BA6C3E">
            <w:pPr>
              <w:rPr>
                <w:rFonts w:ascii="Times New Roman" w:hAnsi="Times New Roman" w:cs="Times New Roman"/>
                <w:sz w:val="24"/>
                <w:szCs w:val="24"/>
              </w:rPr>
            </w:pPr>
            <w:r>
              <w:rPr>
                <w:rFonts w:ascii="Times New Roman" w:hAnsi="Times New Roman" w:cs="Times New Roman"/>
                <w:sz w:val="24"/>
                <w:szCs w:val="24"/>
              </w:rPr>
              <w:t>8</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8</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Gebeyehu et al. 2019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{"citationItems":[{"id":"ITEM-1","itemData":{"DOI":"10.1186/s13104-019-4126-2","ISSN":"1756-0500","author":[{"dropping-particle":"","family":"Gebeyehu","given":"Daniel Ayelegne","non-dropping-particle":"","parse-names":false,"suffix":""},{"dropping-particle":"","family":"Mulat","given":"Haregewoin","non-dropping-particle":"","parse-names":false,"suffix":""},{"dropping-particle":"","family":"Bekana","given":"Lulu","non-dropping-particle":"","parse-names":false,"suffix":""},{"dropping-particle":"","family":"Asemamaw","given":"Nega Tezera","non-dropping-particle":"","parse-names":false,"suffix":""},{"dropping-particle":"","family":"Birarra","given":"Mequanent Kassa","non-dropping-particle":"","parse-names":false,"suffix":""},{"dropping-particle":"","family":"Takele","given":"Wubet Worku","non-dropping-particle":"","parse-names":false,"suffix":""},{"dropping-particle":"","family":"Angaw","given":"Dessie Abebaw","non-dropping-particle":"","parse-names":false,"suffix":""}],"container-title":"BMC Research Notes","id":"ITEM-1","issued":{"date-parts":[["2019"]]},"page":"2-7","publisher":"BioMed Central","title":"Psychotropic medication non ‑ adherence among patients with severe mental disorder attending at Bahir Dar Felege Hiwote Referral hospital, north west Ethiopia, 2017","type":"article-journal"},"uris":["http://www.mendeley.com/documents/?uuid=d1ccc9ef-839d-4914-b678-4c91755ff95b"]}],"mendeley":{"formattedCitation":"[17]","plainTextFormattedCitation":"[17]"},"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[17]</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DD2CF5" w:rsidP="00BA6C3E">
            <w:pPr>
              <w:rPr>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D64B6C"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9</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Girma et al. 2017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{"citationItems":[{"id":"ITEM-1","itemData":{"DOI":"10.21767/1791-809x.1000520","ISBN":"0911721177","abstract":"Background: Drug non adherence is a problem in all areas of medicine, and psychiatry is no exception. Mental health institutions are widely over burdened by mental ill patient who sought frequent treatment as a result of drug non adherence. Although patients suffering from psychiatric disorders are the most likely not to adhere to treatment than any other physical illness; there was no study done to determine the prevalence and associated factors of antipsychotic drug non adherence among schizophrenia patients in Ethiopia. So this study was aimed to assess the prevalence and associated factors of antipsychotic drug non-adherence among patients with schizophrenia attending at Amanuel mental specialized hospital. Methods: An institution based cross-sectional study was conducted on 403 schizophrenia patients attending outpatient department of AMSH from March 26 to April 6, 2013. Morisky Medication Rating Scale and Drug Inventory Attitude were used to collect data. Three trained data collectors and one supervisor were involved in the data collection process. Ethical clearance was obtained from institutional review board of University of Gondar and Amanuel mental specialized hospital. Written informed consent was obtained from the respondents. Result: The study had response rate of 95.3%. A total of 268(66.5%) male were participated in this study. The mean age of participants was 32.7(SD+9.59 years) and age ranged from 18 to 57. Prevalence of antipsychotic drug non adherence was found to be 48.4%. The factors having co-morbid mental illness AOR=2.23, 95%CI (1.12, 4.45), Extra pyramidal side effect AOR=2.66, 95%CI (1.44, 4.91), Poly therapy AOR=2.37, 95%CI (1.21, 4.65), Negative attitude towards treatment AOR=3.79, 95%CI (1.56, 9.23) and alcohol use AOR=4.72, 95%CI (1.79, 12.46) were found to be significantly associated with antipsychotic drug non adherence. Conclusion: About half of patients were found to be non-adherent. The factors substance use, extra pyramidal side effects, co-morbid depression, attitude towards treatment and lack family encouragement were found to be significantly associated with drug non adherence. At last self-reported method used in this study tends to under estimate non adherence conducting further study by combining certain methods is of paramount importance.","author":[{"dropping-particle":"","family":"Girma","given":"Shimelis","non-dropping-particle":"","parse-names":false,"suffix":""},{"dropping-particle":"","family":"Abdisa","given":"Eba","non-dropping-particle":"","parse-names":false,"suffix":""},{"dropping-particle":"","family":"Fikadu","given":"Teshale","non-dropping-particle":"","parse-names":false,"suffix":""}],"container-title":"Health Science Journal","id":"ITEM-1","issue":"4","issued":{"date-parts":[["2017"]]},"title":"Prevalence of Antipsychotic Drug Non Adherence and Associated Factors Among Patients with Schizophrenia Attending at Amanuel Mental Specialized Hospital, Addis Ababa, Ethiopia: Institutional Based Cross Sectional Study","type":"article-journal","volume":"11"},"uris":["http://www.mendeley.com/documents/?uuid=67ace97d-6ea5-4b18-b748-826e20d86612"]}],"mendeley":{"formattedCitation":"[18]","plainTextFormattedCitation":"[18]","previouslyFormattedCitation":"[17]"},"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[18]</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DD2CF5" w:rsidP="00BA6C3E">
            <w:pPr>
              <w:rPr>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D64B6C" w:rsidP="00BA6C3E">
            <w:pPr>
              <w:rPr>
                <w:rFonts w:ascii="Times New Roman" w:hAnsi="Times New Roman" w:cs="Times New Roman"/>
                <w:sz w:val="24"/>
                <w:szCs w:val="24"/>
              </w:rPr>
            </w:pPr>
            <w:r>
              <w:rPr>
                <w:rFonts w:ascii="Times New Roman" w:hAnsi="Times New Roman" w:cs="Times New Roman"/>
                <w:sz w:val="24"/>
                <w:szCs w:val="24"/>
              </w:rPr>
              <w:t>7</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10</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Gudeta et al. – 2023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{"citationItems":[{"id":"ITEM-1","itemData":{"DOI":"10.1371/journal.pone.0283829","ISBN":"1111111111","author":[{"dropping-particle":"","family":"Gudeta","given":"Dinkinesh Begna","non-dropping-particle":"","parse-names":false,"suffix":""},{"dropping-particle":"","family":"Leta","given":"Kassech","non-dropping-particle":"","parse-names":false,"suffix":""},{"dropping-particle":"","family":"Alemu","given":"Birhanu","non-dropping-particle":"","parse-names":false,"suffix":""},{"dropping-particle":"","family":"Kandula","given":"","non-dropping-particle":"","parse-names":false,"suffix":""},{"dropping-particle":"","family":"Rani","given":"Usha","non-dropping-particle":"","parse-names":false,"suffix":""}],"container-title":"PLoS ONE","id":"ITEM-1","issue":"4","issued":{"date-parts":[["2023"]]},"page":"1-14","title":"Medication adherence and associated factors among psychiatry patients at Asella Referral and Teaching Hospital in Oromia , Ethiopia : Institution based cross sectional study","type":"article-journal","volume":"18"},"uris":["http://www.mendeley.com/documents/?uuid=c9041448-0dd2-4059-beb7-826cdced8648"]}],"mendeley":{"formattedCitation":"[19]","plainTextFormattedCitation":"[19]","previouslyFormattedCitation":"[18]"},"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[19]</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9F40C5" w:rsidP="00BA6C3E">
            <w:pPr>
              <w:rPr>
                <w:rFonts w:ascii="Times New Roman" w:hAnsi="Times New Roman" w:cs="Times New Roman"/>
                <w:sz w:val="24"/>
                <w:szCs w:val="24"/>
              </w:rPr>
            </w:pPr>
            <w:r>
              <w:rPr>
                <w:rFonts w:ascii="Times New Roman" w:hAnsi="Times New Roman" w:cs="Times New Roman"/>
                <w:sz w:val="24"/>
                <w:szCs w:val="24"/>
              </w:rPr>
              <w:t>6</w:t>
            </w:r>
          </w:p>
        </w:tc>
      </w:tr>
      <w:tr w:rsidR="00BA6C3E" w:rsidRPr="00BA6C3E" w:rsidTr="009D09D3">
        <w:trPr>
          <w:jc w:val="center"/>
        </w:trPr>
        <w:tc>
          <w:tcPr>
            <w:tcW w:w="625"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11</w:t>
            </w:r>
          </w:p>
        </w:tc>
        <w:tc>
          <w:tcPr>
            <w:tcW w:w="2885" w:type="dxa"/>
            <w:vAlign w:val="bottom"/>
          </w:tcPr>
          <w:p w:rsidR="00BA6C3E" w:rsidRPr="00BA6C3E" w:rsidRDefault="00BA6C3E" w:rsidP="00BA6C3E">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Gurmu et al. 2014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{"citationItems":[{"id":"ITEM-1","itemData":{"DOI":"10.1155/2014/475812","ISSN":"2356-685X","abstract":" Objective. The main aim of this study was to assess the rate of medication nonadherence among psychiatry patients at University of Gondar Hospital. Materials and Methods. Cross-sectional, descriptive method was conducted over a period of one month in May, 2013, at University of Gondar Hospital. Rate of nonadherence was computed using Medication Adherence Rating Scale questionnaire and self-reporting via a structured patient interview. Chi-square was used to determine the statistical significance of the association of variables with adherence. Result. Out of 209 respondents, 105 (50.2%) were found to be nonadherent. Patients who were forced to take their medication against their will (  P &lt; 0.001  ), those who did not believe they require medication (  P = 0.026  ), and those who discontinued their medication without consulting their prescriber (  P &lt; 0.001  ) had significant association with nonadherence. Adherence among schizophrenia was 75.7%; psychotic was 46.7%; bipolar disorder was 37.5%; and psychosis with depression was 52.6%. Reasons for nonadherence included recovery from the illness (26.7%), seeking alternative therapy and unavailability of drugs (18.1% each), adverse drug reaction (12.7%), forgetfulness (10.6%), and being busy (8.6%). Conclusion. The observed rate of antipsychotic medication nonadherence in this study was high. Interventions to increase adherence are therefore crucial. ","author":[{"dropping-particle":"","family":"Endale Gurmu","given":"Abyot","non-dropping-particle":"","parse-names":false,"suffix":""},{"dropping-particle":"","family":"Abdela","given":"Esileman","non-dropping-particle":"","parse-names":false,"suffix":""},{"dropping-particle":"","family":"Allele","given":"Bashir","non-dropping-particle":"","parse-names":false,"suffix":""},{"dropping-particle":"","family":"Cheru","given":"Ermias","non-dropping-particle":"","parse-names":false,"suffix":""},{"dropping-particle":"","family":"Amogne","given":"Bemnet","non-dropping-particle":"","parse-names":false,"suffix":""}],"container-title":"Advances in Psychiatry","id":"ITEM-1","issued":{"date-parts":[["2014"]]},"page":"1-5","title":"Rate of Nonadherence to Antipsychotic Medications and Factors Leading to Nonadherence among Psychiatric Patients in Gondar University Hospital, Northwest Ethiopia","type":"article-journal","volume":"2014"},"uris":["http://www.mendeley.com/documents/?uuid=e2e1431e-d2a9-4634-83ec-7d98c8e83b48"]}],"mendeley":{"formattedCitation":"[20]","plainTextFormattedCitation":"[20]","previouslyFormattedCitation":"[19]"},"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[20]</w:t>
            </w:r>
            <w:r w:rsidRPr="00BA6C3E">
              <w:rPr>
                <w:rFonts w:ascii="Times New Roman" w:hAnsi="Times New Roman" w:cs="Times New Roman"/>
                <w:color w:val="000000"/>
                <w:sz w:val="24"/>
                <w:szCs w:val="24"/>
              </w:rPr>
              <w:fldChar w:fldCharType="end"/>
            </w:r>
          </w:p>
        </w:tc>
        <w:tc>
          <w:tcPr>
            <w:tcW w:w="805"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54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U</w:t>
            </w:r>
          </w:p>
        </w:tc>
        <w:tc>
          <w:tcPr>
            <w:tcW w:w="720" w:type="dxa"/>
          </w:tcPr>
          <w:p w:rsidR="00BA6C3E" w:rsidRPr="00BA6C3E" w:rsidRDefault="000B3A3D" w:rsidP="00BA6C3E">
            <w:pPr>
              <w:rPr>
                <w:sz w:val="24"/>
                <w:szCs w:val="24"/>
              </w:rPr>
            </w:pPr>
            <w:r>
              <w:rPr>
                <w:rFonts w:ascii="Times New Roman" w:hAnsi="Times New Roman" w:cs="Times New Roman"/>
                <w:sz w:val="24"/>
                <w:szCs w:val="24"/>
              </w:rPr>
              <w:t>Y</w:t>
            </w:r>
          </w:p>
        </w:tc>
        <w:tc>
          <w:tcPr>
            <w:tcW w:w="72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630" w:type="dxa"/>
          </w:tcPr>
          <w:p w:rsidR="00BA6C3E" w:rsidRPr="00BA6C3E" w:rsidRDefault="00BA6C3E" w:rsidP="00BA6C3E">
            <w:pPr>
              <w:rPr>
                <w:sz w:val="24"/>
                <w:szCs w:val="24"/>
              </w:rPr>
            </w:pPr>
            <w:r w:rsidRPr="00BA6C3E">
              <w:rPr>
                <w:rFonts w:ascii="Times New Roman" w:hAnsi="Times New Roman" w:cs="Times New Roman"/>
                <w:sz w:val="24"/>
                <w:szCs w:val="24"/>
              </w:rPr>
              <w:t>Y</w:t>
            </w:r>
          </w:p>
        </w:tc>
        <w:tc>
          <w:tcPr>
            <w:tcW w:w="810" w:type="dxa"/>
          </w:tcPr>
          <w:p w:rsidR="00BA6C3E" w:rsidRPr="00BA6C3E" w:rsidRDefault="00BA6C3E" w:rsidP="00BA6C3E">
            <w:pPr>
              <w:rPr>
                <w:rFonts w:ascii="Times New Roman" w:hAnsi="Times New Roman" w:cs="Times New Roman"/>
                <w:sz w:val="24"/>
                <w:szCs w:val="24"/>
              </w:rPr>
            </w:pPr>
            <w:r w:rsidRPr="00BA6C3E">
              <w:rPr>
                <w:rFonts w:ascii="Times New Roman" w:hAnsi="Times New Roman" w:cs="Times New Roman"/>
                <w:sz w:val="24"/>
                <w:szCs w:val="24"/>
              </w:rPr>
              <w:t>5</w:t>
            </w:r>
          </w:p>
        </w:tc>
      </w:tr>
      <w:tr w:rsidR="009F40C5" w:rsidRPr="00BA6C3E" w:rsidTr="009D09D3">
        <w:trPr>
          <w:jc w:val="center"/>
        </w:trPr>
        <w:tc>
          <w:tcPr>
            <w:tcW w:w="625" w:type="dxa"/>
          </w:tcPr>
          <w:p w:rsidR="009F40C5" w:rsidRPr="00BA6C3E" w:rsidRDefault="009F40C5" w:rsidP="009F40C5">
            <w:pPr>
              <w:rPr>
                <w:rFonts w:ascii="Times New Roman" w:hAnsi="Times New Roman" w:cs="Times New Roman"/>
                <w:sz w:val="24"/>
                <w:szCs w:val="24"/>
              </w:rPr>
            </w:pPr>
            <w:r w:rsidRPr="00BA6C3E">
              <w:rPr>
                <w:rFonts w:ascii="Times New Roman" w:hAnsi="Times New Roman" w:cs="Times New Roman"/>
                <w:sz w:val="24"/>
                <w:szCs w:val="24"/>
              </w:rPr>
              <w:t>12</w:t>
            </w:r>
          </w:p>
        </w:tc>
        <w:tc>
          <w:tcPr>
            <w:tcW w:w="2885" w:type="dxa"/>
            <w:vAlign w:val="bottom"/>
          </w:tcPr>
          <w:p w:rsidR="009F40C5" w:rsidRPr="00BA6C3E" w:rsidRDefault="009F40C5" w:rsidP="009F40C5">
            <w:pPr>
              <w:rPr>
                <w:rFonts w:ascii="Times New Roman" w:hAnsi="Times New Roman" w:cs="Times New Roman"/>
                <w:color w:val="000000"/>
                <w:sz w:val="24"/>
                <w:szCs w:val="24"/>
              </w:rPr>
            </w:pPr>
            <w:r w:rsidRPr="009F40C5">
              <w:rPr>
                <w:rFonts w:ascii="Times New Roman" w:hAnsi="Times New Roman" w:cs="Times New Roman"/>
                <w:bCs/>
                <w:color w:val="000000"/>
                <w:sz w:val="24"/>
                <w:szCs w:val="24"/>
              </w:rPr>
              <w:t>Hibdye et al. 2015</w:t>
            </w:r>
          </w:p>
        </w:tc>
        <w:tc>
          <w:tcPr>
            <w:tcW w:w="805" w:type="dxa"/>
          </w:tcPr>
          <w:p w:rsidR="009F40C5" w:rsidRDefault="009F40C5" w:rsidP="009F40C5">
            <w:r w:rsidRPr="00CA222C">
              <w:rPr>
                <w:rFonts w:ascii="Times New Roman" w:hAnsi="Times New Roman" w:cs="Times New Roman"/>
                <w:sz w:val="24"/>
                <w:szCs w:val="24"/>
              </w:rPr>
              <w:t>Y</w:t>
            </w:r>
          </w:p>
        </w:tc>
        <w:tc>
          <w:tcPr>
            <w:tcW w:w="720" w:type="dxa"/>
          </w:tcPr>
          <w:p w:rsidR="009F40C5" w:rsidRDefault="009F40C5" w:rsidP="009F40C5">
            <w:r w:rsidRPr="00CA222C">
              <w:rPr>
                <w:rFonts w:ascii="Times New Roman" w:hAnsi="Times New Roman" w:cs="Times New Roman"/>
                <w:sz w:val="24"/>
                <w:szCs w:val="24"/>
              </w:rPr>
              <w:t>Y</w:t>
            </w:r>
          </w:p>
        </w:tc>
        <w:tc>
          <w:tcPr>
            <w:tcW w:w="540" w:type="dxa"/>
          </w:tcPr>
          <w:p w:rsidR="009F40C5" w:rsidRPr="00BA6C3E" w:rsidRDefault="009F40C5" w:rsidP="009F40C5">
            <w:pPr>
              <w:rPr>
                <w:rFonts w:ascii="Times New Roman" w:hAnsi="Times New Roman" w:cs="Times New Roman"/>
                <w:sz w:val="24"/>
                <w:szCs w:val="24"/>
              </w:rPr>
            </w:pPr>
            <w:r w:rsidRPr="009F40C5">
              <w:rPr>
                <w:rFonts w:ascii="Times New Roman" w:hAnsi="Times New Roman" w:cs="Times New Roman"/>
                <w:sz w:val="24"/>
                <w:szCs w:val="24"/>
              </w:rPr>
              <w:t>Y</w:t>
            </w:r>
          </w:p>
        </w:tc>
        <w:tc>
          <w:tcPr>
            <w:tcW w:w="630" w:type="dxa"/>
          </w:tcPr>
          <w:p w:rsidR="009F40C5" w:rsidRPr="00BA6C3E" w:rsidRDefault="009F40C5" w:rsidP="009F40C5">
            <w:pPr>
              <w:rPr>
                <w:rFonts w:ascii="Times New Roman" w:hAnsi="Times New Roman" w:cs="Times New Roman"/>
                <w:sz w:val="24"/>
                <w:szCs w:val="24"/>
              </w:rPr>
            </w:pPr>
            <w:r w:rsidRPr="009F40C5">
              <w:rPr>
                <w:rFonts w:ascii="Times New Roman" w:hAnsi="Times New Roman" w:cs="Times New Roman"/>
                <w:sz w:val="24"/>
                <w:szCs w:val="24"/>
              </w:rPr>
              <w:t>Y</w:t>
            </w:r>
          </w:p>
        </w:tc>
        <w:tc>
          <w:tcPr>
            <w:tcW w:w="720" w:type="dxa"/>
          </w:tcPr>
          <w:p w:rsidR="009F40C5" w:rsidRPr="00BA6C3E" w:rsidRDefault="009F40C5" w:rsidP="009F40C5">
            <w:pPr>
              <w:rPr>
                <w:rFonts w:ascii="Times New Roman" w:hAnsi="Times New Roman" w:cs="Times New Roman"/>
                <w:sz w:val="24"/>
                <w:szCs w:val="24"/>
              </w:rPr>
            </w:pPr>
            <w:r>
              <w:rPr>
                <w:rFonts w:ascii="Times New Roman" w:hAnsi="Times New Roman" w:cs="Times New Roman"/>
                <w:sz w:val="24"/>
                <w:szCs w:val="24"/>
              </w:rPr>
              <w:t>U</w:t>
            </w:r>
          </w:p>
        </w:tc>
        <w:tc>
          <w:tcPr>
            <w:tcW w:w="720" w:type="dxa"/>
          </w:tcPr>
          <w:p w:rsidR="009F40C5" w:rsidRPr="00BA6C3E" w:rsidRDefault="009F40C5" w:rsidP="009F40C5">
            <w:pPr>
              <w:rPr>
                <w:rFonts w:ascii="Times New Roman" w:hAnsi="Times New Roman" w:cs="Times New Roman"/>
                <w:sz w:val="24"/>
                <w:szCs w:val="24"/>
              </w:rPr>
            </w:pPr>
            <w:r w:rsidRPr="009F40C5">
              <w:rPr>
                <w:rFonts w:ascii="Times New Roman" w:hAnsi="Times New Roman" w:cs="Times New Roman"/>
                <w:sz w:val="24"/>
                <w:szCs w:val="24"/>
              </w:rPr>
              <w:t>Y</w:t>
            </w:r>
          </w:p>
        </w:tc>
        <w:tc>
          <w:tcPr>
            <w:tcW w:w="720" w:type="dxa"/>
          </w:tcPr>
          <w:p w:rsidR="009F40C5" w:rsidRPr="00BA6C3E" w:rsidRDefault="009F40C5" w:rsidP="009F40C5">
            <w:pPr>
              <w:rPr>
                <w:rFonts w:ascii="Times New Roman" w:hAnsi="Times New Roman" w:cs="Times New Roman"/>
                <w:sz w:val="24"/>
                <w:szCs w:val="24"/>
              </w:rPr>
            </w:pPr>
            <w:r w:rsidRPr="009F40C5">
              <w:rPr>
                <w:rFonts w:ascii="Times New Roman" w:hAnsi="Times New Roman" w:cs="Times New Roman"/>
                <w:sz w:val="24"/>
                <w:szCs w:val="24"/>
              </w:rPr>
              <w:t>Y</w:t>
            </w:r>
          </w:p>
        </w:tc>
        <w:tc>
          <w:tcPr>
            <w:tcW w:w="630" w:type="dxa"/>
          </w:tcPr>
          <w:p w:rsidR="009F40C5" w:rsidRPr="00BA6C3E" w:rsidRDefault="009F40C5" w:rsidP="009F40C5">
            <w:pPr>
              <w:rPr>
                <w:rFonts w:ascii="Times New Roman" w:hAnsi="Times New Roman" w:cs="Times New Roman"/>
                <w:sz w:val="24"/>
                <w:szCs w:val="24"/>
              </w:rPr>
            </w:pPr>
            <w:r w:rsidRPr="009F40C5">
              <w:rPr>
                <w:rFonts w:ascii="Times New Roman" w:hAnsi="Times New Roman" w:cs="Times New Roman"/>
                <w:sz w:val="24"/>
                <w:szCs w:val="24"/>
              </w:rPr>
              <w:t>Y</w:t>
            </w:r>
          </w:p>
        </w:tc>
        <w:tc>
          <w:tcPr>
            <w:tcW w:w="810" w:type="dxa"/>
          </w:tcPr>
          <w:p w:rsidR="009F40C5" w:rsidRPr="00BA6C3E" w:rsidRDefault="009F40C5" w:rsidP="009F40C5">
            <w:pPr>
              <w:rPr>
                <w:rFonts w:ascii="Times New Roman" w:hAnsi="Times New Roman" w:cs="Times New Roman"/>
                <w:sz w:val="24"/>
                <w:szCs w:val="24"/>
              </w:rPr>
            </w:pPr>
            <w:r>
              <w:rPr>
                <w:rFonts w:ascii="Times New Roman" w:hAnsi="Times New Roman" w:cs="Times New Roman"/>
                <w:sz w:val="24"/>
                <w:szCs w:val="24"/>
              </w:rPr>
              <w:t>7</w:t>
            </w:r>
          </w:p>
        </w:tc>
      </w:tr>
      <w:tr w:rsidR="009F40C5" w:rsidRPr="00BA6C3E" w:rsidTr="009D09D3">
        <w:trPr>
          <w:jc w:val="center"/>
        </w:trPr>
        <w:tc>
          <w:tcPr>
            <w:tcW w:w="625" w:type="dxa"/>
          </w:tcPr>
          <w:p w:rsidR="009F40C5" w:rsidRPr="00BA6C3E" w:rsidRDefault="009F40C5" w:rsidP="009F40C5">
            <w:pPr>
              <w:rPr>
                <w:rFonts w:ascii="Times New Roman" w:hAnsi="Times New Roman" w:cs="Times New Roman"/>
                <w:sz w:val="24"/>
                <w:szCs w:val="24"/>
              </w:rPr>
            </w:pPr>
            <w:r w:rsidRPr="00BA6C3E">
              <w:rPr>
                <w:rFonts w:ascii="Times New Roman" w:hAnsi="Times New Roman" w:cs="Times New Roman"/>
                <w:sz w:val="24"/>
                <w:szCs w:val="24"/>
              </w:rPr>
              <w:t>13</w:t>
            </w:r>
          </w:p>
        </w:tc>
        <w:tc>
          <w:tcPr>
            <w:tcW w:w="2885" w:type="dxa"/>
            <w:vAlign w:val="bottom"/>
          </w:tcPr>
          <w:p w:rsidR="009F40C5" w:rsidRPr="009F40C5" w:rsidRDefault="009F40C5" w:rsidP="009F40C5">
            <w:pPr>
              <w:rPr>
                <w:rFonts w:ascii="Times New Roman" w:hAnsi="Times New Roman" w:cs="Times New Roman"/>
                <w:bCs/>
                <w:color w:val="000000"/>
                <w:sz w:val="24"/>
                <w:szCs w:val="24"/>
              </w:rPr>
            </w:pPr>
            <w:r w:rsidRPr="009F40C5">
              <w:rPr>
                <w:rFonts w:ascii="Times New Roman" w:hAnsi="Times New Roman" w:cs="Times New Roman"/>
                <w:bCs/>
                <w:color w:val="000000"/>
                <w:sz w:val="24"/>
                <w:szCs w:val="24"/>
              </w:rPr>
              <w:t>Mamo et al. 2016</w:t>
            </w:r>
          </w:p>
        </w:tc>
        <w:tc>
          <w:tcPr>
            <w:tcW w:w="805" w:type="dxa"/>
          </w:tcPr>
          <w:p w:rsidR="009F40C5" w:rsidRPr="00CA222C"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720" w:type="dxa"/>
          </w:tcPr>
          <w:p w:rsidR="009F40C5" w:rsidRPr="00CA222C"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540" w:type="dxa"/>
          </w:tcPr>
          <w:p w:rsidR="009F40C5" w:rsidRPr="009F40C5"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630" w:type="dxa"/>
          </w:tcPr>
          <w:p w:rsidR="009F40C5" w:rsidRPr="009F40C5"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720" w:type="dxa"/>
          </w:tcPr>
          <w:p w:rsidR="009F40C5" w:rsidRDefault="00587D9F" w:rsidP="009F40C5">
            <w:pPr>
              <w:rPr>
                <w:rFonts w:ascii="Times New Roman" w:hAnsi="Times New Roman" w:cs="Times New Roman"/>
                <w:sz w:val="24"/>
                <w:szCs w:val="24"/>
              </w:rPr>
            </w:pPr>
            <w:r>
              <w:rPr>
                <w:rFonts w:ascii="Times New Roman" w:hAnsi="Times New Roman" w:cs="Times New Roman"/>
                <w:sz w:val="24"/>
                <w:szCs w:val="24"/>
              </w:rPr>
              <w:t>U</w:t>
            </w:r>
          </w:p>
        </w:tc>
        <w:tc>
          <w:tcPr>
            <w:tcW w:w="720" w:type="dxa"/>
          </w:tcPr>
          <w:p w:rsidR="009F40C5" w:rsidRPr="009F40C5"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720" w:type="dxa"/>
          </w:tcPr>
          <w:p w:rsidR="009F40C5" w:rsidRPr="009F40C5"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630" w:type="dxa"/>
          </w:tcPr>
          <w:p w:rsidR="009F40C5" w:rsidRPr="009F40C5" w:rsidRDefault="00587D9F" w:rsidP="009F40C5">
            <w:pPr>
              <w:rPr>
                <w:rFonts w:ascii="Times New Roman" w:hAnsi="Times New Roman" w:cs="Times New Roman"/>
                <w:sz w:val="24"/>
                <w:szCs w:val="24"/>
              </w:rPr>
            </w:pPr>
            <w:r w:rsidRPr="00587D9F">
              <w:rPr>
                <w:rFonts w:ascii="Times New Roman" w:hAnsi="Times New Roman" w:cs="Times New Roman"/>
                <w:sz w:val="24"/>
                <w:szCs w:val="24"/>
              </w:rPr>
              <w:t>Y</w:t>
            </w:r>
          </w:p>
        </w:tc>
        <w:tc>
          <w:tcPr>
            <w:tcW w:w="810" w:type="dxa"/>
          </w:tcPr>
          <w:p w:rsidR="009F40C5" w:rsidRDefault="00587D9F" w:rsidP="009F40C5">
            <w:pPr>
              <w:rPr>
                <w:rFonts w:ascii="Times New Roman" w:hAnsi="Times New Roman" w:cs="Times New Roman"/>
                <w:sz w:val="24"/>
                <w:szCs w:val="24"/>
              </w:rPr>
            </w:pPr>
            <w:r>
              <w:rPr>
                <w:rFonts w:ascii="Times New Roman" w:hAnsi="Times New Roman" w:cs="Times New Roman"/>
                <w:sz w:val="24"/>
                <w:szCs w:val="24"/>
              </w:rPr>
              <w:t>7</w:t>
            </w:r>
          </w:p>
        </w:tc>
      </w:tr>
      <w:tr w:rsidR="009F40C5" w:rsidRPr="00BA6C3E" w:rsidTr="009D09D3">
        <w:trPr>
          <w:jc w:val="center"/>
        </w:trPr>
        <w:tc>
          <w:tcPr>
            <w:tcW w:w="625" w:type="dxa"/>
          </w:tcPr>
          <w:p w:rsidR="009F40C5" w:rsidRPr="00BA6C3E" w:rsidRDefault="009F40C5" w:rsidP="009F40C5">
            <w:pPr>
              <w:rPr>
                <w:rFonts w:ascii="Times New Roman" w:hAnsi="Times New Roman" w:cs="Times New Roman"/>
                <w:sz w:val="24"/>
                <w:szCs w:val="24"/>
              </w:rPr>
            </w:pPr>
            <w:r w:rsidRPr="00BA6C3E">
              <w:rPr>
                <w:rFonts w:ascii="Times New Roman" w:hAnsi="Times New Roman" w:cs="Times New Roman"/>
                <w:sz w:val="24"/>
                <w:szCs w:val="24"/>
              </w:rPr>
              <w:t>14</w:t>
            </w:r>
          </w:p>
        </w:tc>
        <w:tc>
          <w:tcPr>
            <w:tcW w:w="2885" w:type="dxa"/>
            <w:vAlign w:val="bottom"/>
          </w:tcPr>
          <w:p w:rsidR="009F40C5" w:rsidRPr="00BA6C3E" w:rsidRDefault="009F40C5" w:rsidP="009F40C5">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Mekuriaw et al. 2016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10.4172/2378-5756.1000434","author":[{"dropping-particle":"","family":"Mekuriaw","given":"Birhanie","non-dropping-particle":"","parse-names":false,"suffix":""},{"dropping-particle":"","family":"Abera","given":"Mubarek","non-dropping-particle":"","parse-names":false,"suffix":""},{"dropping-particle":"","family":"Tessema","given":"Workinesh","non-dropping-particle":"","parse-names":false,"suffix":""},{"dropping-particle":"","family":"Agenagnew","given":"Liyew","non-dropping-particle":"","parse-names":false,"suffix":""},{"dropping-particle":"","family":"Dawud","given":"Badiru","non-dropping-particle":"","parse-names":false,"suffix":""},{"dropping-particle":"","family":"Abdisa","given":"Eba","non-dropping-particle":"","parse-names":false,"suffix":""},{"dropping-particle":"","family":"Tesfaye","given":"Markos","non-dropping-particle":"","parse-names":false,"suffix":""},{"dropping-particle":"","family":"Tolosa","given":"Daniel","non-dropping-particle":"","parse-names":false,"suffix":""},{"dropping-particle":"","family":"Hailsilassie","given":"Hailemariam","non-dropping-particle":"","parse-names":false,"suffix":""},{"dropping-particle":"","family":"Soboka","given":"Matiwos","non-dropping-particle":"","parse-names":false,"suffix":""},{"dropping-particle":"","family":"Mamaru","given":"Almaz","non-dropping-particle":"","parse-names":false,"suffix":""},{"dropping-particle":"","family":"Yeshgeta","given":"Eyerusalem","non-dropping-particle":"","parse-names":false,"suffix":""},{"dropping-particle":"","family":"Kerebih","given":"Habtamu","non-dropping-particle":"","parse-names":false,"suffix":""}],"id":"ITEM-1","issue":"1","issued":{"date-parts":[["2016"]]},"page":"1-7","title":"Medication Non-adherence and Use of Traditional Treatment Among Adult Psychiatric Patients in Jimma Town Treated at Jimma University Teaching","type":"article-journal","volume":"21"},"uris":["http://www.mendeley.com/documents/?uuid=04692d47-3c39-4fd5-af41-a9ff6b4a4a99"]}],"mendeley":{"formattedCitation":"[21]","plainTextFormattedCitation":"[21]","previouslyFormattedCitation":"[20]"},"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[21]</w:t>
            </w:r>
            <w:r w:rsidRPr="00BA6C3E">
              <w:rPr>
                <w:rFonts w:ascii="Times New Roman" w:hAnsi="Times New Roman" w:cs="Times New Roman"/>
                <w:color w:val="000000"/>
                <w:sz w:val="24"/>
                <w:szCs w:val="24"/>
              </w:rPr>
              <w:fldChar w:fldCharType="end"/>
            </w:r>
          </w:p>
        </w:tc>
        <w:tc>
          <w:tcPr>
            <w:tcW w:w="805"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720"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540"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630"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720" w:type="dxa"/>
          </w:tcPr>
          <w:p w:rsidR="009F40C5" w:rsidRPr="00BA6C3E" w:rsidRDefault="009F40C5" w:rsidP="009F40C5">
            <w:pPr>
              <w:rPr>
                <w:sz w:val="24"/>
                <w:szCs w:val="24"/>
              </w:rPr>
            </w:pPr>
            <w:r w:rsidRPr="00BA6C3E">
              <w:rPr>
                <w:rFonts w:ascii="Times New Roman" w:hAnsi="Times New Roman" w:cs="Times New Roman"/>
                <w:sz w:val="24"/>
                <w:szCs w:val="24"/>
              </w:rPr>
              <w:t>U</w:t>
            </w:r>
          </w:p>
        </w:tc>
        <w:tc>
          <w:tcPr>
            <w:tcW w:w="720" w:type="dxa"/>
          </w:tcPr>
          <w:p w:rsidR="009F40C5" w:rsidRPr="00BA6C3E" w:rsidRDefault="009F40C5" w:rsidP="009F40C5">
            <w:pPr>
              <w:rPr>
                <w:sz w:val="24"/>
                <w:szCs w:val="24"/>
              </w:rPr>
            </w:pPr>
            <w:r w:rsidRPr="00BA6C3E">
              <w:rPr>
                <w:rFonts w:ascii="Times New Roman" w:hAnsi="Times New Roman" w:cs="Times New Roman"/>
                <w:sz w:val="24"/>
                <w:szCs w:val="24"/>
              </w:rPr>
              <w:t>U</w:t>
            </w:r>
          </w:p>
        </w:tc>
        <w:tc>
          <w:tcPr>
            <w:tcW w:w="720"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630" w:type="dxa"/>
          </w:tcPr>
          <w:p w:rsidR="009F40C5" w:rsidRPr="00BA6C3E" w:rsidRDefault="009F40C5" w:rsidP="009F40C5">
            <w:pPr>
              <w:rPr>
                <w:sz w:val="24"/>
                <w:szCs w:val="24"/>
              </w:rPr>
            </w:pPr>
            <w:r w:rsidRPr="00BA6C3E">
              <w:rPr>
                <w:rFonts w:ascii="Times New Roman" w:hAnsi="Times New Roman" w:cs="Times New Roman"/>
                <w:sz w:val="24"/>
                <w:szCs w:val="24"/>
              </w:rPr>
              <w:t>Y</w:t>
            </w:r>
          </w:p>
        </w:tc>
        <w:tc>
          <w:tcPr>
            <w:tcW w:w="810" w:type="dxa"/>
          </w:tcPr>
          <w:p w:rsidR="009F40C5" w:rsidRPr="00BA6C3E" w:rsidRDefault="00D64B6C" w:rsidP="009F40C5">
            <w:pPr>
              <w:rPr>
                <w:rFonts w:ascii="Times New Roman" w:hAnsi="Times New Roman" w:cs="Times New Roman"/>
                <w:sz w:val="24"/>
                <w:szCs w:val="24"/>
              </w:rPr>
            </w:pPr>
            <w:r>
              <w:rPr>
                <w:rFonts w:ascii="Times New Roman" w:hAnsi="Times New Roman" w:cs="Times New Roman"/>
                <w:sz w:val="24"/>
                <w:szCs w:val="24"/>
              </w:rPr>
              <w:t>6</w:t>
            </w:r>
          </w:p>
        </w:tc>
      </w:tr>
      <w:tr w:rsidR="00587D9F" w:rsidRPr="00BA6C3E" w:rsidTr="009D09D3">
        <w:trPr>
          <w:jc w:val="center"/>
        </w:trPr>
        <w:tc>
          <w:tcPr>
            <w:tcW w:w="625"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15</w:t>
            </w:r>
          </w:p>
        </w:tc>
        <w:tc>
          <w:tcPr>
            <w:tcW w:w="2885" w:type="dxa"/>
            <w:vAlign w:val="bottom"/>
          </w:tcPr>
          <w:p w:rsidR="00587D9F" w:rsidRPr="00BA6C3E" w:rsidRDefault="00587D9F" w:rsidP="00587D9F">
            <w:pPr>
              <w:rPr>
                <w:rFonts w:ascii="Times New Roman" w:hAnsi="Times New Roman" w:cs="Times New Roman"/>
                <w:color w:val="000000"/>
                <w:sz w:val="24"/>
                <w:szCs w:val="24"/>
              </w:rPr>
            </w:pPr>
            <w:r w:rsidRPr="009F40C5">
              <w:rPr>
                <w:rFonts w:ascii="Times New Roman" w:hAnsi="Times New Roman" w:cs="Times New Roman"/>
                <w:color w:val="000000"/>
                <w:sz w:val="24"/>
                <w:szCs w:val="24"/>
              </w:rPr>
              <w:t>Mogasa et.al.2020</w:t>
            </w:r>
          </w:p>
        </w:tc>
        <w:tc>
          <w:tcPr>
            <w:tcW w:w="805" w:type="dxa"/>
          </w:tcPr>
          <w:p w:rsidR="00587D9F" w:rsidRPr="00BA6C3E" w:rsidRDefault="00587D9F" w:rsidP="00587D9F">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54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rFonts w:ascii="Times New Roman" w:hAnsi="Times New Roman" w:cs="Times New Roman"/>
                <w:sz w:val="24"/>
                <w:szCs w:val="24"/>
              </w:rPr>
            </w:pPr>
            <w:r>
              <w:rPr>
                <w:rFonts w:ascii="Times New Roman" w:hAnsi="Times New Roman" w:cs="Times New Roman"/>
                <w:sz w:val="24"/>
                <w:szCs w:val="24"/>
              </w:rPr>
              <w:t>U</w:t>
            </w:r>
          </w:p>
        </w:tc>
        <w:tc>
          <w:tcPr>
            <w:tcW w:w="720" w:type="dxa"/>
          </w:tcPr>
          <w:p w:rsidR="00587D9F" w:rsidRPr="00BA6C3E" w:rsidRDefault="00587D9F" w:rsidP="00587D9F">
            <w:pPr>
              <w:rPr>
                <w:rFonts w:ascii="Times New Roman" w:hAnsi="Times New Roman" w:cs="Times New Roman"/>
                <w:sz w:val="24"/>
                <w:szCs w:val="24"/>
              </w:rPr>
            </w:pPr>
            <w:r>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810" w:type="dxa"/>
          </w:tcPr>
          <w:p w:rsidR="00587D9F" w:rsidRPr="00BA6C3E" w:rsidRDefault="00D64B6C" w:rsidP="00587D9F">
            <w:pPr>
              <w:rPr>
                <w:rFonts w:ascii="Times New Roman" w:hAnsi="Times New Roman" w:cs="Times New Roman"/>
                <w:sz w:val="24"/>
                <w:szCs w:val="24"/>
              </w:rPr>
            </w:pPr>
            <w:r>
              <w:rPr>
                <w:rFonts w:ascii="Times New Roman" w:hAnsi="Times New Roman" w:cs="Times New Roman"/>
                <w:sz w:val="24"/>
                <w:szCs w:val="24"/>
              </w:rPr>
              <w:t>7</w:t>
            </w:r>
          </w:p>
        </w:tc>
      </w:tr>
      <w:tr w:rsidR="00587D9F" w:rsidRPr="00BA6C3E" w:rsidTr="009D09D3">
        <w:trPr>
          <w:jc w:val="center"/>
        </w:trPr>
        <w:tc>
          <w:tcPr>
            <w:tcW w:w="625"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16</w:t>
            </w:r>
          </w:p>
        </w:tc>
        <w:tc>
          <w:tcPr>
            <w:tcW w:w="2885" w:type="dxa"/>
            <w:vAlign w:val="bottom"/>
          </w:tcPr>
          <w:p w:rsidR="00587D9F" w:rsidRPr="00BA6C3E" w:rsidRDefault="00587D9F" w:rsidP="00587D9F">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Mohammed et al. 2024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10.1186/s12888-024-05554-0","ISBN":"1288802405554","author":[{"dropping-particle":"","family":"Mohammed","given":"Fethia","non-dropping-particle":"","parse-names":false,"suffix":""},{"dropping-particle":"","family":"Geda","given":"Biftu","non-dropping-particle":"","parse-names":false,"suffix":""},{"dropping-particle":"","family":"Yadeta","given":"Tesfaye Assebe","non-dropping-particle":"","parse-names":false,"suffix":""},{"dropping-particle":"","family":"Dessie","given":"Yadeta","non-dropping-particle":"","parse-names":false,"suffix":""}],"container-title":"BMC Psychiatry","id":"ITEM-1","issue":"108","issued":{"date-parts":[["2024"]]},"page":"1-12","title":"Antipsychotic medication non-adherence and factors associated among patients with schizophrenia in eastern Ethiopia","type":"article-journal","volume":"24"},"uris":["http://www.mendeley.com/documents/?uuid=1aee3a9e-65a6-4b31-ac31-1361ec9712ca"]}],"mendeley":{"formattedCitation":"[9]","plainTextFormattedCitation":"[9]","previouslyFormattedCitation":"[9]"},"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[9]</w:t>
            </w:r>
            <w:r w:rsidRPr="00BA6C3E">
              <w:rPr>
                <w:rFonts w:ascii="Times New Roman" w:hAnsi="Times New Roman" w:cs="Times New Roman"/>
                <w:color w:val="000000"/>
                <w:sz w:val="24"/>
                <w:szCs w:val="24"/>
              </w:rPr>
              <w:fldChar w:fldCharType="end"/>
            </w:r>
          </w:p>
        </w:tc>
        <w:tc>
          <w:tcPr>
            <w:tcW w:w="805"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54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U</w:t>
            </w:r>
          </w:p>
        </w:tc>
        <w:tc>
          <w:tcPr>
            <w:tcW w:w="720" w:type="dxa"/>
          </w:tcPr>
          <w:p w:rsidR="00587D9F" w:rsidRPr="00BA6C3E" w:rsidRDefault="00587D9F" w:rsidP="00587D9F">
            <w:pPr>
              <w:rPr>
                <w:sz w:val="24"/>
                <w:szCs w:val="24"/>
              </w:rPr>
            </w:pPr>
            <w:r>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810"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7</w:t>
            </w:r>
          </w:p>
        </w:tc>
      </w:tr>
      <w:tr w:rsidR="00587D9F" w:rsidRPr="00BA6C3E" w:rsidTr="009D09D3">
        <w:trPr>
          <w:jc w:val="center"/>
        </w:trPr>
        <w:tc>
          <w:tcPr>
            <w:tcW w:w="625"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1</w:t>
            </w:r>
            <w:r>
              <w:rPr>
                <w:rFonts w:ascii="Times New Roman" w:hAnsi="Times New Roman" w:cs="Times New Roman"/>
                <w:sz w:val="24"/>
                <w:szCs w:val="24"/>
              </w:rPr>
              <w:t>7</w:t>
            </w:r>
          </w:p>
        </w:tc>
        <w:tc>
          <w:tcPr>
            <w:tcW w:w="2885" w:type="dxa"/>
            <w:vAlign w:val="bottom"/>
          </w:tcPr>
          <w:p w:rsidR="00587D9F" w:rsidRPr="00BA6C3E" w:rsidRDefault="00587D9F" w:rsidP="00587D9F">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Mulugeta 2020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{"citationItems":[{"id":"ITEM-1","itemData":{"author":[{"dropping-particle":"","family":"Mulugeta","given":"Selam","non-dropping-particle":"","parse-names":false,"suffix":""}],"id":"ITEM-1","issued":{"date-parts":[["2020"]]},"number-of-pages":"1-37","title":"Non-adherence to antidepressant treatment and its predictors among outpatients with depressive disorders, a hospital-based cross-sectional study in Addis Ababa, Ethiopia","type":"thesis"},"uris":["http://www.mendeley.com/documents/?uuid=0246f540-c21e-4b33-865e-2a641ff6c0c5"]}],"mendeley":{"formattedCitation":"[7]","plainTextFormattedCitation":"[7]","previouslyFormattedCitation":"[7]"},"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[7]</w:t>
            </w:r>
            <w:r w:rsidRPr="00BA6C3E">
              <w:rPr>
                <w:rFonts w:ascii="Times New Roman" w:hAnsi="Times New Roman" w:cs="Times New Roman"/>
                <w:color w:val="000000"/>
                <w:sz w:val="24"/>
                <w:szCs w:val="24"/>
              </w:rPr>
              <w:fldChar w:fldCharType="end"/>
            </w:r>
          </w:p>
        </w:tc>
        <w:tc>
          <w:tcPr>
            <w:tcW w:w="805"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54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U</w:t>
            </w:r>
          </w:p>
        </w:tc>
        <w:tc>
          <w:tcPr>
            <w:tcW w:w="720" w:type="dxa"/>
          </w:tcPr>
          <w:p w:rsidR="00587D9F" w:rsidRPr="00BA6C3E" w:rsidRDefault="00587D9F" w:rsidP="00587D9F">
            <w:pPr>
              <w:rPr>
                <w:sz w:val="24"/>
                <w:szCs w:val="24"/>
              </w:rPr>
            </w:pPr>
            <w:r>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810"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8</w:t>
            </w:r>
          </w:p>
        </w:tc>
      </w:tr>
      <w:tr w:rsidR="00587D9F" w:rsidRPr="00BA6C3E" w:rsidTr="009D09D3">
        <w:trPr>
          <w:jc w:val="center"/>
        </w:trPr>
        <w:tc>
          <w:tcPr>
            <w:tcW w:w="625" w:type="dxa"/>
          </w:tcPr>
          <w:p w:rsidR="00587D9F" w:rsidRPr="00BA6C3E" w:rsidRDefault="00587D9F" w:rsidP="00587D9F">
            <w:pPr>
              <w:rPr>
                <w:rFonts w:ascii="Times New Roman" w:hAnsi="Times New Roman" w:cs="Times New Roman"/>
                <w:sz w:val="24"/>
                <w:szCs w:val="24"/>
              </w:rPr>
            </w:pPr>
            <w:r w:rsidRPr="00BA6C3E">
              <w:rPr>
                <w:rFonts w:ascii="Times New Roman" w:hAnsi="Times New Roman" w:cs="Times New Roman"/>
                <w:sz w:val="24"/>
                <w:szCs w:val="24"/>
              </w:rPr>
              <w:t>1</w:t>
            </w:r>
            <w:r>
              <w:rPr>
                <w:rFonts w:ascii="Times New Roman" w:hAnsi="Times New Roman" w:cs="Times New Roman"/>
                <w:sz w:val="24"/>
                <w:szCs w:val="24"/>
              </w:rPr>
              <w:t>8</w:t>
            </w:r>
          </w:p>
        </w:tc>
        <w:tc>
          <w:tcPr>
            <w:tcW w:w="2885" w:type="dxa"/>
            <w:vAlign w:val="bottom"/>
          </w:tcPr>
          <w:p w:rsidR="00587D9F" w:rsidRPr="00BA6C3E" w:rsidRDefault="00587D9F" w:rsidP="00587D9F">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Nega et al. 2018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{"citationItems":[{"id":"ITEM-1","itemData":{"abstract":"Background: Major psychiatric disorders have significant contributions to the global burden of disease. The pharmacological management of major psychiatric disorders is mainly challenged by patients' lack of adherence to their medication. Although it may be well studied in the developed world, it is not well documented in less developed countries, including Ethiopia. Therefore, the aim of this study was to assess the prevalence of psychotropic medication non-adherence and its associated factors among psychiatric patients at two selected hospitals in eastern Ethiopia. Methods: A hospital-based cross-sectional quantitative study was conducted at Hiwot Fana Specialized University Hospital and Dil Chora Hospital from May to June, 2015. A systematic sampling method was applied to recruit 660 adult patients (18 years and older) with major psychiatric disorders at two selected hospitals in the eastern Ethiopia. The patients' psychotropic medication non-adherence, attitude towards medication, perceived stigma and social support were assessed using adapted tools. Collected data were entered into EpiData version 3.5.3 and then exported to Statistical Package for social sciences (SPSS) version 20.0 for analysis. Descriptive and logistic regression analysis were carried out. Statistical association was declared using adjusted odds ratio (AOR) at 95% confidence interval (CI) and p&lt; 0.05. Results: The prevalence of psychotropic medication non-adherence was 61.2% (95% CI: 57.3-65.0%). Being female (AOR=2.3; 95% CI: 1.4-3.8); taking low potency typical antipsychotic with antidepressants concomitantly (AOR=2.7; 95% CI:1.0-6.9); being on treatment from 6 to 24 months (AOR=2.3; 95% CI:1.4,3.8); more than 24 months (AOR=2.5; 95% CI:1.5-4.1); substance use (AOR=2.6; 95% CI;1.7-4.0); perceived stigma (AOR=2.2; 95% CI:1.5-3.1); patient's poor attitude towards the medication (AOR=3.0; 95%CI:1.8-5.1), and poor social support (AOR=1.8; 95%CI:1.3-2.7) were the factors associated with psychotropic medications non-adherence. Conclusion: About two-third of the major psychiatric patients were non-adherent to their psychotropic medication. The non-adherence was significantly associated with being female, low potency treatment and concurrently ill, long treatment duration, substance use, perceived stigma, poor attitude towards medications and lack of social support. Therefore, concerned stakeholders should focus on the associated factors in order to improve adherence to psychotropic me…","author":[{"dropping-particle":"","family":"Nega","given":"Mulugeta","non-dropping-particle":"","parse-names":false,"suffix":""},{"dropping-particle":"","family":"Demissie","given":"Mekdes","non-dropping-particle":"","parse-names":false,"suffix":""},{"dropping-particle":"","family":"Semahegn","given":"Agumasie","non-dropping-particle":"","parse-names":false,"suffix":""},{"dropping-particle":"","family":"Tesfaye","given":"Gezahegn","non-dropping-particle":"","parse-names":false,"suffix":""}],"container-title":"East African Journal of Health and Biomedical Sciences","id":"ITEM-1","issue":"2","issued":{"date-parts":[["2018"]]},"page":"45-54","title":"Psychotropic Medication Non-Adherence among Psychiatric Patients at Two Hospitals in Eastern Ethiopia","type":"article-journal","volume":"2"},"uris":["http://www.mendeley.com/documents/?uuid=99fd62b7-fa3c-45dd-8d82-3265720114d6"]}],"mendeley":{"formattedCitation":"[22]","plainTextFormattedCitation":"[22]","previouslyFormattedCitation":"[21]"},"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[22]</w:t>
            </w:r>
            <w:r w:rsidRPr="00BA6C3E">
              <w:rPr>
                <w:rFonts w:ascii="Times New Roman" w:hAnsi="Times New Roman" w:cs="Times New Roman"/>
                <w:color w:val="000000"/>
                <w:sz w:val="24"/>
                <w:szCs w:val="24"/>
              </w:rPr>
              <w:fldChar w:fldCharType="end"/>
            </w:r>
          </w:p>
        </w:tc>
        <w:tc>
          <w:tcPr>
            <w:tcW w:w="805"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54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U</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U</w:t>
            </w:r>
          </w:p>
        </w:tc>
        <w:tc>
          <w:tcPr>
            <w:tcW w:w="72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630" w:type="dxa"/>
          </w:tcPr>
          <w:p w:rsidR="00587D9F" w:rsidRPr="00BA6C3E" w:rsidRDefault="00587D9F" w:rsidP="00587D9F">
            <w:pPr>
              <w:rPr>
                <w:sz w:val="24"/>
                <w:szCs w:val="24"/>
              </w:rPr>
            </w:pPr>
            <w:r w:rsidRPr="00BA6C3E">
              <w:rPr>
                <w:rFonts w:ascii="Times New Roman" w:hAnsi="Times New Roman" w:cs="Times New Roman"/>
                <w:sz w:val="24"/>
                <w:szCs w:val="24"/>
              </w:rPr>
              <w:t>Y</w:t>
            </w:r>
          </w:p>
        </w:tc>
        <w:tc>
          <w:tcPr>
            <w:tcW w:w="810" w:type="dxa"/>
          </w:tcPr>
          <w:p w:rsidR="00587D9F" w:rsidRPr="00BA6C3E" w:rsidRDefault="00D64B6C" w:rsidP="00587D9F">
            <w:pPr>
              <w:rPr>
                <w:rFonts w:ascii="Times New Roman" w:hAnsi="Times New Roman" w:cs="Times New Roman"/>
                <w:sz w:val="24"/>
                <w:szCs w:val="24"/>
              </w:rPr>
            </w:pPr>
            <w:r>
              <w:rPr>
                <w:rFonts w:ascii="Times New Roman" w:hAnsi="Times New Roman" w:cs="Times New Roman"/>
                <w:sz w:val="24"/>
                <w:szCs w:val="24"/>
              </w:rPr>
              <w:t>6</w:t>
            </w:r>
          </w:p>
        </w:tc>
      </w:tr>
      <w:tr w:rsidR="0041699F" w:rsidRPr="00BA6C3E" w:rsidTr="009D09D3">
        <w:trPr>
          <w:jc w:val="center"/>
        </w:trPr>
        <w:tc>
          <w:tcPr>
            <w:tcW w:w="625" w:type="dxa"/>
          </w:tcPr>
          <w:p w:rsidR="0041699F" w:rsidRPr="00BA6C3E" w:rsidRDefault="0041699F" w:rsidP="0041699F">
            <w:pPr>
              <w:rPr>
                <w:rFonts w:ascii="Times New Roman" w:hAnsi="Times New Roman" w:cs="Times New Roman"/>
                <w:sz w:val="24"/>
                <w:szCs w:val="24"/>
              </w:rPr>
            </w:pPr>
            <w:r>
              <w:rPr>
                <w:rFonts w:ascii="Times New Roman" w:hAnsi="Times New Roman" w:cs="Times New Roman"/>
                <w:sz w:val="24"/>
                <w:szCs w:val="24"/>
              </w:rPr>
              <w:t>19</w:t>
            </w:r>
          </w:p>
        </w:tc>
        <w:tc>
          <w:tcPr>
            <w:tcW w:w="2885" w:type="dxa"/>
            <w:vAlign w:val="bottom"/>
          </w:tcPr>
          <w:p w:rsidR="0041699F" w:rsidRPr="00BA6C3E" w:rsidRDefault="0041699F" w:rsidP="0041699F">
            <w:pPr>
              <w:rPr>
                <w:rFonts w:ascii="Times New Roman" w:hAnsi="Times New Roman" w:cs="Times New Roman"/>
                <w:color w:val="000000"/>
                <w:sz w:val="24"/>
                <w:szCs w:val="24"/>
              </w:rPr>
            </w:pPr>
            <w:r w:rsidRPr="0041699F">
              <w:rPr>
                <w:rFonts w:ascii="Times New Roman" w:hAnsi="Times New Roman" w:cs="Times New Roman"/>
                <w:color w:val="000000"/>
                <w:sz w:val="24"/>
                <w:szCs w:val="24"/>
              </w:rPr>
              <w:t>Tamene et al. 2024</w:t>
            </w:r>
          </w:p>
        </w:tc>
        <w:tc>
          <w:tcPr>
            <w:tcW w:w="805" w:type="dxa"/>
          </w:tcPr>
          <w:p w:rsidR="0041699F" w:rsidRDefault="0041699F" w:rsidP="0041699F">
            <w:r w:rsidRPr="00BE15DD">
              <w:rPr>
                <w:rFonts w:ascii="Times New Roman" w:hAnsi="Times New Roman" w:cs="Times New Roman"/>
                <w:sz w:val="24"/>
                <w:szCs w:val="24"/>
              </w:rPr>
              <w:t>Y</w:t>
            </w:r>
          </w:p>
        </w:tc>
        <w:tc>
          <w:tcPr>
            <w:tcW w:w="720" w:type="dxa"/>
          </w:tcPr>
          <w:p w:rsidR="0041699F" w:rsidRDefault="0041699F" w:rsidP="0041699F">
            <w:r w:rsidRPr="00BE15DD">
              <w:rPr>
                <w:rFonts w:ascii="Times New Roman" w:hAnsi="Times New Roman" w:cs="Times New Roman"/>
                <w:sz w:val="24"/>
                <w:szCs w:val="24"/>
              </w:rPr>
              <w:t>Y</w:t>
            </w:r>
          </w:p>
        </w:tc>
        <w:tc>
          <w:tcPr>
            <w:tcW w:w="540" w:type="dxa"/>
          </w:tcPr>
          <w:p w:rsidR="0041699F" w:rsidRDefault="0041699F" w:rsidP="0041699F">
            <w:r w:rsidRPr="00BE15DD">
              <w:rPr>
                <w:rFonts w:ascii="Times New Roman" w:hAnsi="Times New Roman" w:cs="Times New Roman"/>
                <w:sz w:val="24"/>
                <w:szCs w:val="24"/>
              </w:rPr>
              <w:t>Y</w:t>
            </w:r>
          </w:p>
        </w:tc>
        <w:tc>
          <w:tcPr>
            <w:tcW w:w="630" w:type="dxa"/>
          </w:tcPr>
          <w:p w:rsidR="0041699F" w:rsidRDefault="0041699F" w:rsidP="0041699F">
            <w:r w:rsidRPr="00BE15DD">
              <w:rPr>
                <w:rFonts w:ascii="Times New Roman" w:hAnsi="Times New Roman" w:cs="Times New Roman"/>
                <w:sz w:val="24"/>
                <w:szCs w:val="24"/>
              </w:rPr>
              <w:t>Y</w:t>
            </w:r>
          </w:p>
        </w:tc>
        <w:tc>
          <w:tcPr>
            <w:tcW w:w="720" w:type="dxa"/>
          </w:tcPr>
          <w:p w:rsidR="0041699F" w:rsidRDefault="0041699F" w:rsidP="0041699F">
            <w:r>
              <w:rPr>
                <w:rFonts w:ascii="Times New Roman" w:hAnsi="Times New Roman" w:cs="Times New Roman"/>
                <w:sz w:val="24"/>
                <w:szCs w:val="24"/>
              </w:rPr>
              <w:t>U</w:t>
            </w:r>
          </w:p>
        </w:tc>
        <w:tc>
          <w:tcPr>
            <w:tcW w:w="720" w:type="dxa"/>
          </w:tcPr>
          <w:p w:rsidR="0041699F" w:rsidRDefault="0041699F" w:rsidP="0041699F">
            <w:r w:rsidRPr="00BE15DD">
              <w:rPr>
                <w:rFonts w:ascii="Times New Roman" w:hAnsi="Times New Roman" w:cs="Times New Roman"/>
                <w:sz w:val="24"/>
                <w:szCs w:val="24"/>
              </w:rPr>
              <w:t>Y</w:t>
            </w:r>
          </w:p>
        </w:tc>
        <w:tc>
          <w:tcPr>
            <w:tcW w:w="720" w:type="dxa"/>
          </w:tcPr>
          <w:p w:rsidR="0041699F" w:rsidRDefault="0041699F" w:rsidP="0041699F">
            <w:r w:rsidRPr="00BE15DD">
              <w:rPr>
                <w:rFonts w:ascii="Times New Roman" w:hAnsi="Times New Roman" w:cs="Times New Roman"/>
                <w:sz w:val="24"/>
                <w:szCs w:val="24"/>
              </w:rPr>
              <w:t>Y</w:t>
            </w:r>
          </w:p>
        </w:tc>
        <w:tc>
          <w:tcPr>
            <w:tcW w:w="630" w:type="dxa"/>
          </w:tcPr>
          <w:p w:rsidR="0041699F" w:rsidRDefault="0041699F" w:rsidP="0041699F">
            <w:r w:rsidRPr="00BE15DD">
              <w:rPr>
                <w:rFonts w:ascii="Times New Roman" w:hAnsi="Times New Roman" w:cs="Times New Roman"/>
                <w:sz w:val="24"/>
                <w:szCs w:val="24"/>
              </w:rPr>
              <w:t>Y</w:t>
            </w:r>
          </w:p>
        </w:tc>
        <w:tc>
          <w:tcPr>
            <w:tcW w:w="810" w:type="dxa"/>
          </w:tcPr>
          <w:p w:rsidR="0041699F" w:rsidRDefault="0041699F" w:rsidP="0041699F">
            <w:pPr>
              <w:rPr>
                <w:rFonts w:ascii="Times New Roman" w:hAnsi="Times New Roman" w:cs="Times New Roman"/>
                <w:sz w:val="24"/>
                <w:szCs w:val="24"/>
              </w:rPr>
            </w:pPr>
            <w:r>
              <w:rPr>
                <w:rFonts w:ascii="Times New Roman" w:hAnsi="Times New Roman" w:cs="Times New Roman"/>
                <w:sz w:val="24"/>
                <w:szCs w:val="24"/>
              </w:rPr>
              <w:t>7</w:t>
            </w:r>
          </w:p>
        </w:tc>
      </w:tr>
      <w:tr w:rsidR="00E461B3" w:rsidRPr="00BA6C3E" w:rsidTr="009D09D3">
        <w:trPr>
          <w:jc w:val="center"/>
        </w:trPr>
        <w:tc>
          <w:tcPr>
            <w:tcW w:w="625" w:type="dxa"/>
          </w:tcPr>
          <w:p w:rsidR="00E461B3" w:rsidRPr="00BA6C3E" w:rsidRDefault="00E461B3" w:rsidP="00E461B3">
            <w:pPr>
              <w:rPr>
                <w:rFonts w:ascii="Times New Roman" w:hAnsi="Times New Roman" w:cs="Times New Roman"/>
                <w:sz w:val="24"/>
                <w:szCs w:val="24"/>
              </w:rPr>
            </w:pPr>
            <w:r>
              <w:rPr>
                <w:rFonts w:ascii="Times New Roman" w:hAnsi="Times New Roman" w:cs="Times New Roman"/>
                <w:sz w:val="24"/>
                <w:szCs w:val="24"/>
              </w:rPr>
              <w:t>20</w:t>
            </w:r>
          </w:p>
        </w:tc>
        <w:tc>
          <w:tcPr>
            <w:tcW w:w="2885" w:type="dxa"/>
            <w:vAlign w:val="bottom"/>
          </w:tcPr>
          <w:p w:rsidR="00E461B3" w:rsidRPr="00BA6C3E" w:rsidRDefault="00E461B3" w:rsidP="00E461B3">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Tareke et al. 2018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{"citationItems":[{"id":"ITEM-1","itemData":{"DOI":"10.4102/ sajpsychiatry.v24i0.1124","author":[{"dropping-particle":"","family":"Tareke","given":"Minale","non-dropping-particle":"","parse-names":false,"suffix":""},{"dropping-particle":"","family":"Tesfaye","given":"Siranesh","non-dropping-particle":"","parse-names":false,"suffix":""},{"dropping-particle":"","family":"Amare","given":"Desalegn","non-dropping-particle":"","parse-names":false,"suffix":""},{"dropping-particle":"","family":"Belete","given":"Tilahun","non-dropping-particle":"","parse-names":false,"suffix":""},{"dropping-particle":"","family":"Abate","given":"Andargie","non-dropping-particle":"","parse-names":false,"suffix":""},{"dropping-particle":"","family":"Science","given":"Health","non-dropping-particle":"","parse-names":false,"suffix":""},{"dropping-particle":"","family":"Dar","given":"Bahir","non-dropping-particle":"","parse-names":false,"suffix":""},{"dropping-particle":"","family":"Referral","given":"Felege Hiwot","non-dropping-particle":"","parse-names":false,"suffix":""},{"dropping-particle":"","family":"Unit","given":"Psychiatry","non-dropping-particle":"","parse-names":false,"suffix":""}],"container-title":"South African Journal of Psychiatry","id":"ITEM-1","issue":"0","issued":{"date-parts":[["2018"]]},"page":"1-6","title":"Antipsychotic medication non-adherence among schizophrenia patients in Central Ethiopia","type":"article-journal","volume":"24"},"uris":["http://www.mendeley.com/documents/?uuid=a14e6226-2363-4e00-96b4-13401f062578"]}],"mendeley":{"formattedCitation":"[23]","plainTextFormattedCitation":"[23]","previouslyFormattedCitation":"[22]"},"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[23]</w:t>
            </w:r>
            <w:r w:rsidRPr="00BA6C3E">
              <w:rPr>
                <w:rFonts w:ascii="Times New Roman" w:hAnsi="Times New Roman" w:cs="Times New Roman"/>
                <w:color w:val="000000"/>
                <w:sz w:val="24"/>
                <w:szCs w:val="24"/>
              </w:rPr>
              <w:fldChar w:fldCharType="end"/>
            </w:r>
          </w:p>
        </w:tc>
        <w:tc>
          <w:tcPr>
            <w:tcW w:w="805"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54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U</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U</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810" w:type="dxa"/>
          </w:tcPr>
          <w:p w:rsidR="00E461B3" w:rsidRPr="00BA6C3E" w:rsidRDefault="00E461B3" w:rsidP="00E461B3">
            <w:pPr>
              <w:rPr>
                <w:rFonts w:ascii="Times New Roman" w:hAnsi="Times New Roman" w:cs="Times New Roman"/>
                <w:sz w:val="24"/>
                <w:szCs w:val="24"/>
              </w:rPr>
            </w:pPr>
            <w:r>
              <w:rPr>
                <w:rFonts w:ascii="Times New Roman" w:hAnsi="Times New Roman" w:cs="Times New Roman"/>
                <w:sz w:val="24"/>
                <w:szCs w:val="24"/>
              </w:rPr>
              <w:t>6</w:t>
            </w:r>
          </w:p>
        </w:tc>
      </w:tr>
      <w:tr w:rsidR="00E461B3" w:rsidRPr="00BA6C3E" w:rsidTr="009D09D3">
        <w:trPr>
          <w:jc w:val="center"/>
        </w:trPr>
        <w:tc>
          <w:tcPr>
            <w:tcW w:w="625" w:type="dxa"/>
          </w:tcPr>
          <w:p w:rsidR="00E461B3" w:rsidRPr="00BA6C3E" w:rsidRDefault="00E461B3" w:rsidP="00E461B3">
            <w:pPr>
              <w:rPr>
                <w:rFonts w:ascii="Times New Roman" w:hAnsi="Times New Roman" w:cs="Times New Roman"/>
                <w:sz w:val="24"/>
                <w:szCs w:val="24"/>
              </w:rPr>
            </w:pPr>
            <w:r>
              <w:rPr>
                <w:rFonts w:ascii="Times New Roman" w:hAnsi="Times New Roman" w:cs="Times New Roman"/>
                <w:sz w:val="24"/>
                <w:szCs w:val="24"/>
              </w:rPr>
              <w:t>21</w:t>
            </w:r>
          </w:p>
        </w:tc>
        <w:tc>
          <w:tcPr>
            <w:tcW w:w="2885" w:type="dxa"/>
            <w:vAlign w:val="bottom"/>
          </w:tcPr>
          <w:p w:rsidR="00E461B3" w:rsidRPr="00BA6C3E" w:rsidRDefault="00E461B3" w:rsidP="00E461B3">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Tesfaye et. al. 2013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{"citationItems":[{"id":"ITEM-1","itemData":{"DOI":"10.4314/ejhs.v23i3.5","ISSN":"10291857","PMID":"24307822","abstract":"BACKGROUND: Information on adherence of adult psychiatric patients to biological modes of treatment is scarce in Ethiopia. Knowledge on adherence is essential in terms of future prognosis, quality of life and functionality of such patients. This study was conducted to assess the magnitude and associated factors of non-adherence to medication.\nMETHODS: A hospital based cross-sectional study was conducted in November 2011 at the psychiatry facility of Jimma University Specialized Hospital, which provides service to more than 10 mill people. A sample of 422 adults with psychiatric illness in the follow-up outpatients was selected consecutively. Data was collected using a pre-tested questionnaire by face-to-face interview and from patient medical records. The four-item Morisky scale was used to assess degree of medication adherence. Data was analyzed using SPSS version 16 and descriptive, chi-square test and logistic regression statistical methods were used. P-Value of less than 0.05 was considered as statistically significant in the final model.\nRESULTS: Out of the 422 patients, 40.3% were females and 59.7% males. The prevalence rate for non-adherence was 41.2%, non-affective psychoses diagnosis contributing the highest rate (44.5%). From the total non-adherent respondents, 78.2% attributed their non-adherence to forgetting. Irregular follow-up, poor social support and complex drug regimen were independently associated variables with non-adherence.\nCONCLUSIONS: The result of the study showed that non-adherence among psychiatric patients in Southwest Ethiopia is high and revealed possible associated factors. Adherence needs integrated efforts in creating a mechanism in enhancing regular follow-up, informal social support system and ongoing awareness creation among professionals.","author":[{"dropping-particle":"","family":"Tesfay","given":"Kenfe","non-dropping-particle":"","parse-names":false,"suffix":""},{"dropping-particle":"","family":"Girma","given":"Eshetu","non-dropping-particle":"","parse-names":false,"suffix":""},{"dropping-particle":"","family":"Negash","given":"Alemayehu","non-dropping-particle":"","parse-names":false,"suffix":""},{"dropping-particle":"","family":"Tesfaye","given":"Markos","non-dropping-particle":"","parse-names":false,"suffix":""},{"dropping-particle":"","family":"Dehning","given":"Sandra","non-dropping-particle":"","parse-names":false,"suffix":""}],"container-title":"Ethiopian journal of health sciences","id":"ITEM-1","issue":"3","issued":{"date-parts":[["2013"]]},"page":"227-236","title":"Medication non-adherence among adult psychiatric out patients in Jimma University Specialized Hospital, Southwest Ethiopia","type":"article-journal","volume":"23"},"uris":["http://www.mendeley.com/documents/?uuid=4ec36932-4e81-499a-9874-0c83cbebef4e"]}],"mendeley":{"formattedCitation":"[25]","plainTextFormattedCitation":"[25]","previouslyFormattedCitation":"[24]"},"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[25]</w:t>
            </w:r>
            <w:r w:rsidRPr="00BA6C3E">
              <w:rPr>
                <w:rFonts w:ascii="Times New Roman" w:hAnsi="Times New Roman" w:cs="Times New Roman"/>
                <w:color w:val="000000"/>
                <w:sz w:val="24"/>
                <w:szCs w:val="24"/>
              </w:rPr>
              <w:fldChar w:fldCharType="end"/>
            </w:r>
          </w:p>
        </w:tc>
        <w:tc>
          <w:tcPr>
            <w:tcW w:w="805"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54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U</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U</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810" w:type="dxa"/>
          </w:tcPr>
          <w:p w:rsidR="00E461B3" w:rsidRPr="00BA6C3E" w:rsidRDefault="00E461B3" w:rsidP="00E461B3">
            <w:pPr>
              <w:rPr>
                <w:rFonts w:ascii="Times New Roman" w:hAnsi="Times New Roman" w:cs="Times New Roman"/>
                <w:sz w:val="24"/>
                <w:szCs w:val="24"/>
              </w:rPr>
            </w:pPr>
            <w:r>
              <w:rPr>
                <w:rFonts w:ascii="Times New Roman" w:hAnsi="Times New Roman" w:cs="Times New Roman"/>
                <w:sz w:val="24"/>
                <w:szCs w:val="24"/>
              </w:rPr>
              <w:t>6</w:t>
            </w:r>
          </w:p>
        </w:tc>
      </w:tr>
      <w:tr w:rsidR="00E461B3" w:rsidRPr="00BA6C3E" w:rsidTr="009D09D3">
        <w:trPr>
          <w:trHeight w:val="242"/>
          <w:jc w:val="center"/>
        </w:trPr>
        <w:tc>
          <w:tcPr>
            <w:tcW w:w="625" w:type="dxa"/>
          </w:tcPr>
          <w:p w:rsidR="00E461B3" w:rsidRPr="00BA6C3E" w:rsidRDefault="00E461B3" w:rsidP="00E461B3">
            <w:pPr>
              <w:rPr>
                <w:rFonts w:ascii="Times New Roman" w:hAnsi="Times New Roman" w:cs="Times New Roman"/>
                <w:sz w:val="24"/>
                <w:szCs w:val="24"/>
              </w:rPr>
            </w:pPr>
            <w:r>
              <w:rPr>
                <w:rFonts w:ascii="Times New Roman" w:hAnsi="Times New Roman" w:cs="Times New Roman"/>
                <w:sz w:val="24"/>
                <w:szCs w:val="24"/>
              </w:rPr>
              <w:t>22</w:t>
            </w:r>
          </w:p>
        </w:tc>
        <w:tc>
          <w:tcPr>
            <w:tcW w:w="2885" w:type="dxa"/>
            <w:vAlign w:val="bottom"/>
          </w:tcPr>
          <w:p w:rsidR="00E461B3" w:rsidRPr="00BA6C3E" w:rsidRDefault="00E461B3" w:rsidP="00E461B3">
            <w:pPr>
              <w:rPr>
                <w:rFonts w:ascii="Times New Roman" w:hAnsi="Times New Roman" w:cs="Times New Roman"/>
                <w:color w:val="000000"/>
                <w:sz w:val="24"/>
                <w:szCs w:val="24"/>
              </w:rPr>
            </w:pPr>
            <w:r w:rsidRPr="00BA6C3E">
              <w:rPr>
                <w:rFonts w:ascii="Times New Roman" w:hAnsi="Times New Roman" w:cs="Times New Roman"/>
                <w:color w:val="000000"/>
                <w:sz w:val="24"/>
                <w:szCs w:val="24"/>
              </w:rPr>
              <w:t xml:space="preserve">Zeleke et al. 2023 </w:t>
            </w:r>
            <w:r w:rsidRPr="00BA6C3E">
              <w:rPr>
                <w:rFonts w:ascii="Times New Roman" w:hAnsi="Times New Roman" w:cs="Times New Roman"/>
                <w:color w:val="000000"/>
                <w:sz w:val="24"/>
                <w:szCs w:val="24"/>
              </w:rPr>
              <w:fldChar w:fldCharType="begin" w:fldLock="1"/>
            </w:r>
            <w:r w:rsidRPr="00BA6C3E">
              <w:rPr>
                <w:rFonts w:ascii="Times New Roman" w:hAnsi="Times New Roman" w:cs="Times New Roman"/>
                <w:color w:val="000000"/>
                <w:sz w:val="24"/>
                <w:szCs w:val="24"/>
              </w:rPr>
              <w:instrText>ADDIN CSL_CITATION {"citationItems":[{"id":"ITEM-1","itemData":{"DOI":"10.2147/PPA.S422659","author":[{"dropping-particle":"","family":"Zeleke","given":"Tirsit Ketsela","non-dropping-particle":"","parse-names":false,"suffix":""}],"container-title":"Patient Preference and Adherence","id":"ITEM-1","issued":{"date-parts":[["2023"]]},"page":"2877-2890","title":"Navigating the Challenges : Predictors of Non-Adherence to Psychotropic Medications Among Patients with Severe Mental Illnesses in","type":"article-journal","volume":"17"},"uris":["http://www.mendeley.com/documents/?uuid=d18bdaac-0bae-4c3e-b584-259142050ee2"]}],"mendeley":{"formattedCitation":"[26]","plainTextFormattedCitation":"[26]","previouslyFormattedCitation":"[25]"},"properties":{"noteIndex":0},"schema":"https://github.com/citation-style-language/schema/raw/master/csl-citation.json"}</w:instrText>
            </w:r>
            <w:r w:rsidRPr="00BA6C3E">
              <w:rPr>
                <w:rFonts w:ascii="Times New Roman" w:hAnsi="Times New Roman" w:cs="Times New Roman"/>
                <w:color w:val="000000"/>
                <w:sz w:val="24"/>
                <w:szCs w:val="24"/>
              </w:rPr>
              <w:fldChar w:fldCharType="separate"/>
            </w:r>
            <w:r w:rsidRPr="00BA6C3E">
              <w:rPr>
                <w:rFonts w:ascii="Times New Roman" w:hAnsi="Times New Roman" w:cs="Times New Roman"/>
                <w:noProof/>
                <w:color w:val="000000"/>
                <w:sz w:val="24"/>
                <w:szCs w:val="24"/>
              </w:rPr>
              <w:t>[26]</w:t>
            </w:r>
            <w:r w:rsidRPr="00BA6C3E">
              <w:rPr>
                <w:rFonts w:ascii="Times New Roman" w:hAnsi="Times New Roman" w:cs="Times New Roman"/>
                <w:color w:val="000000"/>
                <w:sz w:val="24"/>
                <w:szCs w:val="24"/>
              </w:rPr>
              <w:fldChar w:fldCharType="end"/>
            </w:r>
          </w:p>
        </w:tc>
        <w:tc>
          <w:tcPr>
            <w:tcW w:w="805"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54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U</w:t>
            </w:r>
          </w:p>
        </w:tc>
        <w:tc>
          <w:tcPr>
            <w:tcW w:w="720" w:type="dxa"/>
          </w:tcPr>
          <w:p w:rsidR="00E461B3" w:rsidRPr="00BA6C3E" w:rsidRDefault="00E461B3" w:rsidP="00E461B3">
            <w:pPr>
              <w:rPr>
                <w:sz w:val="24"/>
                <w:szCs w:val="24"/>
              </w:rPr>
            </w:pPr>
            <w:r>
              <w:rPr>
                <w:rFonts w:ascii="Times New Roman" w:hAnsi="Times New Roman" w:cs="Times New Roman"/>
                <w:sz w:val="24"/>
                <w:szCs w:val="24"/>
              </w:rPr>
              <w:t>Y</w:t>
            </w:r>
          </w:p>
        </w:tc>
        <w:tc>
          <w:tcPr>
            <w:tcW w:w="72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630" w:type="dxa"/>
          </w:tcPr>
          <w:p w:rsidR="00E461B3" w:rsidRPr="00BA6C3E" w:rsidRDefault="00E461B3" w:rsidP="00E461B3">
            <w:pPr>
              <w:rPr>
                <w:sz w:val="24"/>
                <w:szCs w:val="24"/>
              </w:rPr>
            </w:pPr>
            <w:r w:rsidRPr="00BA6C3E">
              <w:rPr>
                <w:rFonts w:ascii="Times New Roman" w:hAnsi="Times New Roman" w:cs="Times New Roman"/>
                <w:sz w:val="24"/>
                <w:szCs w:val="24"/>
              </w:rPr>
              <w:t>Y</w:t>
            </w:r>
          </w:p>
        </w:tc>
        <w:tc>
          <w:tcPr>
            <w:tcW w:w="810" w:type="dxa"/>
          </w:tcPr>
          <w:p w:rsidR="00E461B3" w:rsidRPr="00BA6C3E" w:rsidRDefault="00E461B3" w:rsidP="00E461B3">
            <w:pPr>
              <w:rPr>
                <w:rFonts w:ascii="Times New Roman" w:hAnsi="Times New Roman" w:cs="Times New Roman"/>
                <w:sz w:val="24"/>
                <w:szCs w:val="24"/>
              </w:rPr>
            </w:pPr>
            <w:r w:rsidRPr="00BA6C3E">
              <w:rPr>
                <w:rFonts w:ascii="Times New Roman" w:hAnsi="Times New Roman" w:cs="Times New Roman"/>
                <w:sz w:val="24"/>
                <w:szCs w:val="24"/>
              </w:rPr>
              <w:t>8</w:t>
            </w:r>
          </w:p>
        </w:tc>
      </w:tr>
    </w:tbl>
    <w:p w:rsidR="00894D33" w:rsidRPr="00BA6C3E" w:rsidRDefault="00BA6C3E" w:rsidP="00894D33">
      <w:pPr>
        <w:spacing w:line="240" w:lineRule="auto"/>
        <w:rPr>
          <w:rFonts w:ascii="Times New Roman" w:hAnsi="Times New Roman" w:cs="Times New Roman"/>
          <w:sz w:val="24"/>
          <w:szCs w:val="24"/>
        </w:rPr>
      </w:pPr>
      <w:r w:rsidRPr="00BA6C3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F2118C0" wp14:editId="43BF684C">
                <wp:simplePos x="0" y="0"/>
                <wp:positionH relativeFrom="margin">
                  <wp:posOffset>5495925</wp:posOffset>
                </wp:positionH>
                <wp:positionV relativeFrom="paragraph">
                  <wp:posOffset>248920</wp:posOffset>
                </wp:positionV>
                <wp:extent cx="571500" cy="242570"/>
                <wp:effectExtent l="0" t="0" r="19050" b="2413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2570"/>
                        </a:xfrm>
                        <a:prstGeom prst="rect">
                          <a:avLst/>
                        </a:prstGeom>
                        <a:solidFill>
                          <a:srgbClr val="FFFFFF"/>
                        </a:solidFill>
                        <a:ln w="9525">
                          <a:solidFill>
                            <a:srgbClr val="000000"/>
                          </a:solidFill>
                          <a:miter lim="800000"/>
                          <a:headEnd/>
                          <a:tailEnd/>
                        </a:ln>
                      </wps:spPr>
                      <wps:txbx>
                        <w:txbxContent>
                          <w:p w:rsidR="00894D33" w:rsidRPr="008163AC" w:rsidRDefault="00894D33" w:rsidP="00894D33">
                            <w:pPr>
                              <w:jc w:val="center"/>
                              <w:rPr>
                                <w:rFonts w:ascii="Times New Roman" w:hAnsi="Times New Roman" w:cs="Times New Roman"/>
                                <w:sz w:val="20"/>
                                <w:szCs w:val="20"/>
                              </w:rPr>
                            </w:pPr>
                            <w:r w:rsidRPr="008163AC">
                              <w:rPr>
                                <w:rFonts w:ascii="Times New Roman" w:hAnsi="Times New Roman" w:cs="Times New Roman"/>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118C0" id="_x0000_t202" coordsize="21600,21600" o:spt="202" path="m,l,21600r21600,l21600,xe">
                <v:stroke joinstyle="miter"/>
                <v:path gradientshapeok="t" o:connecttype="rect"/>
              </v:shapetype>
              <v:shape id="Text Box 2" o:spid="_x0000_s1026" type="#_x0000_t202" style="position:absolute;margin-left:432.75pt;margin-top:19.6pt;width:45pt;height:19.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">
                <v:textbox>
                  <w:txbxContent>
                    <w:p w:rsidR="00894D33" w:rsidRPr="008163AC" w:rsidRDefault="00894D33" w:rsidP="00894D33">
                      <w:pPr>
                        <w:jc w:val="center"/>
                        <w:rPr>
                          <w:rFonts w:ascii="Times New Roman" w:hAnsi="Times New Roman" w:cs="Times New Roman"/>
                          <w:sz w:val="20"/>
                          <w:szCs w:val="20"/>
                        </w:rPr>
                      </w:pPr>
                      <w:r w:rsidRPr="008163AC">
                        <w:rPr>
                          <w:rFonts w:ascii="Times New Roman" w:hAnsi="Times New Roman" w:cs="Times New Roman"/>
                          <w:sz w:val="20"/>
                          <w:szCs w:val="20"/>
                        </w:rPr>
                        <w:t>0</w:t>
                      </w:r>
                    </w:p>
                  </w:txbxContent>
                </v:textbox>
                <w10:wrap anchorx="margin"/>
              </v:shape>
            </w:pict>
          </mc:Fallback>
        </mc:AlternateContent>
      </w:r>
      <w:r w:rsidRPr="00BA6C3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11110B1" wp14:editId="26BA0B0D">
                <wp:simplePos x="0" y="0"/>
                <wp:positionH relativeFrom="column">
                  <wp:posOffset>3609975</wp:posOffset>
                </wp:positionH>
                <wp:positionV relativeFrom="paragraph">
                  <wp:posOffset>277495</wp:posOffset>
                </wp:positionV>
                <wp:extent cx="447675" cy="238125"/>
                <wp:effectExtent l="0" t="0" r="2857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38125"/>
                        </a:xfrm>
                        <a:prstGeom prst="rect">
                          <a:avLst/>
                        </a:prstGeom>
                        <a:solidFill>
                          <a:srgbClr val="FFFFFF"/>
                        </a:solidFill>
                        <a:ln w="9525">
                          <a:solidFill>
                            <a:srgbClr val="000000"/>
                          </a:solidFill>
                          <a:miter lim="800000"/>
                          <a:headEnd/>
                          <a:tailEnd/>
                        </a:ln>
                      </wps:spPr>
                      <wps:txbx>
                        <w:txbxContent>
                          <w:p w:rsidR="00894D33" w:rsidRPr="008163AC" w:rsidRDefault="00894D33" w:rsidP="00894D33">
                            <w:pPr>
                              <w:spacing w:after="0" w:line="360" w:lineRule="auto"/>
                              <w:jc w:val="center"/>
                              <w:rPr>
                                <w:rFonts w:ascii="Times New Roman" w:hAnsi="Times New Roman" w:cs="Times New Roman"/>
                                <w:sz w:val="20"/>
                                <w:szCs w:val="20"/>
                              </w:rPr>
                            </w:pPr>
                            <w:r w:rsidRPr="008163AC">
                              <w:rPr>
                                <w:rFonts w:ascii="Times New Roman" w:hAnsi="Times New Roman" w:cs="Times New Roman"/>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110B1" id="_x0000_s1027" type="#_x0000_t202" style="position:absolute;margin-left:284.25pt;margin-top:21.85pt;width:35.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">
                <v:textbox>
                  <w:txbxContent>
                    <w:p w:rsidR="00894D33" w:rsidRPr="008163AC" w:rsidRDefault="00894D33" w:rsidP="00894D33">
                      <w:pPr>
                        <w:spacing w:after="0" w:line="360" w:lineRule="auto"/>
                        <w:jc w:val="center"/>
                        <w:rPr>
                          <w:rFonts w:ascii="Times New Roman" w:hAnsi="Times New Roman" w:cs="Times New Roman"/>
                          <w:sz w:val="20"/>
                          <w:szCs w:val="20"/>
                        </w:rPr>
                      </w:pPr>
                      <w:r w:rsidRPr="008163AC">
                        <w:rPr>
                          <w:rFonts w:ascii="Times New Roman" w:hAnsi="Times New Roman" w:cs="Times New Roman"/>
                          <w:sz w:val="20"/>
                          <w:szCs w:val="20"/>
                        </w:rPr>
                        <w:t>0</w:t>
                      </w:r>
                    </w:p>
                  </w:txbxContent>
                </v:textbox>
              </v:shape>
            </w:pict>
          </mc:Fallback>
        </mc:AlternateContent>
      </w:r>
      <w:r w:rsidRPr="00BA6C3E">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4A46C6C4" wp14:editId="18442D44">
                <wp:simplePos x="0" y="0"/>
                <wp:positionH relativeFrom="column">
                  <wp:posOffset>1990725</wp:posOffset>
                </wp:positionH>
                <wp:positionV relativeFrom="paragraph">
                  <wp:posOffset>306071</wp:posOffset>
                </wp:positionV>
                <wp:extent cx="447675" cy="22860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rgbClr val="FFFFFF"/>
                        </a:solidFill>
                        <a:ln w="9525">
                          <a:solidFill>
                            <a:srgbClr val="000000"/>
                          </a:solidFill>
                          <a:miter lim="800000"/>
                          <a:headEnd/>
                          <a:tailEnd/>
                        </a:ln>
                      </wps:spPr>
                      <wps:txbx>
                        <w:txbxContent>
                          <w:p w:rsidR="00894D33" w:rsidRPr="008163AC" w:rsidRDefault="00BA6C3E" w:rsidP="00894D33">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6C6C4" id="_x0000_s1028" type="#_x0000_t202" style="position:absolute;margin-left:156.75pt;margin-top:24.1pt;width:35.2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X3JAIAAEo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">
                <v:textbox>
                  <w:txbxContent>
                    <w:p w:rsidR="00894D33" w:rsidRPr="008163AC" w:rsidRDefault="00BA6C3E" w:rsidP="00894D33">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18</w:t>
                      </w:r>
                    </w:p>
                  </w:txbxContent>
                </v:textbox>
              </v:shape>
            </w:pict>
          </mc:Fallback>
        </mc:AlternateContent>
      </w:r>
      <w:r w:rsidR="00894D33" w:rsidRPr="00BA6C3E">
        <w:rPr>
          <w:rFonts w:ascii="Times New Roman" w:hAnsi="Times New Roman" w:cs="Times New Roman"/>
          <w:sz w:val="24"/>
          <w:szCs w:val="24"/>
        </w:rPr>
        <w:t>Yes-Y, No-N, Unclear-U, Not applicable-NA</w:t>
      </w:r>
    </w:p>
    <w:p w:rsidR="00894D33" w:rsidRPr="00BA6C3E" w:rsidRDefault="00894D33" w:rsidP="00894D33">
      <w:pPr>
        <w:spacing w:line="240" w:lineRule="auto"/>
        <w:rPr>
          <w:rFonts w:ascii="Times New Roman" w:hAnsi="Times New Roman" w:cs="Times New Roman"/>
          <w:sz w:val="24"/>
          <w:szCs w:val="24"/>
        </w:rPr>
      </w:pPr>
      <w:r w:rsidRPr="00BA6C3E">
        <w:rPr>
          <w:rFonts w:ascii="Times New Roman" w:hAnsi="Times New Roman" w:cs="Times New Roman"/>
          <w:sz w:val="24"/>
          <w:szCs w:val="24"/>
        </w:rPr>
        <w:t xml:space="preserve">Overall appraisal:          Include      </w:t>
      </w:r>
      <w:r w:rsidR="00BA6C3E">
        <w:rPr>
          <w:rFonts w:ascii="Times New Roman" w:hAnsi="Times New Roman" w:cs="Times New Roman"/>
          <w:sz w:val="24"/>
          <w:szCs w:val="24"/>
        </w:rPr>
        <w:t xml:space="preserve">                     </w:t>
      </w:r>
      <w:r w:rsidRPr="00BA6C3E">
        <w:rPr>
          <w:rFonts w:ascii="Times New Roman" w:hAnsi="Times New Roman" w:cs="Times New Roman"/>
          <w:sz w:val="24"/>
          <w:szCs w:val="24"/>
        </w:rPr>
        <w:t xml:space="preserve"> Exclude            </w:t>
      </w:r>
      <w:r w:rsidR="00BA6C3E">
        <w:rPr>
          <w:rFonts w:ascii="Times New Roman" w:hAnsi="Times New Roman" w:cs="Times New Roman"/>
          <w:sz w:val="24"/>
          <w:szCs w:val="24"/>
        </w:rPr>
        <w:t xml:space="preserve">      </w:t>
      </w:r>
      <w:r w:rsidR="008163AC" w:rsidRPr="00BA6C3E">
        <w:rPr>
          <w:rFonts w:ascii="Times New Roman" w:hAnsi="Times New Roman" w:cs="Times New Roman"/>
          <w:sz w:val="24"/>
          <w:szCs w:val="24"/>
        </w:rPr>
        <w:t xml:space="preserve"> </w:t>
      </w:r>
      <w:r w:rsidRPr="00BA6C3E">
        <w:rPr>
          <w:rFonts w:ascii="Times New Roman" w:hAnsi="Times New Roman" w:cs="Times New Roman"/>
          <w:sz w:val="24"/>
          <w:szCs w:val="24"/>
        </w:rPr>
        <w:t>Seek further info</w:t>
      </w:r>
    </w:p>
    <w:p w:rsidR="00894D33" w:rsidRDefault="00894D33" w:rsidP="006F5608">
      <w:pPr>
        <w:spacing w:after="0" w:line="360" w:lineRule="auto"/>
        <w:jc w:val="both"/>
        <w:rPr>
          <w:rFonts w:ascii="Times New Roman" w:hAnsi="Times New Roman" w:cs="Times New Roman"/>
          <w:sz w:val="24"/>
          <w:szCs w:val="24"/>
        </w:rPr>
      </w:pPr>
      <w:r w:rsidRPr="00BA6C3E">
        <w:rPr>
          <w:rFonts w:ascii="Times New Roman" w:hAnsi="Times New Roman" w:cs="Times New Roman"/>
          <w:sz w:val="24"/>
          <w:szCs w:val="24"/>
        </w:rPr>
        <w:t xml:space="preserve">Q1-8, JBI Critical Appraisal Checklist for cross-sectional studies [Q1: Were the Inclusion criteria in the sample clearly defined? Q2: Were the study subjects and the setting described in detail? Q3: Was the exposure measured in a valid and reliable way? Q4: Were objective, standard criteria for measurement of the condition? Q5: Were confounding factors identified? Q6: Were strategies for dealing with the confounding factors stated? Q7: Were the outcomes measured in valid and reliable way? Q8: </w:t>
      </w:r>
      <w:proofErr w:type="gramStart"/>
      <w:r w:rsidRPr="00BA6C3E">
        <w:rPr>
          <w:rFonts w:ascii="Times New Roman" w:hAnsi="Times New Roman" w:cs="Times New Roman"/>
          <w:sz w:val="24"/>
          <w:szCs w:val="24"/>
        </w:rPr>
        <w:t>Was appropriate statistical analysis used</w:t>
      </w:r>
      <w:proofErr w:type="gramEnd"/>
      <w:r w:rsidRPr="00BA6C3E">
        <w:rPr>
          <w:rFonts w:ascii="Times New Roman" w:hAnsi="Times New Roman" w:cs="Times New Roman"/>
          <w:sz w:val="24"/>
          <w:szCs w:val="24"/>
        </w:rPr>
        <w:t>?]</w:t>
      </w:r>
    </w:p>
    <w:p w:rsidR="00E10A08" w:rsidRDefault="00E10A08" w:rsidP="006F5608">
      <w:pPr>
        <w:spacing w:after="0" w:line="360" w:lineRule="auto"/>
        <w:jc w:val="both"/>
        <w:rPr>
          <w:rFonts w:ascii="Times New Roman" w:hAnsi="Times New Roman" w:cs="Times New Roman"/>
          <w:sz w:val="24"/>
          <w:szCs w:val="24"/>
        </w:rPr>
      </w:pPr>
    </w:p>
    <w:p w:rsidR="00E10A08" w:rsidRDefault="00E10A08" w:rsidP="006F5608">
      <w:pPr>
        <w:spacing w:after="0" w:line="360" w:lineRule="auto"/>
        <w:jc w:val="both"/>
        <w:rPr>
          <w:rFonts w:ascii="Times New Roman" w:hAnsi="Times New Roman" w:cs="Times New Roman"/>
          <w:sz w:val="24"/>
          <w:szCs w:val="24"/>
        </w:rPr>
      </w:pPr>
    </w:p>
    <w:p w:rsidR="00E10A08" w:rsidRDefault="00E10A08" w:rsidP="006F5608">
      <w:pPr>
        <w:spacing w:after="0" w:line="360" w:lineRule="auto"/>
        <w:jc w:val="both"/>
        <w:rPr>
          <w:rFonts w:ascii="Times New Roman" w:hAnsi="Times New Roman" w:cs="Times New Roman"/>
          <w:sz w:val="24"/>
          <w:szCs w:val="24"/>
        </w:rPr>
      </w:pPr>
    </w:p>
    <w:p w:rsidR="00E10A08" w:rsidRDefault="00E10A08" w:rsidP="006F5608">
      <w:pPr>
        <w:spacing w:after="0" w:line="360" w:lineRule="auto"/>
        <w:jc w:val="both"/>
        <w:rPr>
          <w:rFonts w:ascii="Times New Roman" w:hAnsi="Times New Roman" w:cs="Times New Roman"/>
          <w:sz w:val="24"/>
          <w:szCs w:val="24"/>
        </w:rPr>
      </w:pPr>
    </w:p>
    <w:p w:rsidR="00E10A08" w:rsidRDefault="00E10A08" w:rsidP="006F5608">
      <w:pPr>
        <w:spacing w:after="0" w:line="360" w:lineRule="auto"/>
        <w:jc w:val="both"/>
        <w:rPr>
          <w:rFonts w:ascii="Times New Roman" w:hAnsi="Times New Roman" w:cs="Times New Roman"/>
          <w:sz w:val="24"/>
          <w:szCs w:val="24"/>
        </w:rPr>
      </w:pPr>
    </w:p>
    <w:p w:rsidR="00E10A08" w:rsidRPr="00BA6C3E" w:rsidRDefault="00E10A08" w:rsidP="006F5608">
      <w:pPr>
        <w:spacing w:after="0" w:line="360" w:lineRule="auto"/>
        <w:jc w:val="both"/>
        <w:rPr>
          <w:rFonts w:ascii="Times New Roman" w:hAnsi="Times New Roman" w:cs="Times New Roman"/>
          <w:sz w:val="24"/>
          <w:szCs w:val="24"/>
        </w:rPr>
      </w:pPr>
    </w:p>
    <w:p w:rsidR="00BA6C3E" w:rsidRPr="00BA6C3E" w:rsidRDefault="00BA6C3E" w:rsidP="00BA6C3E">
      <w:pPr>
        <w:pStyle w:val="Caption"/>
        <w:keepNext/>
        <w:spacing w:after="0" w:line="360" w:lineRule="auto"/>
        <w:jc w:val="both"/>
        <w:rPr>
          <w:rFonts w:ascii="Times New Roman" w:hAnsi="Times New Roman" w:cs="Times New Roman"/>
          <w:i w:val="0"/>
          <w:color w:val="auto"/>
          <w:sz w:val="24"/>
          <w:szCs w:val="24"/>
        </w:rPr>
      </w:pPr>
      <w:r w:rsidRPr="00BA6C3E">
        <w:rPr>
          <w:rFonts w:ascii="Times New Roman" w:hAnsi="Times New Roman" w:cs="Times New Roman"/>
          <w:i w:val="0"/>
          <w:color w:val="auto"/>
          <w:sz w:val="24"/>
          <w:szCs w:val="24"/>
        </w:rPr>
        <w:t xml:space="preserve">Table </w:t>
      </w:r>
      <w:r w:rsidRPr="00BA6C3E">
        <w:rPr>
          <w:rFonts w:ascii="Times New Roman" w:hAnsi="Times New Roman" w:cs="Times New Roman"/>
          <w:i w:val="0"/>
          <w:color w:val="auto"/>
          <w:sz w:val="24"/>
          <w:szCs w:val="24"/>
        </w:rPr>
        <w:fldChar w:fldCharType="begin"/>
      </w:r>
      <w:r w:rsidRPr="00BA6C3E">
        <w:rPr>
          <w:rFonts w:ascii="Times New Roman" w:hAnsi="Times New Roman" w:cs="Times New Roman"/>
          <w:i w:val="0"/>
          <w:color w:val="auto"/>
          <w:sz w:val="24"/>
          <w:szCs w:val="24"/>
        </w:rPr>
        <w:instrText xml:space="preserve"> SEQ Table \* ARABIC </w:instrText>
      </w:r>
      <w:r w:rsidRPr="00BA6C3E">
        <w:rPr>
          <w:rFonts w:ascii="Times New Roman" w:hAnsi="Times New Roman" w:cs="Times New Roman"/>
          <w:i w:val="0"/>
          <w:color w:val="auto"/>
          <w:sz w:val="24"/>
          <w:szCs w:val="24"/>
        </w:rPr>
        <w:fldChar w:fldCharType="separate"/>
      </w:r>
      <w:r w:rsidRPr="00BA6C3E">
        <w:rPr>
          <w:rFonts w:ascii="Times New Roman" w:hAnsi="Times New Roman" w:cs="Times New Roman"/>
          <w:i w:val="0"/>
          <w:noProof/>
          <w:color w:val="auto"/>
          <w:sz w:val="24"/>
          <w:szCs w:val="24"/>
        </w:rPr>
        <w:t>2</w:t>
      </w:r>
      <w:r w:rsidRPr="00BA6C3E">
        <w:rPr>
          <w:rFonts w:ascii="Times New Roman" w:hAnsi="Times New Roman" w:cs="Times New Roman"/>
          <w:i w:val="0"/>
          <w:color w:val="auto"/>
          <w:sz w:val="24"/>
          <w:szCs w:val="24"/>
        </w:rPr>
        <w:fldChar w:fldCharType="end"/>
      </w:r>
      <w:r w:rsidRPr="00BA6C3E">
        <w:rPr>
          <w:rFonts w:ascii="Times New Roman" w:hAnsi="Times New Roman" w:cs="Times New Roman"/>
          <w:i w:val="0"/>
          <w:color w:val="auto"/>
          <w:sz w:val="24"/>
          <w:szCs w:val="24"/>
        </w:rPr>
        <w:t>. The Joanna Briggs Institute Critical Appraisal Scores of included qualitative cohort study</w:t>
      </w:r>
    </w:p>
    <w:tbl>
      <w:tblPr>
        <w:tblStyle w:val="TableGrid"/>
        <w:tblW w:w="10165" w:type="dxa"/>
        <w:jc w:val="center"/>
        <w:tblLayout w:type="fixed"/>
        <w:tblLook w:val="04A0" w:firstRow="1" w:lastRow="0" w:firstColumn="1" w:lastColumn="0" w:noHBand="0" w:noVBand="1"/>
      </w:tblPr>
      <w:tblGrid>
        <w:gridCol w:w="545"/>
        <w:gridCol w:w="2450"/>
        <w:gridCol w:w="530"/>
        <w:gridCol w:w="586"/>
        <w:gridCol w:w="586"/>
        <w:gridCol w:w="516"/>
        <w:gridCol w:w="656"/>
        <w:gridCol w:w="516"/>
        <w:gridCol w:w="516"/>
        <w:gridCol w:w="586"/>
        <w:gridCol w:w="665"/>
        <w:gridCol w:w="676"/>
        <w:gridCol w:w="1337"/>
      </w:tblGrid>
      <w:tr w:rsidR="00BA6C3E" w:rsidRPr="00BA6C3E" w:rsidTr="00E10A08">
        <w:trPr>
          <w:jc w:val="center"/>
        </w:trPr>
        <w:tc>
          <w:tcPr>
            <w:tcW w:w="545" w:type="dxa"/>
            <w:vMerge w:val="restart"/>
          </w:tcPr>
          <w:p w:rsidR="00BA6C3E" w:rsidRPr="00BA6C3E" w:rsidRDefault="00BA6C3E"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S no</w:t>
            </w:r>
          </w:p>
        </w:tc>
        <w:tc>
          <w:tcPr>
            <w:tcW w:w="2450" w:type="dxa"/>
            <w:vMerge w:val="restart"/>
          </w:tcPr>
          <w:p w:rsidR="00BA6C3E" w:rsidRPr="00BA6C3E" w:rsidRDefault="00BA6C3E"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Studies</w:t>
            </w:r>
          </w:p>
        </w:tc>
        <w:tc>
          <w:tcPr>
            <w:tcW w:w="7170" w:type="dxa"/>
            <w:gridSpan w:val="11"/>
          </w:tcPr>
          <w:p w:rsidR="00BA6C3E" w:rsidRPr="00BA6C3E" w:rsidRDefault="00BA6C3E"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Evaluation criteria</w:t>
            </w:r>
          </w:p>
        </w:tc>
      </w:tr>
      <w:tr w:rsidR="00E10A08" w:rsidRPr="00BA6C3E" w:rsidTr="00E10A08">
        <w:trPr>
          <w:jc w:val="center"/>
        </w:trPr>
        <w:tc>
          <w:tcPr>
            <w:tcW w:w="545" w:type="dxa"/>
            <w:vMerge/>
          </w:tcPr>
          <w:p w:rsidR="00E10A08" w:rsidRPr="00BA6C3E" w:rsidRDefault="00E10A08" w:rsidP="00E10A08">
            <w:pPr>
              <w:spacing w:line="360" w:lineRule="auto"/>
              <w:jc w:val="both"/>
              <w:rPr>
                <w:rFonts w:ascii="Times New Roman" w:hAnsi="Times New Roman" w:cs="Times New Roman"/>
                <w:sz w:val="24"/>
                <w:szCs w:val="24"/>
              </w:rPr>
            </w:pPr>
          </w:p>
        </w:tc>
        <w:tc>
          <w:tcPr>
            <w:tcW w:w="2450" w:type="dxa"/>
            <w:vMerge/>
          </w:tcPr>
          <w:p w:rsidR="00E10A08" w:rsidRPr="00BA6C3E" w:rsidRDefault="00E10A08" w:rsidP="00E10A08">
            <w:pPr>
              <w:spacing w:line="360" w:lineRule="auto"/>
              <w:jc w:val="both"/>
              <w:rPr>
                <w:rFonts w:ascii="Times New Roman" w:hAnsi="Times New Roman" w:cs="Times New Roman"/>
                <w:sz w:val="24"/>
                <w:szCs w:val="24"/>
              </w:rPr>
            </w:pPr>
          </w:p>
        </w:tc>
        <w:tc>
          <w:tcPr>
            <w:tcW w:w="530"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Q1</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Q2</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Q3</w:t>
            </w:r>
          </w:p>
        </w:tc>
        <w:tc>
          <w:tcPr>
            <w:tcW w:w="51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Q4</w:t>
            </w:r>
          </w:p>
        </w:tc>
        <w:tc>
          <w:tcPr>
            <w:tcW w:w="65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Q5</w:t>
            </w:r>
          </w:p>
        </w:tc>
        <w:tc>
          <w:tcPr>
            <w:tcW w:w="51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Q6</w:t>
            </w:r>
          </w:p>
        </w:tc>
        <w:tc>
          <w:tcPr>
            <w:tcW w:w="51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Q7</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Q8</w:t>
            </w:r>
          </w:p>
        </w:tc>
        <w:tc>
          <w:tcPr>
            <w:tcW w:w="665"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Q9</w:t>
            </w:r>
          </w:p>
        </w:tc>
        <w:tc>
          <w:tcPr>
            <w:tcW w:w="67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Q10</w:t>
            </w:r>
          </w:p>
        </w:tc>
        <w:tc>
          <w:tcPr>
            <w:tcW w:w="1337"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Total Score</w:t>
            </w:r>
          </w:p>
        </w:tc>
      </w:tr>
      <w:tr w:rsidR="00E10A08" w:rsidRPr="00BA6C3E" w:rsidTr="00E10A08">
        <w:trPr>
          <w:jc w:val="center"/>
        </w:trPr>
        <w:tc>
          <w:tcPr>
            <w:tcW w:w="545"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1</w:t>
            </w:r>
          </w:p>
        </w:tc>
        <w:tc>
          <w:tcPr>
            <w:tcW w:w="2450" w:type="dxa"/>
            <w:vAlign w:val="bottom"/>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 xml:space="preserve">Teferra et al. 2013 </w:t>
            </w:r>
            <w:r w:rsidRPr="00BA6C3E">
              <w:rPr>
                <w:rFonts w:ascii="Times New Roman" w:hAnsi="Times New Roman" w:cs="Times New Roman"/>
                <w:sz w:val="24"/>
                <w:szCs w:val="24"/>
              </w:rPr>
              <w:fldChar w:fldCharType="begin" w:fldLock="1"/>
            </w:r>
            <w:r w:rsidRPr="00BA6C3E">
              <w:rPr>
                <w:rFonts w:ascii="Times New Roman" w:hAnsi="Times New Roman" w:cs="Times New Roman"/>
                <w:sz w:val="24"/>
                <w:szCs w:val="24"/>
              </w:rPr>
              <w:instrText>ADDIN CSL_CITATION {"citationItems":[{"id":"ITEM-1","itemData":{"author":[{"dropping-particle":"","family":"Teferra","given":"Solomon","non-dropping-particle":"","parse-names":false,"suffix":""},{"dropping-particle":"","family":"Hanlon","given":"Charlotte","non-dropping-particle":"","parse-names":false,"suffix":""},{"dropping-particle":"","family":"Beyero","given":"Teferra","non-dropping-particle":"","parse-names":false,"suffix":""},{"dropping-particle":"","family":"Jacobsson","given":"Lars","non-dropping-particle":"","parse-names":false,"suffix":""},{"dropping-particle":"","family":"Shibre","given":"Teshome","non-dropping-particle":"","parse-names":false,"suffix":""}],"container-title":"BMC Psychiatry","id":"ITEM-1","issue":"168","issued":{"date-parts":[["2013"]]},"page":"1-9","title":"Perspectives on reasons for non-adherence to medication in persons with schizophrenia in Ethiopia : a qualitative study of patients , caregivers and health workers","type":"article-journal","volume":"13"},"uris":["http://www.mendeley.com/documents/?uuid=5e511195-931d-4ede-9b05-8e5756ffd31b"]}],"mendeley":{"formattedCitation":"[24]","plainTextFormattedCitation":"[24]","previouslyFormattedCitation":"[23]"},"properties":{"noteIndex":0},"schema":"https://github.com/citation-style-language/schema/raw/master/csl-citation.json"}</w:instrText>
            </w:r>
            <w:r w:rsidRPr="00BA6C3E">
              <w:rPr>
                <w:rFonts w:ascii="Times New Roman" w:hAnsi="Times New Roman" w:cs="Times New Roman"/>
                <w:sz w:val="24"/>
                <w:szCs w:val="24"/>
              </w:rPr>
              <w:fldChar w:fldCharType="separate"/>
            </w:r>
            <w:r w:rsidRPr="00BA6C3E">
              <w:rPr>
                <w:rFonts w:ascii="Times New Roman" w:hAnsi="Times New Roman" w:cs="Times New Roman"/>
                <w:sz w:val="24"/>
                <w:szCs w:val="24"/>
              </w:rPr>
              <w:t>[24]</w:t>
            </w:r>
            <w:r w:rsidRPr="00BA6C3E">
              <w:rPr>
                <w:rFonts w:ascii="Times New Roman" w:hAnsi="Times New Roman" w:cs="Times New Roman"/>
                <w:sz w:val="24"/>
                <w:szCs w:val="24"/>
              </w:rPr>
              <w:fldChar w:fldCharType="end"/>
            </w:r>
          </w:p>
        </w:tc>
        <w:tc>
          <w:tcPr>
            <w:tcW w:w="530"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51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65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516" w:type="dxa"/>
          </w:tcPr>
          <w:p w:rsidR="00E10A08" w:rsidRPr="00BA6C3E" w:rsidRDefault="009E2EA2" w:rsidP="00E10A08">
            <w:pPr>
              <w:spacing w:line="360" w:lineRule="auto"/>
              <w:jc w:val="both"/>
              <w:rPr>
                <w:rFonts w:ascii="Times New Roman" w:hAnsi="Times New Roman" w:cs="Times New Roman"/>
                <w:sz w:val="24"/>
                <w:szCs w:val="24"/>
              </w:rPr>
            </w:pPr>
            <w:r>
              <w:rPr>
                <w:rFonts w:ascii="Times New Roman" w:hAnsi="Times New Roman" w:cs="Times New Roman"/>
                <w:sz w:val="24"/>
                <w:szCs w:val="24"/>
              </w:rPr>
              <w:t>Y</w:t>
            </w:r>
            <w:bookmarkStart w:id="1" w:name="_GoBack"/>
            <w:bookmarkEnd w:id="1"/>
          </w:p>
        </w:tc>
        <w:tc>
          <w:tcPr>
            <w:tcW w:w="51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58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665"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676"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Y</w:t>
            </w:r>
          </w:p>
        </w:tc>
        <w:tc>
          <w:tcPr>
            <w:tcW w:w="1337" w:type="dxa"/>
          </w:tcPr>
          <w:p w:rsidR="00E10A08" w:rsidRPr="00BA6C3E" w:rsidRDefault="00E10A08" w:rsidP="00E10A08">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10</w:t>
            </w:r>
          </w:p>
        </w:tc>
      </w:tr>
    </w:tbl>
    <w:p w:rsidR="00BA6C3E" w:rsidRDefault="007D766F" w:rsidP="006F5608">
      <w:pPr>
        <w:spacing w:after="0" w:line="360" w:lineRule="auto"/>
        <w:jc w:val="both"/>
        <w:rPr>
          <w:rFonts w:ascii="Times New Roman" w:hAnsi="Times New Roman" w:cs="Times New Roman"/>
          <w:sz w:val="24"/>
          <w:szCs w:val="24"/>
        </w:rPr>
      </w:pPr>
      <w:r w:rsidRPr="00BA6C3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D5EA704" wp14:editId="033A038C">
                <wp:simplePos x="0" y="0"/>
                <wp:positionH relativeFrom="rightMargin">
                  <wp:posOffset>114300</wp:posOffset>
                </wp:positionH>
                <wp:positionV relativeFrom="paragraph">
                  <wp:posOffset>273050</wp:posOffset>
                </wp:positionV>
                <wp:extent cx="485775" cy="242570"/>
                <wp:effectExtent l="0" t="0" r="28575"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2570"/>
                        </a:xfrm>
                        <a:prstGeom prst="rect">
                          <a:avLst/>
                        </a:prstGeom>
                        <a:solidFill>
                          <a:srgbClr val="FFFFFF"/>
                        </a:solidFill>
                        <a:ln w="9525">
                          <a:solidFill>
                            <a:srgbClr val="000000"/>
                          </a:solidFill>
                          <a:miter lim="800000"/>
                          <a:headEnd/>
                          <a:tailEnd/>
                        </a:ln>
                      </wps:spPr>
                      <wps:txbx>
                        <w:txbxContent>
                          <w:p w:rsidR="00BA6C3E" w:rsidRPr="008163AC" w:rsidRDefault="00BA6C3E" w:rsidP="00BA6C3E">
                            <w:pPr>
                              <w:jc w:val="center"/>
                              <w:rPr>
                                <w:rFonts w:ascii="Times New Roman" w:hAnsi="Times New Roman" w:cs="Times New Roman"/>
                                <w:sz w:val="20"/>
                                <w:szCs w:val="20"/>
                              </w:rPr>
                            </w:pPr>
                            <w:r w:rsidRPr="008163AC">
                              <w:rPr>
                                <w:rFonts w:ascii="Times New Roman" w:hAnsi="Times New Roman" w:cs="Times New Roman"/>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EA704" id="_x0000_s1029" type="#_x0000_t202" style="position:absolute;left:0;text-align:left;margin-left:9pt;margin-top:21.5pt;width:38.25pt;height:19.1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">
                <v:textbox>
                  <w:txbxContent>
                    <w:p w:rsidR="00BA6C3E" w:rsidRPr="008163AC" w:rsidRDefault="00BA6C3E" w:rsidP="00BA6C3E">
                      <w:pPr>
                        <w:jc w:val="center"/>
                        <w:rPr>
                          <w:rFonts w:ascii="Times New Roman" w:hAnsi="Times New Roman" w:cs="Times New Roman"/>
                          <w:sz w:val="20"/>
                          <w:szCs w:val="20"/>
                        </w:rPr>
                      </w:pPr>
                      <w:r w:rsidRPr="008163AC">
                        <w:rPr>
                          <w:rFonts w:ascii="Times New Roman" w:hAnsi="Times New Roman" w:cs="Times New Roman"/>
                          <w:sz w:val="20"/>
                          <w:szCs w:val="20"/>
                        </w:rPr>
                        <w:t>0</w:t>
                      </w:r>
                    </w:p>
                  </w:txbxContent>
                </v:textbox>
                <w10:wrap anchorx="margin"/>
              </v:shape>
            </w:pict>
          </mc:Fallback>
        </mc:AlternateContent>
      </w:r>
      <w:r w:rsidR="00BA6C3E" w:rsidRPr="00BA6C3E">
        <w:rPr>
          <w:rFonts w:ascii="Times New Roman" w:hAnsi="Times New Roman" w:cs="Times New Roman"/>
          <w:sz w:val="24"/>
          <w:szCs w:val="24"/>
        </w:rPr>
        <w:t>Yes-Y, No-N, Unclear-U, Not applicable-NA</w:t>
      </w:r>
    </w:p>
    <w:p w:rsidR="00BA6C3E" w:rsidRPr="00BA6C3E" w:rsidRDefault="006F5608" w:rsidP="00BA6C3E">
      <w:pPr>
        <w:spacing w:line="360" w:lineRule="auto"/>
        <w:jc w:val="both"/>
        <w:rPr>
          <w:rFonts w:ascii="Times New Roman" w:hAnsi="Times New Roman" w:cs="Times New Roman"/>
          <w:sz w:val="24"/>
          <w:szCs w:val="24"/>
        </w:rPr>
      </w:pPr>
      <w:r w:rsidRPr="00BA6C3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8886B3B" wp14:editId="4486766C">
                <wp:simplePos x="0" y="0"/>
                <wp:positionH relativeFrom="column">
                  <wp:posOffset>2018665</wp:posOffset>
                </wp:positionH>
                <wp:positionV relativeFrom="paragraph">
                  <wp:posOffset>13335</wp:posOffset>
                </wp:positionV>
                <wp:extent cx="733425" cy="23812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38125"/>
                        </a:xfrm>
                        <a:prstGeom prst="rect">
                          <a:avLst/>
                        </a:prstGeom>
                        <a:solidFill>
                          <a:srgbClr val="FFFFFF"/>
                        </a:solidFill>
                        <a:ln w="9525">
                          <a:solidFill>
                            <a:srgbClr val="000000"/>
                          </a:solidFill>
                          <a:miter lim="800000"/>
                          <a:headEnd/>
                          <a:tailEnd/>
                        </a:ln>
                      </wps:spPr>
                      <wps:txbx>
                        <w:txbxContent>
                          <w:p w:rsidR="00BA6C3E" w:rsidRPr="008163AC" w:rsidRDefault="00BA6C3E" w:rsidP="00BA6C3E">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86B3B" id="_x0000_s1030" type="#_x0000_t202" style="position:absolute;left:0;text-align:left;margin-left:158.95pt;margin-top:1.05pt;width:57.7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">
                <v:textbox>
                  <w:txbxContent>
                    <w:p w:rsidR="00BA6C3E" w:rsidRPr="008163AC" w:rsidRDefault="00BA6C3E" w:rsidP="00BA6C3E">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1</w:t>
                      </w:r>
                    </w:p>
                  </w:txbxContent>
                </v:textbox>
              </v:shape>
            </w:pict>
          </mc:Fallback>
        </mc:AlternateContent>
      </w:r>
      <w:r w:rsidR="00BA6C3E" w:rsidRPr="00BA6C3E">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579EBB7" wp14:editId="6154CD8E">
                <wp:simplePos x="0" y="0"/>
                <wp:positionH relativeFrom="column">
                  <wp:posOffset>3792220</wp:posOffset>
                </wp:positionH>
                <wp:positionV relativeFrom="paragraph">
                  <wp:posOffset>9525</wp:posOffset>
                </wp:positionV>
                <wp:extent cx="572135" cy="238125"/>
                <wp:effectExtent l="0" t="0" r="1841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38125"/>
                        </a:xfrm>
                        <a:prstGeom prst="rect">
                          <a:avLst/>
                        </a:prstGeom>
                        <a:solidFill>
                          <a:srgbClr val="FFFFFF"/>
                        </a:solidFill>
                        <a:ln w="9525">
                          <a:solidFill>
                            <a:srgbClr val="000000"/>
                          </a:solidFill>
                          <a:miter lim="800000"/>
                          <a:headEnd/>
                          <a:tailEnd/>
                        </a:ln>
                      </wps:spPr>
                      <wps:txbx>
                        <w:txbxContent>
                          <w:p w:rsidR="00BA6C3E" w:rsidRPr="008163AC" w:rsidRDefault="00BA6C3E" w:rsidP="00BA6C3E">
                            <w:pPr>
                              <w:spacing w:after="0" w:line="360" w:lineRule="auto"/>
                              <w:jc w:val="center"/>
                              <w:rPr>
                                <w:rFonts w:ascii="Times New Roman" w:hAnsi="Times New Roman" w:cs="Times New Roman"/>
                                <w:sz w:val="20"/>
                                <w:szCs w:val="20"/>
                              </w:rPr>
                            </w:pPr>
                            <w:r w:rsidRPr="008163AC">
                              <w:rPr>
                                <w:rFonts w:ascii="Times New Roman" w:hAnsi="Times New Roman" w:cs="Times New Roman"/>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9EBB7" id="_x0000_s1031" type="#_x0000_t202" style="position:absolute;left:0;text-align:left;margin-left:298.6pt;margin-top:.75pt;width:45.0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">
                <v:textbox>
                  <w:txbxContent>
                    <w:p w:rsidR="00BA6C3E" w:rsidRPr="008163AC" w:rsidRDefault="00BA6C3E" w:rsidP="00BA6C3E">
                      <w:pPr>
                        <w:spacing w:after="0" w:line="360" w:lineRule="auto"/>
                        <w:jc w:val="center"/>
                        <w:rPr>
                          <w:rFonts w:ascii="Times New Roman" w:hAnsi="Times New Roman" w:cs="Times New Roman"/>
                          <w:sz w:val="20"/>
                          <w:szCs w:val="20"/>
                        </w:rPr>
                      </w:pPr>
                      <w:r w:rsidRPr="008163AC">
                        <w:rPr>
                          <w:rFonts w:ascii="Times New Roman" w:hAnsi="Times New Roman" w:cs="Times New Roman"/>
                          <w:sz w:val="20"/>
                          <w:szCs w:val="20"/>
                        </w:rPr>
                        <w:t>0</w:t>
                      </w:r>
                    </w:p>
                  </w:txbxContent>
                </v:textbox>
              </v:shape>
            </w:pict>
          </mc:Fallback>
        </mc:AlternateContent>
      </w:r>
      <w:r w:rsidR="00BA6C3E" w:rsidRPr="00BA6C3E">
        <w:rPr>
          <w:rFonts w:ascii="Times New Roman" w:hAnsi="Times New Roman" w:cs="Times New Roman"/>
          <w:sz w:val="24"/>
          <w:szCs w:val="24"/>
        </w:rPr>
        <w:t xml:space="preserve">Overall appraisal:          Include      </w:t>
      </w:r>
      <w:r w:rsidR="00BA6C3E">
        <w:rPr>
          <w:rFonts w:ascii="Times New Roman" w:hAnsi="Times New Roman" w:cs="Times New Roman"/>
          <w:sz w:val="24"/>
          <w:szCs w:val="24"/>
        </w:rPr>
        <w:t xml:space="preserve">                       </w:t>
      </w:r>
      <w:r w:rsidR="00BA6C3E" w:rsidRPr="00BA6C3E">
        <w:rPr>
          <w:rFonts w:ascii="Times New Roman" w:hAnsi="Times New Roman" w:cs="Times New Roman"/>
          <w:sz w:val="24"/>
          <w:szCs w:val="24"/>
        </w:rPr>
        <w:t xml:space="preserve"> Exclude  </w:t>
      </w:r>
      <w:r w:rsidR="00BA6C3E">
        <w:rPr>
          <w:rFonts w:ascii="Times New Roman" w:hAnsi="Times New Roman" w:cs="Times New Roman"/>
          <w:sz w:val="24"/>
          <w:szCs w:val="24"/>
        </w:rPr>
        <w:t xml:space="preserve">     </w:t>
      </w:r>
      <w:r w:rsidR="00BA6C3E" w:rsidRPr="00BA6C3E">
        <w:rPr>
          <w:rFonts w:ascii="Times New Roman" w:hAnsi="Times New Roman" w:cs="Times New Roman"/>
          <w:sz w:val="24"/>
          <w:szCs w:val="24"/>
        </w:rPr>
        <w:t xml:space="preserve">          </w:t>
      </w:r>
      <w:r w:rsidR="00BA6C3E">
        <w:rPr>
          <w:rFonts w:ascii="Times New Roman" w:hAnsi="Times New Roman" w:cs="Times New Roman"/>
          <w:sz w:val="24"/>
          <w:szCs w:val="24"/>
        </w:rPr>
        <w:t xml:space="preserve">      </w:t>
      </w:r>
      <w:r w:rsidR="00BA6C3E" w:rsidRPr="00BA6C3E">
        <w:rPr>
          <w:rFonts w:ascii="Times New Roman" w:hAnsi="Times New Roman" w:cs="Times New Roman"/>
          <w:sz w:val="24"/>
          <w:szCs w:val="24"/>
        </w:rPr>
        <w:t xml:space="preserve"> Seek further info</w:t>
      </w:r>
      <w:r w:rsidR="00BA6C3E">
        <w:rPr>
          <w:rFonts w:ascii="Times New Roman" w:hAnsi="Times New Roman" w:cs="Times New Roman"/>
          <w:sz w:val="24"/>
          <w:szCs w:val="24"/>
        </w:rPr>
        <w:t>rmation</w:t>
      </w:r>
    </w:p>
    <w:p w:rsidR="00BA6C3E" w:rsidRPr="00BA6C3E" w:rsidRDefault="00BA6C3E" w:rsidP="00BA6C3E">
      <w:pPr>
        <w:spacing w:line="360" w:lineRule="auto"/>
        <w:jc w:val="both"/>
        <w:rPr>
          <w:rFonts w:ascii="Times New Roman" w:hAnsi="Times New Roman" w:cs="Times New Roman"/>
          <w:sz w:val="24"/>
          <w:szCs w:val="24"/>
        </w:rPr>
      </w:pPr>
      <w:r w:rsidRPr="00BA6C3E">
        <w:rPr>
          <w:rFonts w:ascii="Times New Roman" w:hAnsi="Times New Roman" w:cs="Times New Roman"/>
          <w:sz w:val="24"/>
          <w:szCs w:val="24"/>
        </w:rPr>
        <w:t xml:space="preserve">Q1-10, JBI Critical Appraisal Checklist for Cohort studies [Q1: Is there congruity between the stated philosophical perspective and the research methodology? Q2: Is there congruity between the research methodology and the research question or objectives? Q3: Is there congruity between the research methodology and the methods used to collect data? Q4: Is there congruity between the research methodology and the representation and analysis of data? Q5: Is there congruity between the research methodology and the interpretation of results? </w:t>
      </w:r>
      <w:proofErr w:type="gramStart"/>
      <w:r w:rsidRPr="00BA6C3E">
        <w:rPr>
          <w:rFonts w:ascii="Times New Roman" w:hAnsi="Times New Roman" w:cs="Times New Roman"/>
          <w:sz w:val="24"/>
          <w:szCs w:val="24"/>
        </w:rPr>
        <w:t>Q6: Is there a statement locating the researcher culturally or theoretically?</w:t>
      </w:r>
      <w:proofErr w:type="gramEnd"/>
      <w:r w:rsidRPr="00BA6C3E">
        <w:rPr>
          <w:rFonts w:ascii="Times New Roman" w:hAnsi="Times New Roman" w:cs="Times New Roman"/>
          <w:sz w:val="24"/>
          <w:szCs w:val="24"/>
        </w:rPr>
        <w:t xml:space="preserve"> Q7: Is the influence of the resear</w:t>
      </w:r>
      <w:r w:rsidR="00E10A08">
        <w:rPr>
          <w:rFonts w:ascii="Times New Roman" w:hAnsi="Times New Roman" w:cs="Times New Roman"/>
          <w:sz w:val="24"/>
          <w:szCs w:val="24"/>
        </w:rPr>
        <w:t>cher on the research, and vice-</w:t>
      </w:r>
      <w:r w:rsidRPr="00BA6C3E">
        <w:rPr>
          <w:rFonts w:ascii="Times New Roman" w:hAnsi="Times New Roman" w:cs="Times New Roman"/>
          <w:sz w:val="24"/>
          <w:szCs w:val="24"/>
        </w:rPr>
        <w:t xml:space="preserve">versa, addressed? Q8: Are participants, and their voices, adequately represented? Q9: Is the research ethical according to current criteria or, for recent studies, and is there evidence of ethical approval by an appropriate body? </w:t>
      </w:r>
      <w:proofErr w:type="gramStart"/>
      <w:r w:rsidRPr="00BA6C3E">
        <w:rPr>
          <w:rFonts w:ascii="Times New Roman" w:hAnsi="Times New Roman" w:cs="Times New Roman"/>
          <w:sz w:val="24"/>
          <w:szCs w:val="24"/>
        </w:rPr>
        <w:t>Q10: Do the conclusions drawn in the research report flow from the analysis, or interpretation, of the data?]</w:t>
      </w:r>
      <w:proofErr w:type="gramEnd"/>
    </w:p>
    <w:p w:rsidR="00BA6C3E" w:rsidRPr="00BA6C3E" w:rsidRDefault="00BA6C3E" w:rsidP="008163AC">
      <w:pPr>
        <w:spacing w:line="360" w:lineRule="auto"/>
        <w:jc w:val="both"/>
        <w:rPr>
          <w:rFonts w:ascii="Times New Roman" w:hAnsi="Times New Roman" w:cs="Times New Roman"/>
          <w:sz w:val="24"/>
          <w:szCs w:val="24"/>
        </w:rPr>
      </w:pPr>
    </w:p>
    <w:sectPr w:rsidR="00BA6C3E" w:rsidRPr="00BA6C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D33"/>
    <w:rsid w:val="000B3A3D"/>
    <w:rsid w:val="00107CA3"/>
    <w:rsid w:val="00337AE8"/>
    <w:rsid w:val="003A068D"/>
    <w:rsid w:val="0041699F"/>
    <w:rsid w:val="00587D9F"/>
    <w:rsid w:val="006F5608"/>
    <w:rsid w:val="007128DB"/>
    <w:rsid w:val="007D766F"/>
    <w:rsid w:val="008163AC"/>
    <w:rsid w:val="00894D33"/>
    <w:rsid w:val="009207AA"/>
    <w:rsid w:val="009D09D3"/>
    <w:rsid w:val="009E2EA2"/>
    <w:rsid w:val="009F40C5"/>
    <w:rsid w:val="00A303E7"/>
    <w:rsid w:val="00AB37DC"/>
    <w:rsid w:val="00BA6C3E"/>
    <w:rsid w:val="00C4258F"/>
    <w:rsid w:val="00CF18CD"/>
    <w:rsid w:val="00D64B6C"/>
    <w:rsid w:val="00DC31D1"/>
    <w:rsid w:val="00DD2CF5"/>
    <w:rsid w:val="00E10A08"/>
    <w:rsid w:val="00E35981"/>
    <w:rsid w:val="00E461B3"/>
    <w:rsid w:val="00E664A6"/>
    <w:rsid w:val="00E8345B"/>
    <w:rsid w:val="00F1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180D2"/>
  <w15:chartTrackingRefBased/>
  <w15:docId w15:val="{8005A2D6-6E24-4EA5-8C65-BECBDA3B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4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A6C3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2</Pages>
  <Words>6495</Words>
  <Characters>37027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2024-07-12T03:19:00Z</dcterms:created>
  <dcterms:modified xsi:type="dcterms:W3CDTF">2024-10-26T08:49:00Z</dcterms:modified>
</cp:coreProperties>
</file>