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0B34" w:rsidRPr="00B80B34" w:rsidRDefault="00B80B34" w:rsidP="00B80B34">
      <w:pPr>
        <w:rPr>
          <w:b/>
        </w:rPr>
      </w:pPr>
    </w:p>
    <w:p w:rsidR="00B80B34" w:rsidRPr="00B80B34" w:rsidRDefault="00B80B34" w:rsidP="00B80B34">
      <w:pPr>
        <w:rPr>
          <w:b/>
        </w:rPr>
      </w:pPr>
    </w:p>
    <w:p w:rsidR="00B80B34" w:rsidRPr="00B80B34" w:rsidRDefault="00C37E7A" w:rsidP="00B80B34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Table 3</w:t>
      </w:r>
      <w:bookmarkStart w:id="0" w:name="_GoBack"/>
      <w:bookmarkEnd w:id="0"/>
      <w:r w:rsidR="00B80B34" w:rsidRPr="00B80B34">
        <w:rPr>
          <w:rFonts w:ascii="Times New Roman" w:hAnsi="Times New Roman" w:cs="Times New Roman"/>
          <w:b/>
          <w:sz w:val="24"/>
        </w:rPr>
        <w:t>. Assessment of leave-one-out sensitivity analysis for patient-related factors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85"/>
        <w:gridCol w:w="1980"/>
        <w:gridCol w:w="2430"/>
        <w:gridCol w:w="1255"/>
      </w:tblGrid>
      <w:tr w:rsidR="00B80B34" w:rsidRPr="00B80B34" w:rsidTr="009050FB">
        <w:tc>
          <w:tcPr>
            <w:tcW w:w="3685" w:type="dxa"/>
            <w:shd w:val="clear" w:color="auto" w:fill="auto"/>
          </w:tcPr>
          <w:p w:rsidR="00B80B34" w:rsidRPr="00B80B34" w:rsidRDefault="00B80B34" w:rsidP="00B80B34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B80B34">
              <w:rPr>
                <w:rFonts w:ascii="Times New Roman" w:hAnsi="Times New Roman" w:cs="Times New Roman"/>
                <w:b/>
                <w:sz w:val="24"/>
              </w:rPr>
              <w:t xml:space="preserve">Omitted study  </w:t>
            </w:r>
          </w:p>
        </w:tc>
        <w:tc>
          <w:tcPr>
            <w:tcW w:w="1980" w:type="dxa"/>
            <w:shd w:val="clear" w:color="auto" w:fill="auto"/>
          </w:tcPr>
          <w:p w:rsidR="00B80B34" w:rsidRPr="00B80B34" w:rsidRDefault="00B80B34" w:rsidP="00B80B34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B80B34">
              <w:rPr>
                <w:rFonts w:ascii="Times New Roman" w:hAnsi="Times New Roman" w:cs="Times New Roman"/>
                <w:b/>
                <w:sz w:val="24"/>
              </w:rPr>
              <w:t>OR</w:t>
            </w:r>
          </w:p>
        </w:tc>
        <w:tc>
          <w:tcPr>
            <w:tcW w:w="2430" w:type="dxa"/>
            <w:shd w:val="clear" w:color="auto" w:fill="auto"/>
          </w:tcPr>
          <w:p w:rsidR="00B80B34" w:rsidRPr="00B80B34" w:rsidRDefault="00B80B34" w:rsidP="00B80B34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B80B34">
              <w:rPr>
                <w:rFonts w:ascii="Times New Roman" w:hAnsi="Times New Roman" w:cs="Times New Roman"/>
                <w:b/>
                <w:sz w:val="24"/>
              </w:rPr>
              <w:t>[95% conf. interval]</w:t>
            </w:r>
          </w:p>
        </w:tc>
        <w:tc>
          <w:tcPr>
            <w:tcW w:w="1255" w:type="dxa"/>
            <w:shd w:val="clear" w:color="auto" w:fill="auto"/>
          </w:tcPr>
          <w:p w:rsidR="00B80B34" w:rsidRPr="00B80B34" w:rsidRDefault="00B80B34" w:rsidP="00B80B34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B80B34">
              <w:rPr>
                <w:rFonts w:ascii="Times New Roman" w:hAnsi="Times New Roman" w:cs="Times New Roman"/>
                <w:b/>
                <w:sz w:val="24"/>
              </w:rPr>
              <w:t>P-value</w:t>
            </w:r>
          </w:p>
        </w:tc>
      </w:tr>
      <w:tr w:rsidR="00B80B34" w:rsidRPr="00B80B34" w:rsidTr="009050FB">
        <w:tc>
          <w:tcPr>
            <w:tcW w:w="3685" w:type="dxa"/>
            <w:shd w:val="clear" w:color="auto" w:fill="auto"/>
          </w:tcPr>
          <w:p w:rsidR="00B80B34" w:rsidRPr="00B80B34" w:rsidRDefault="00B80B34" w:rsidP="00B80B34">
            <w:pPr>
              <w:rPr>
                <w:rFonts w:ascii="Times New Roman" w:hAnsi="Times New Roman" w:cs="Times New Roman"/>
                <w:sz w:val="24"/>
              </w:rPr>
            </w:pPr>
            <w:r w:rsidRPr="00B80B34">
              <w:rPr>
                <w:rFonts w:ascii="Times New Roman" w:hAnsi="Times New Roman" w:cs="Times New Roman"/>
                <w:sz w:val="24"/>
              </w:rPr>
              <w:t xml:space="preserve">Abegaz et al. 2017        </w:t>
            </w:r>
          </w:p>
        </w:tc>
        <w:tc>
          <w:tcPr>
            <w:tcW w:w="1980" w:type="dxa"/>
            <w:shd w:val="clear" w:color="auto" w:fill="auto"/>
          </w:tcPr>
          <w:p w:rsidR="00B80B34" w:rsidRPr="00B80B34" w:rsidRDefault="00B80B34" w:rsidP="00B80B34">
            <w:pPr>
              <w:rPr>
                <w:rFonts w:ascii="Times New Roman" w:hAnsi="Times New Roman" w:cs="Times New Roman"/>
                <w:sz w:val="24"/>
              </w:rPr>
            </w:pPr>
            <w:r w:rsidRPr="00B80B34">
              <w:rPr>
                <w:rFonts w:ascii="Times New Roman" w:hAnsi="Times New Roman" w:cs="Times New Roman"/>
                <w:sz w:val="24"/>
              </w:rPr>
              <w:t xml:space="preserve">1.41      </w:t>
            </w:r>
          </w:p>
        </w:tc>
        <w:tc>
          <w:tcPr>
            <w:tcW w:w="2430" w:type="dxa"/>
            <w:shd w:val="clear" w:color="auto" w:fill="auto"/>
          </w:tcPr>
          <w:p w:rsidR="00B80B34" w:rsidRPr="00B80B34" w:rsidRDefault="00B80B34" w:rsidP="00B80B34">
            <w:pPr>
              <w:rPr>
                <w:rFonts w:ascii="Times New Roman" w:hAnsi="Times New Roman" w:cs="Times New Roman"/>
                <w:sz w:val="24"/>
              </w:rPr>
            </w:pPr>
            <w:r w:rsidRPr="00B80B34">
              <w:rPr>
                <w:rFonts w:ascii="Times New Roman" w:hAnsi="Times New Roman" w:cs="Times New Roman"/>
                <w:sz w:val="24"/>
              </w:rPr>
              <w:t>1.14 − 1.68</w:t>
            </w:r>
          </w:p>
        </w:tc>
        <w:tc>
          <w:tcPr>
            <w:tcW w:w="1255" w:type="dxa"/>
            <w:shd w:val="clear" w:color="auto" w:fill="auto"/>
          </w:tcPr>
          <w:p w:rsidR="00B80B34" w:rsidRPr="00B80B34" w:rsidRDefault="00B80B34" w:rsidP="00B80B34">
            <w:pPr>
              <w:rPr>
                <w:rFonts w:ascii="Times New Roman" w:hAnsi="Times New Roman" w:cs="Times New Roman"/>
                <w:sz w:val="24"/>
              </w:rPr>
            </w:pPr>
            <w:r w:rsidRPr="00B80B34">
              <w:rPr>
                <w:rFonts w:ascii="Times New Roman" w:hAnsi="Times New Roman" w:cs="Times New Roman"/>
                <w:sz w:val="24"/>
              </w:rPr>
              <w:t>&lt;0.001</w:t>
            </w:r>
          </w:p>
        </w:tc>
      </w:tr>
      <w:tr w:rsidR="00B80B34" w:rsidRPr="00B80B34" w:rsidTr="009050FB">
        <w:tc>
          <w:tcPr>
            <w:tcW w:w="3685" w:type="dxa"/>
            <w:shd w:val="clear" w:color="auto" w:fill="auto"/>
          </w:tcPr>
          <w:p w:rsidR="00B80B34" w:rsidRPr="00B80B34" w:rsidRDefault="00B80B34" w:rsidP="00B80B34">
            <w:pPr>
              <w:rPr>
                <w:rFonts w:ascii="Times New Roman" w:hAnsi="Times New Roman" w:cs="Times New Roman"/>
                <w:sz w:val="24"/>
              </w:rPr>
            </w:pPr>
            <w:r w:rsidRPr="00B80B34">
              <w:rPr>
                <w:rFonts w:ascii="Times New Roman" w:hAnsi="Times New Roman" w:cs="Times New Roman"/>
                <w:sz w:val="24"/>
              </w:rPr>
              <w:t xml:space="preserve">Abegaz et al. 2017     </w:t>
            </w:r>
          </w:p>
        </w:tc>
        <w:tc>
          <w:tcPr>
            <w:tcW w:w="1980" w:type="dxa"/>
            <w:shd w:val="clear" w:color="auto" w:fill="auto"/>
          </w:tcPr>
          <w:p w:rsidR="00B80B34" w:rsidRPr="00B80B34" w:rsidRDefault="00B80B34" w:rsidP="00B80B34">
            <w:pPr>
              <w:rPr>
                <w:rFonts w:ascii="Times New Roman" w:hAnsi="Times New Roman" w:cs="Times New Roman"/>
                <w:sz w:val="24"/>
              </w:rPr>
            </w:pPr>
            <w:r w:rsidRPr="00B80B34">
              <w:rPr>
                <w:rFonts w:ascii="Times New Roman" w:hAnsi="Times New Roman" w:cs="Times New Roman"/>
                <w:sz w:val="24"/>
              </w:rPr>
              <w:t xml:space="preserve">1.43       </w:t>
            </w:r>
          </w:p>
        </w:tc>
        <w:tc>
          <w:tcPr>
            <w:tcW w:w="2430" w:type="dxa"/>
            <w:shd w:val="clear" w:color="auto" w:fill="auto"/>
          </w:tcPr>
          <w:p w:rsidR="00B80B34" w:rsidRPr="00B80B34" w:rsidRDefault="00B80B34" w:rsidP="00B80B34">
            <w:pPr>
              <w:rPr>
                <w:rFonts w:ascii="Times New Roman" w:hAnsi="Times New Roman" w:cs="Times New Roman"/>
                <w:sz w:val="24"/>
              </w:rPr>
            </w:pPr>
            <w:r w:rsidRPr="00B80B34">
              <w:rPr>
                <w:rFonts w:ascii="Times New Roman" w:hAnsi="Times New Roman" w:cs="Times New Roman"/>
                <w:sz w:val="24"/>
              </w:rPr>
              <w:t>1.14  − 1.71</w:t>
            </w:r>
          </w:p>
        </w:tc>
        <w:tc>
          <w:tcPr>
            <w:tcW w:w="1255" w:type="dxa"/>
            <w:shd w:val="clear" w:color="auto" w:fill="auto"/>
          </w:tcPr>
          <w:p w:rsidR="00B80B34" w:rsidRPr="00B80B34" w:rsidRDefault="00B80B34" w:rsidP="00B80B34">
            <w:pPr>
              <w:rPr>
                <w:rFonts w:ascii="Times New Roman" w:hAnsi="Times New Roman" w:cs="Times New Roman"/>
                <w:sz w:val="24"/>
              </w:rPr>
            </w:pPr>
            <w:r w:rsidRPr="00B80B34">
              <w:rPr>
                <w:rFonts w:ascii="Times New Roman" w:hAnsi="Times New Roman" w:cs="Times New Roman"/>
                <w:sz w:val="24"/>
              </w:rPr>
              <w:t>&lt;0.001</w:t>
            </w:r>
          </w:p>
        </w:tc>
      </w:tr>
      <w:tr w:rsidR="00B80B34" w:rsidRPr="00B80B34" w:rsidTr="009050FB">
        <w:trPr>
          <w:trHeight w:val="152"/>
        </w:trPr>
        <w:tc>
          <w:tcPr>
            <w:tcW w:w="3685" w:type="dxa"/>
            <w:shd w:val="clear" w:color="auto" w:fill="auto"/>
          </w:tcPr>
          <w:p w:rsidR="00B80B34" w:rsidRPr="00B80B34" w:rsidRDefault="00B80B34" w:rsidP="00B80B34">
            <w:pPr>
              <w:rPr>
                <w:rFonts w:ascii="Times New Roman" w:hAnsi="Times New Roman" w:cs="Times New Roman"/>
                <w:sz w:val="24"/>
              </w:rPr>
            </w:pPr>
            <w:r w:rsidRPr="00B80B34">
              <w:rPr>
                <w:rFonts w:ascii="Times New Roman" w:hAnsi="Times New Roman" w:cs="Times New Roman"/>
                <w:sz w:val="24"/>
              </w:rPr>
              <w:t>Girma et al. 2017</w:t>
            </w:r>
          </w:p>
        </w:tc>
        <w:tc>
          <w:tcPr>
            <w:tcW w:w="1980" w:type="dxa"/>
            <w:shd w:val="clear" w:color="auto" w:fill="auto"/>
          </w:tcPr>
          <w:p w:rsidR="00B80B34" w:rsidRPr="00B80B34" w:rsidRDefault="00B80B34" w:rsidP="00B80B34">
            <w:pPr>
              <w:rPr>
                <w:rFonts w:ascii="Times New Roman" w:hAnsi="Times New Roman" w:cs="Times New Roman"/>
                <w:sz w:val="24"/>
              </w:rPr>
            </w:pPr>
            <w:r w:rsidRPr="00B80B34">
              <w:rPr>
                <w:rFonts w:ascii="Times New Roman" w:hAnsi="Times New Roman" w:cs="Times New Roman"/>
                <w:sz w:val="24"/>
              </w:rPr>
              <w:t xml:space="preserve">1.49       </w:t>
            </w:r>
          </w:p>
        </w:tc>
        <w:tc>
          <w:tcPr>
            <w:tcW w:w="2430" w:type="dxa"/>
            <w:shd w:val="clear" w:color="auto" w:fill="auto"/>
          </w:tcPr>
          <w:p w:rsidR="00B80B34" w:rsidRPr="00B80B34" w:rsidRDefault="00B80B34" w:rsidP="00B80B34">
            <w:pPr>
              <w:rPr>
                <w:rFonts w:ascii="Times New Roman" w:hAnsi="Times New Roman" w:cs="Times New Roman"/>
                <w:sz w:val="24"/>
              </w:rPr>
            </w:pPr>
            <w:r w:rsidRPr="00B80B34">
              <w:rPr>
                <w:rFonts w:ascii="Times New Roman" w:hAnsi="Times New Roman" w:cs="Times New Roman"/>
                <w:sz w:val="24"/>
              </w:rPr>
              <w:t xml:space="preserve">1.17 − 1.80    </w:t>
            </w:r>
          </w:p>
        </w:tc>
        <w:tc>
          <w:tcPr>
            <w:tcW w:w="1255" w:type="dxa"/>
            <w:shd w:val="clear" w:color="auto" w:fill="auto"/>
          </w:tcPr>
          <w:p w:rsidR="00B80B34" w:rsidRPr="00B80B34" w:rsidRDefault="00B80B34" w:rsidP="00B80B34">
            <w:pPr>
              <w:rPr>
                <w:rFonts w:ascii="Times New Roman" w:hAnsi="Times New Roman" w:cs="Times New Roman"/>
                <w:sz w:val="24"/>
              </w:rPr>
            </w:pPr>
            <w:r w:rsidRPr="00B80B34">
              <w:rPr>
                <w:rFonts w:ascii="Times New Roman" w:hAnsi="Times New Roman" w:cs="Times New Roman"/>
                <w:sz w:val="24"/>
              </w:rPr>
              <w:t>&lt;0.001</w:t>
            </w:r>
          </w:p>
        </w:tc>
      </w:tr>
      <w:tr w:rsidR="00B80B34" w:rsidRPr="00B80B34" w:rsidTr="009050FB">
        <w:tc>
          <w:tcPr>
            <w:tcW w:w="3685" w:type="dxa"/>
            <w:shd w:val="clear" w:color="auto" w:fill="auto"/>
          </w:tcPr>
          <w:p w:rsidR="00B80B34" w:rsidRPr="00B80B34" w:rsidRDefault="00B80B34" w:rsidP="00B80B34">
            <w:pPr>
              <w:rPr>
                <w:rFonts w:ascii="Times New Roman" w:hAnsi="Times New Roman" w:cs="Times New Roman"/>
                <w:sz w:val="24"/>
              </w:rPr>
            </w:pPr>
            <w:r w:rsidRPr="00B80B34">
              <w:rPr>
                <w:rFonts w:ascii="Times New Roman" w:hAnsi="Times New Roman" w:cs="Times New Roman"/>
                <w:sz w:val="24"/>
              </w:rPr>
              <w:t>Tesfaye et al. 2013</w:t>
            </w:r>
          </w:p>
        </w:tc>
        <w:tc>
          <w:tcPr>
            <w:tcW w:w="1980" w:type="dxa"/>
            <w:shd w:val="clear" w:color="auto" w:fill="auto"/>
          </w:tcPr>
          <w:p w:rsidR="00B80B34" w:rsidRPr="00B80B34" w:rsidRDefault="00B80B34" w:rsidP="00B80B34">
            <w:pPr>
              <w:rPr>
                <w:rFonts w:ascii="Times New Roman" w:hAnsi="Times New Roman" w:cs="Times New Roman"/>
                <w:sz w:val="24"/>
              </w:rPr>
            </w:pPr>
            <w:r w:rsidRPr="00B80B34">
              <w:rPr>
                <w:rFonts w:ascii="Times New Roman" w:hAnsi="Times New Roman" w:cs="Times New Roman"/>
                <w:sz w:val="24"/>
              </w:rPr>
              <w:t xml:space="preserve">1.42       </w:t>
            </w:r>
          </w:p>
        </w:tc>
        <w:tc>
          <w:tcPr>
            <w:tcW w:w="2430" w:type="dxa"/>
            <w:shd w:val="clear" w:color="auto" w:fill="auto"/>
          </w:tcPr>
          <w:p w:rsidR="00B80B34" w:rsidRPr="00B80B34" w:rsidRDefault="00B80B34" w:rsidP="00B80B34">
            <w:pPr>
              <w:rPr>
                <w:rFonts w:ascii="Times New Roman" w:hAnsi="Times New Roman" w:cs="Times New Roman"/>
                <w:sz w:val="24"/>
              </w:rPr>
            </w:pPr>
            <w:r w:rsidRPr="00B80B34">
              <w:rPr>
                <w:rFonts w:ascii="Times New Roman" w:hAnsi="Times New Roman" w:cs="Times New Roman"/>
                <w:sz w:val="24"/>
              </w:rPr>
              <w:t>1.11 − 1.72</w:t>
            </w:r>
          </w:p>
        </w:tc>
        <w:tc>
          <w:tcPr>
            <w:tcW w:w="1255" w:type="dxa"/>
            <w:shd w:val="clear" w:color="auto" w:fill="auto"/>
          </w:tcPr>
          <w:p w:rsidR="00B80B34" w:rsidRPr="00B80B34" w:rsidRDefault="00B80B34" w:rsidP="00B80B34">
            <w:pPr>
              <w:rPr>
                <w:rFonts w:ascii="Times New Roman" w:hAnsi="Times New Roman" w:cs="Times New Roman"/>
                <w:sz w:val="24"/>
              </w:rPr>
            </w:pPr>
            <w:r w:rsidRPr="00B80B34">
              <w:rPr>
                <w:rFonts w:ascii="Times New Roman" w:hAnsi="Times New Roman" w:cs="Times New Roman"/>
                <w:sz w:val="24"/>
              </w:rPr>
              <w:t>&lt;0.001</w:t>
            </w:r>
          </w:p>
        </w:tc>
      </w:tr>
      <w:tr w:rsidR="00B80B34" w:rsidRPr="00B80B34" w:rsidTr="009050FB">
        <w:tc>
          <w:tcPr>
            <w:tcW w:w="3685" w:type="dxa"/>
            <w:shd w:val="clear" w:color="auto" w:fill="auto"/>
          </w:tcPr>
          <w:p w:rsidR="00B80B34" w:rsidRPr="00B80B34" w:rsidRDefault="00B80B34" w:rsidP="00B80B34">
            <w:pPr>
              <w:rPr>
                <w:rFonts w:ascii="Times New Roman" w:hAnsi="Times New Roman" w:cs="Times New Roman"/>
                <w:sz w:val="24"/>
              </w:rPr>
            </w:pPr>
            <w:r w:rsidRPr="00B80B34">
              <w:rPr>
                <w:rFonts w:ascii="Times New Roman" w:hAnsi="Times New Roman" w:cs="Times New Roman"/>
                <w:sz w:val="24"/>
              </w:rPr>
              <w:t xml:space="preserve">Mohammed et al. 2024        </w:t>
            </w:r>
          </w:p>
        </w:tc>
        <w:tc>
          <w:tcPr>
            <w:tcW w:w="1980" w:type="dxa"/>
            <w:shd w:val="clear" w:color="auto" w:fill="auto"/>
          </w:tcPr>
          <w:p w:rsidR="00B80B34" w:rsidRPr="00B80B34" w:rsidRDefault="00B80B34" w:rsidP="00B80B34">
            <w:pPr>
              <w:rPr>
                <w:rFonts w:ascii="Times New Roman" w:hAnsi="Times New Roman" w:cs="Times New Roman"/>
                <w:sz w:val="24"/>
              </w:rPr>
            </w:pPr>
            <w:r w:rsidRPr="00B80B34">
              <w:rPr>
                <w:rFonts w:ascii="Times New Roman" w:hAnsi="Times New Roman" w:cs="Times New Roman"/>
                <w:sz w:val="24"/>
              </w:rPr>
              <w:t xml:space="preserve">1.51      </w:t>
            </w:r>
          </w:p>
        </w:tc>
        <w:tc>
          <w:tcPr>
            <w:tcW w:w="2430" w:type="dxa"/>
            <w:shd w:val="clear" w:color="auto" w:fill="auto"/>
          </w:tcPr>
          <w:p w:rsidR="00B80B34" w:rsidRPr="00B80B34" w:rsidRDefault="00B80B34" w:rsidP="00B80B34">
            <w:pPr>
              <w:rPr>
                <w:rFonts w:ascii="Times New Roman" w:hAnsi="Times New Roman" w:cs="Times New Roman"/>
                <w:sz w:val="24"/>
              </w:rPr>
            </w:pPr>
            <w:r w:rsidRPr="00B80B34">
              <w:rPr>
                <w:rFonts w:ascii="Times New Roman" w:hAnsi="Times New Roman" w:cs="Times New Roman"/>
                <w:sz w:val="24"/>
              </w:rPr>
              <w:t>1.15 − 1.88</w:t>
            </w:r>
          </w:p>
        </w:tc>
        <w:tc>
          <w:tcPr>
            <w:tcW w:w="1255" w:type="dxa"/>
            <w:shd w:val="clear" w:color="auto" w:fill="auto"/>
          </w:tcPr>
          <w:p w:rsidR="00B80B34" w:rsidRPr="00B80B34" w:rsidRDefault="00B80B34" w:rsidP="00B80B34">
            <w:pPr>
              <w:rPr>
                <w:rFonts w:ascii="Times New Roman" w:hAnsi="Times New Roman" w:cs="Times New Roman"/>
                <w:sz w:val="24"/>
              </w:rPr>
            </w:pPr>
            <w:r w:rsidRPr="00B80B34">
              <w:rPr>
                <w:rFonts w:ascii="Times New Roman" w:hAnsi="Times New Roman" w:cs="Times New Roman"/>
                <w:sz w:val="24"/>
              </w:rPr>
              <w:t>&lt;0.001</w:t>
            </w:r>
          </w:p>
        </w:tc>
      </w:tr>
      <w:tr w:rsidR="00B80B34" w:rsidRPr="00B80B34" w:rsidTr="009050FB">
        <w:tc>
          <w:tcPr>
            <w:tcW w:w="3685" w:type="dxa"/>
            <w:shd w:val="clear" w:color="auto" w:fill="auto"/>
          </w:tcPr>
          <w:p w:rsidR="00B80B34" w:rsidRPr="00B80B34" w:rsidRDefault="00B80B34" w:rsidP="00B80B34">
            <w:pPr>
              <w:rPr>
                <w:rFonts w:ascii="Times New Roman" w:hAnsi="Times New Roman" w:cs="Times New Roman"/>
                <w:sz w:val="24"/>
              </w:rPr>
            </w:pPr>
            <w:r w:rsidRPr="00B80B34">
              <w:rPr>
                <w:rFonts w:ascii="Times New Roman" w:hAnsi="Times New Roman" w:cs="Times New Roman"/>
                <w:sz w:val="24"/>
              </w:rPr>
              <w:t>Zeleke et al. 2023</w:t>
            </w:r>
          </w:p>
        </w:tc>
        <w:tc>
          <w:tcPr>
            <w:tcW w:w="1980" w:type="dxa"/>
            <w:shd w:val="clear" w:color="auto" w:fill="auto"/>
          </w:tcPr>
          <w:p w:rsidR="00B80B34" w:rsidRPr="00B80B34" w:rsidRDefault="00B80B34" w:rsidP="00B80B34">
            <w:pPr>
              <w:rPr>
                <w:rFonts w:ascii="Times New Roman" w:hAnsi="Times New Roman" w:cs="Times New Roman"/>
                <w:sz w:val="24"/>
              </w:rPr>
            </w:pPr>
            <w:r w:rsidRPr="00B80B34">
              <w:rPr>
                <w:rFonts w:ascii="Times New Roman" w:hAnsi="Times New Roman" w:cs="Times New Roman"/>
                <w:sz w:val="24"/>
              </w:rPr>
              <w:t xml:space="preserve">1.52       </w:t>
            </w:r>
          </w:p>
        </w:tc>
        <w:tc>
          <w:tcPr>
            <w:tcW w:w="2430" w:type="dxa"/>
            <w:shd w:val="clear" w:color="auto" w:fill="auto"/>
          </w:tcPr>
          <w:p w:rsidR="00B80B34" w:rsidRPr="00B80B34" w:rsidRDefault="00B80B34" w:rsidP="00B80B34">
            <w:pPr>
              <w:rPr>
                <w:rFonts w:ascii="Times New Roman" w:hAnsi="Times New Roman" w:cs="Times New Roman"/>
                <w:sz w:val="24"/>
              </w:rPr>
            </w:pPr>
            <w:r w:rsidRPr="00B80B34">
              <w:rPr>
                <w:rFonts w:ascii="Times New Roman" w:hAnsi="Times New Roman" w:cs="Times New Roman"/>
                <w:sz w:val="24"/>
              </w:rPr>
              <w:t>1.30 − 1.75</w:t>
            </w:r>
          </w:p>
        </w:tc>
        <w:tc>
          <w:tcPr>
            <w:tcW w:w="1255" w:type="dxa"/>
            <w:shd w:val="clear" w:color="auto" w:fill="auto"/>
          </w:tcPr>
          <w:p w:rsidR="00B80B34" w:rsidRPr="00B80B34" w:rsidRDefault="00B80B34" w:rsidP="00B80B34">
            <w:pPr>
              <w:rPr>
                <w:rFonts w:ascii="Times New Roman" w:hAnsi="Times New Roman" w:cs="Times New Roman"/>
                <w:sz w:val="24"/>
              </w:rPr>
            </w:pPr>
            <w:r w:rsidRPr="00B80B34">
              <w:rPr>
                <w:rFonts w:ascii="Times New Roman" w:hAnsi="Times New Roman" w:cs="Times New Roman"/>
                <w:sz w:val="24"/>
              </w:rPr>
              <w:t>&lt;0.001</w:t>
            </w:r>
          </w:p>
        </w:tc>
      </w:tr>
      <w:tr w:rsidR="00B80B34" w:rsidRPr="00B80B34" w:rsidTr="009050FB">
        <w:tc>
          <w:tcPr>
            <w:tcW w:w="3685" w:type="dxa"/>
            <w:shd w:val="clear" w:color="auto" w:fill="auto"/>
          </w:tcPr>
          <w:p w:rsidR="00B80B34" w:rsidRPr="00B80B34" w:rsidRDefault="00B80B34" w:rsidP="00B80B34">
            <w:pPr>
              <w:rPr>
                <w:rFonts w:ascii="Times New Roman" w:hAnsi="Times New Roman" w:cs="Times New Roman"/>
                <w:sz w:val="24"/>
              </w:rPr>
            </w:pPr>
            <w:r w:rsidRPr="00B80B34">
              <w:rPr>
                <w:rFonts w:ascii="Times New Roman" w:hAnsi="Times New Roman" w:cs="Times New Roman"/>
                <w:sz w:val="24"/>
              </w:rPr>
              <w:t xml:space="preserve">theta  </w:t>
            </w:r>
          </w:p>
        </w:tc>
        <w:tc>
          <w:tcPr>
            <w:tcW w:w="1980" w:type="dxa"/>
            <w:shd w:val="clear" w:color="auto" w:fill="auto"/>
          </w:tcPr>
          <w:p w:rsidR="00B80B34" w:rsidRPr="00B80B34" w:rsidRDefault="00B80B34" w:rsidP="00B80B34">
            <w:pPr>
              <w:rPr>
                <w:rFonts w:ascii="Times New Roman" w:hAnsi="Times New Roman" w:cs="Times New Roman"/>
                <w:sz w:val="24"/>
              </w:rPr>
            </w:pPr>
            <w:r w:rsidRPr="00B80B34">
              <w:rPr>
                <w:rFonts w:ascii="Times New Roman" w:hAnsi="Times New Roman" w:cs="Times New Roman"/>
                <w:sz w:val="24"/>
              </w:rPr>
              <w:t xml:space="preserve">1.47       </w:t>
            </w:r>
          </w:p>
        </w:tc>
        <w:tc>
          <w:tcPr>
            <w:tcW w:w="2430" w:type="dxa"/>
            <w:shd w:val="clear" w:color="auto" w:fill="auto"/>
          </w:tcPr>
          <w:p w:rsidR="00B80B34" w:rsidRPr="00B80B34" w:rsidRDefault="00B80B34" w:rsidP="00B80B34">
            <w:pPr>
              <w:rPr>
                <w:rFonts w:ascii="Times New Roman" w:hAnsi="Times New Roman" w:cs="Times New Roman"/>
                <w:sz w:val="24"/>
              </w:rPr>
            </w:pPr>
            <w:r w:rsidRPr="00B80B34">
              <w:rPr>
                <w:rFonts w:ascii="Times New Roman" w:hAnsi="Times New Roman" w:cs="Times New Roman"/>
                <w:sz w:val="24"/>
              </w:rPr>
              <w:t>1.20 − 1.73</w:t>
            </w:r>
          </w:p>
        </w:tc>
        <w:tc>
          <w:tcPr>
            <w:tcW w:w="1255" w:type="dxa"/>
            <w:shd w:val="clear" w:color="auto" w:fill="auto"/>
          </w:tcPr>
          <w:p w:rsidR="00B80B34" w:rsidRPr="00B80B34" w:rsidRDefault="00B80B34" w:rsidP="00B80B34">
            <w:pPr>
              <w:rPr>
                <w:rFonts w:ascii="Times New Roman" w:hAnsi="Times New Roman" w:cs="Times New Roman"/>
                <w:sz w:val="24"/>
              </w:rPr>
            </w:pPr>
            <w:r w:rsidRPr="00B80B34">
              <w:rPr>
                <w:rFonts w:ascii="Times New Roman" w:hAnsi="Times New Roman" w:cs="Times New Roman"/>
                <w:sz w:val="24"/>
              </w:rPr>
              <w:t>&lt;0.001</w:t>
            </w:r>
          </w:p>
        </w:tc>
      </w:tr>
    </w:tbl>
    <w:p w:rsidR="00B80B34" w:rsidRPr="00B80B34" w:rsidRDefault="00B80B34" w:rsidP="00B80B34">
      <w:pPr>
        <w:rPr>
          <w:b/>
        </w:rPr>
      </w:pPr>
    </w:p>
    <w:p w:rsidR="00C627AD" w:rsidRDefault="00C627AD"/>
    <w:sectPr w:rsidR="00C627A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0B34"/>
    <w:rsid w:val="00B80B34"/>
    <w:rsid w:val="00C37E7A"/>
    <w:rsid w:val="00C62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647BC0"/>
  <w15:chartTrackingRefBased/>
  <w15:docId w15:val="{A9FAC43E-F58D-4EE3-A3EA-DDE10D84BE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80B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435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2024-10-13T23:44:00Z</dcterms:created>
  <dcterms:modified xsi:type="dcterms:W3CDTF">2024-10-25T18:16:00Z</dcterms:modified>
</cp:coreProperties>
</file>