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932AA9" w14:textId="1A041948" w:rsidR="00EF4B94" w:rsidRDefault="00914C56" w:rsidP="00914C56">
      <w:pPr>
        <w:rPr>
          <w:rFonts w:eastAsia="Times New Roman"/>
          <w:b/>
          <w:sz w:val="20"/>
          <w:szCs w:val="20"/>
          <w:lang w:eastAsia="en-GB"/>
        </w:rPr>
      </w:pPr>
      <w:r w:rsidRPr="00F3611A">
        <w:rPr>
          <w:rFonts w:eastAsia="Times New Roman"/>
          <w:b/>
          <w:sz w:val="20"/>
          <w:szCs w:val="20"/>
          <w:lang w:eastAsia="en-GB"/>
        </w:rPr>
        <w:t xml:space="preserve">STROBE-MR checklist of recommended items to address </w:t>
      </w:r>
      <w:r>
        <w:rPr>
          <w:rFonts w:eastAsia="Times New Roman"/>
          <w:b/>
          <w:sz w:val="20"/>
          <w:szCs w:val="20"/>
          <w:lang w:eastAsia="en-GB"/>
        </w:rPr>
        <w:t>in reports of Mendelian randomiz</w:t>
      </w:r>
      <w:r w:rsidRPr="00F3611A">
        <w:rPr>
          <w:rFonts w:eastAsia="Times New Roman"/>
          <w:b/>
          <w:sz w:val="20"/>
          <w:szCs w:val="20"/>
          <w:lang w:eastAsia="en-GB"/>
        </w:rPr>
        <w:t>ation studies</w:t>
      </w:r>
      <w:r w:rsidR="009854A9">
        <w:rPr>
          <w:rFonts w:eastAsia="Times New Roman"/>
          <w:b/>
          <w:sz w:val="20"/>
          <w:szCs w:val="20"/>
          <w:lang w:eastAsia="en-GB"/>
        </w:rPr>
        <w:fldChar w:fldCharType="begin" w:fldLock="1"/>
      </w:r>
      <w:r w:rsidR="009854A9">
        <w:rPr>
          <w:rFonts w:eastAsia="Times New Roman"/>
          <w:b/>
          <w:sz w:val="20"/>
          <w:szCs w:val="20"/>
          <w:lang w:eastAsia="en-GB"/>
        </w:rPr>
        <w:instrText>ADDIN CSL_CITATION {"citationItems":[{"id":"ITEM-1","itemData":{"author":[{"dropping-particle":"","family":"Skrivankova","given":"V W","non-dropping-particle":"","parse-names":false,"suffix":""},{"dropping-particle":"","family":"Richmond","given":"R C","non-dropping-particle":"","parse-names":false,"suffix":""},{"dropping-particle":"","family":"Woolf","given":"B A R","non-dropping-particle":"","parse-names":false,"suffix":""},{"dropping-particle":"","family":"Yarmolinsky","given":"J","non-dropping-particle":"","parse-names":false,"suffix":""},{"dropping-particle":"","family":"Davies","given":"N M","non-dropping-particle":"","parse-names":false,"suffix":""},{"dropping-particle":"","family":"Swanson","given":"S A","non-dropping-particle":"","parse-names":false,"suffix":""},{"dropping-particle":"","family":"VanderWeele","given":"T J","non-dropping-particle":"","parse-names":false,"suffix":""},{"dropping-particle":"","family":"Higgins","given":"J P H","non-dropping-particle":"","parse-names":false,"suffix":""},{"dropping-particle":"","family":"Timpson","given":"N J","non-dropping-particle":"","parse-names":false,"suffix":""},{"dropping-particle":"","family":"Dimou","given":"N","non-dropping-particle":"","parse-names":false,"suffix":""},{"dropping-particle":"","family":"Langenberg","given":"C","non-dropping-particle":"","parse-names":false,"suffix":""},{"dropping-particle":"","family":"Loder","given":"E W","non-dropping-particle":"","parse-names":false,"suffix":""},{"dropping-particle":"","family":"Golub","given":"R","non-dropping-particle":"","parse-names":false,"suffix":""},{"dropping-particle":"","family":"Gallo","given":"V","non-dropping-particle":"","parse-names":false,"suffix":""},{"dropping-particle":"","family":"Tybjaerg-Hansen","given":"A","non-dropping-particle":"","parse-names":false,"suffix":""},{"dropping-particle":"","family":"Davey Smith","given":"G","non-dropping-particle":"","parse-names":false,"suffix":""},{"dropping-particle":"","family":"Egger","given":"M","non-dropping-particle":"","parse-names":false,"suffix":""},{"dropping-particle":"","family":"Richards","given":"J B","non-dropping-particle":"","parse-names":false,"suffix":""}],"container-title":"JAMA","id":"ITEM-1","issued":{"date-parts":[["2021"]]},"page":"under review","title":"Strengthening the Reporting of Observational Studies in Epidemiology using Mendelian Randomization (STROBE-MR) Statement","type":"article-journal"},"uris":["http://www.mendeley.com/documents/?uuid=29dd9aa2-14fd-450b-83fb-4c6b74b75061"]}],"mendeley":{"formattedCitation":"&lt;sup&gt;1&lt;/sup&gt;","plainTextFormattedCitation":"1"},"properties":{"noteIndex":0},"schema":"https://github.com/citation-style-language/schema/raw/master/csl-citation.json"}</w:instrText>
      </w:r>
      <w:r w:rsidR="009854A9">
        <w:rPr>
          <w:rFonts w:eastAsia="Times New Roman"/>
          <w:b/>
          <w:sz w:val="20"/>
          <w:szCs w:val="20"/>
          <w:lang w:eastAsia="en-GB"/>
        </w:rPr>
        <w:fldChar w:fldCharType="separate"/>
      </w:r>
      <w:r w:rsidR="009854A9" w:rsidRPr="009854A9">
        <w:rPr>
          <w:rFonts w:eastAsia="Times New Roman"/>
          <w:noProof/>
          <w:sz w:val="20"/>
          <w:szCs w:val="20"/>
          <w:vertAlign w:val="superscript"/>
          <w:lang w:eastAsia="en-GB"/>
        </w:rPr>
        <w:t>1</w:t>
      </w:r>
      <w:r w:rsidR="009854A9">
        <w:rPr>
          <w:rFonts w:eastAsia="Times New Roman"/>
          <w:b/>
          <w:sz w:val="20"/>
          <w:szCs w:val="20"/>
          <w:lang w:eastAsia="en-GB"/>
        </w:rPr>
        <w:fldChar w:fldCharType="end"/>
      </w:r>
      <w:r w:rsidR="009854A9">
        <w:rPr>
          <w:rFonts w:eastAsia="Times New Roman"/>
          <w:b/>
          <w:sz w:val="20"/>
          <w:szCs w:val="20"/>
          <w:lang w:eastAsia="en-GB"/>
        </w:rPr>
        <w:t xml:space="preserve"> </w:t>
      </w:r>
      <w:r w:rsidR="00804498">
        <w:rPr>
          <w:rFonts w:eastAsia="Times New Roman"/>
          <w:b/>
          <w:sz w:val="20"/>
          <w:szCs w:val="20"/>
          <w:lang w:eastAsia="en-GB"/>
        </w:rPr>
        <w:fldChar w:fldCharType="begin" w:fldLock="1"/>
      </w:r>
      <w:r w:rsidR="009854A9">
        <w:rPr>
          <w:rFonts w:eastAsia="Times New Roman"/>
          <w:b/>
          <w:sz w:val="20"/>
          <w:szCs w:val="20"/>
          <w:lang w:eastAsia="en-GB"/>
        </w:rPr>
        <w:instrText>ADDIN CSL_CITATION {"citationItems":[{"id":"ITEM-1","itemData":{"author":[{"dropping-particle":"","family":"Skrivankova","given":"Veronika W","non-dropping-particle":"","parse-names":false,"suffix":""},{"dropping-particle":"","family":"Richmond","given":"Rebecca C","non-dropping-particle":"","parse-names":false,"suffix":""},{"dropping-particle":"","family":"Woolf","given":"Benjamin A R","non-dropping-particle":"","parse-names":false,"suffix":""},{"dropping-particle":"","family":"Davies","given":"Neil M","non-dropping-particle":"","parse-names":false,"suffix":""},{"dropping-particle":"","family":"Swanson","given":"Sonja A","non-dropping-particle":"","parse-names":false,"suffix":""},{"dropping-particle":"","family":"VanderWeele","given":"Tyler J","non-dropping-particle":"","parse-names":false,"suffix":""},{"dropping-particle":"","family":"Timpson","given":"Nicholas J","non-dropping-particle":"","parse-names":false,"suffix":""},{"dropping-particle":"","family":"Higgins","given":"Julian P T","non-dropping-particle":"","parse-names":false,"suffix":""},{"dropping-particle":"","family":"Dimou","given":"Niki","non-dropping-particle":"","parse-names":false,"suffix":""},{"dropping-particle":"","family":"Langenberg","given":"Claudia","non-dropping-particle":"","parse-names":false,"suffix":""},{"dropping-particle":"","family":"Loder","given":"Elizabeth W","non-dropping-particle":"","parse-names":false,"suffix":""},{"dropping-particle":"","family":"Golub","given":"Robert M","non-dropping-particle":"","parse-names":false,"suffix":""},{"dropping-particle":"","family":"Egger","given":"Mathias","non-dropping-particle":"","parse-names":false,"suffix":""},{"dropping-particle":"","family":"Davey Smith","given":"George","non-dropping-particle":"","parse-names":false,"suffix":""},{"dropping-particle":"","family":"Richards","given":"J Brent","non-dropping-particle":"","parse-names":false,"suffix":""}],"container-title":"BMJ","id":"ITEM-1","issued":{"date-parts":[["2021"]]},"title":"Strengthening the Reporting of Observational Studies in Epidemiology using Mendelian Randomisation (STROBE-MR): Explanation and Elaboration","type":"article-journal","volume":"375:n2233"},"uris":["http://www.mendeley.com/documents/?uuid=af64eb33-5308-4d72-bd7e-6fe0d8fe3570"]}],"mendeley":{"formattedCitation":"&lt;sup&gt;2&lt;/sup&gt;","plainTextFormattedCitation":"2","previouslyFormattedCitation":"&lt;sup&gt;1&lt;/sup&gt;"},"properties":{"noteIndex":0},"schema":"https://github.com/citation-style-language/schema/raw/master/csl-citation.json"}</w:instrText>
      </w:r>
      <w:r w:rsidR="00804498">
        <w:rPr>
          <w:rFonts w:eastAsia="Times New Roman"/>
          <w:b/>
          <w:sz w:val="20"/>
          <w:szCs w:val="20"/>
          <w:lang w:eastAsia="en-GB"/>
        </w:rPr>
        <w:fldChar w:fldCharType="separate"/>
      </w:r>
      <w:r w:rsidR="009854A9" w:rsidRPr="009854A9">
        <w:rPr>
          <w:rFonts w:eastAsia="Times New Roman"/>
          <w:noProof/>
          <w:sz w:val="20"/>
          <w:szCs w:val="20"/>
          <w:vertAlign w:val="superscript"/>
          <w:lang w:eastAsia="en-GB"/>
        </w:rPr>
        <w:t>2</w:t>
      </w:r>
      <w:r w:rsidR="00804498">
        <w:rPr>
          <w:rFonts w:eastAsia="Times New Roman"/>
          <w:b/>
          <w:sz w:val="20"/>
          <w:szCs w:val="20"/>
          <w:lang w:eastAsia="en-GB"/>
        </w:rPr>
        <w:fldChar w:fldCharType="end"/>
      </w:r>
      <w:r w:rsidRPr="00F3611A">
        <w:rPr>
          <w:rFonts w:eastAsia="Times New Roman"/>
          <w:b/>
          <w:sz w:val="20"/>
          <w:szCs w:val="20"/>
          <w:lang w:eastAsia="en-GB"/>
        </w:rPr>
        <w:t> </w:t>
      </w:r>
    </w:p>
    <w:p w14:paraId="3EE539AD" w14:textId="77777777" w:rsidR="005520ED" w:rsidRPr="005520ED" w:rsidRDefault="005520ED" w:rsidP="00914C56">
      <w:pPr>
        <w:rPr>
          <w:rFonts w:eastAsia="Times New Roman"/>
          <w:b/>
          <w:sz w:val="20"/>
          <w:szCs w:val="20"/>
          <w:lang w:eastAsia="en-GB"/>
        </w:rPr>
      </w:pPr>
    </w:p>
    <w:tbl>
      <w:tblPr>
        <w:tblW w:w="14490" w:type="dxa"/>
        <w:tblLook w:val="04A0" w:firstRow="1" w:lastRow="0" w:firstColumn="1" w:lastColumn="0" w:noHBand="0" w:noVBand="1"/>
      </w:tblPr>
      <w:tblGrid>
        <w:gridCol w:w="587"/>
        <w:gridCol w:w="1815"/>
        <w:gridCol w:w="6707"/>
        <w:gridCol w:w="1077"/>
        <w:gridCol w:w="4304"/>
      </w:tblGrid>
      <w:tr w:rsidR="00D8098C" w:rsidRPr="00B853C6" w14:paraId="68BC94E2" w14:textId="1CEFEAFD" w:rsidTr="00600578">
        <w:tc>
          <w:tcPr>
            <w:tcW w:w="587" w:type="dxa"/>
            <w:tcBorders>
              <w:top w:val="single" w:sz="4" w:space="0" w:color="auto"/>
              <w:bottom w:val="single" w:sz="6" w:space="0" w:color="7F7F7F"/>
            </w:tcBorders>
            <w:shd w:val="clear" w:color="auto" w:fill="auto"/>
          </w:tcPr>
          <w:p w14:paraId="00DEF8A5" w14:textId="77777777" w:rsidR="00D8098C" w:rsidRPr="00F0337F" w:rsidRDefault="00D8098C" w:rsidP="00426603">
            <w:pPr>
              <w:spacing w:beforeLines="40" w:before="96" w:afterLines="40" w:after="96" w:line="24" w:lineRule="atLeast"/>
              <w:rPr>
                <w:rFonts w:eastAsia="Cambria"/>
                <w:b/>
                <w:bCs/>
                <w:sz w:val="18"/>
                <w:szCs w:val="18"/>
                <w:lang w:val="en-GB" w:eastAsia="en-US"/>
              </w:rPr>
            </w:pPr>
            <w:r w:rsidRPr="00F0337F">
              <w:rPr>
                <w:rFonts w:eastAsia="Cambria"/>
                <w:b/>
                <w:bCs/>
                <w:sz w:val="18"/>
                <w:szCs w:val="18"/>
                <w:lang w:val="en-GB" w:eastAsia="en-US"/>
              </w:rPr>
              <w:t>Item No.</w:t>
            </w:r>
          </w:p>
        </w:tc>
        <w:tc>
          <w:tcPr>
            <w:tcW w:w="1815" w:type="dxa"/>
            <w:tcBorders>
              <w:top w:val="single" w:sz="4" w:space="0" w:color="auto"/>
              <w:bottom w:val="single" w:sz="6" w:space="0" w:color="7F7F7F"/>
            </w:tcBorders>
            <w:shd w:val="clear" w:color="auto" w:fill="auto"/>
          </w:tcPr>
          <w:p w14:paraId="04F587D2" w14:textId="77777777" w:rsidR="00D8098C" w:rsidRPr="00F0337F" w:rsidRDefault="00D8098C" w:rsidP="00426603">
            <w:pPr>
              <w:spacing w:beforeLines="40" w:before="96" w:afterLines="40" w:after="96" w:line="24" w:lineRule="atLeast"/>
              <w:rPr>
                <w:rFonts w:eastAsia="Cambria"/>
                <w:b/>
                <w:bCs/>
                <w:sz w:val="18"/>
                <w:szCs w:val="18"/>
                <w:lang w:val="en-GB" w:eastAsia="en-US"/>
              </w:rPr>
            </w:pPr>
            <w:r w:rsidRPr="00F0337F">
              <w:rPr>
                <w:rFonts w:eastAsia="Cambria"/>
                <w:b/>
                <w:bCs/>
                <w:sz w:val="18"/>
                <w:szCs w:val="18"/>
                <w:lang w:val="en-GB" w:eastAsia="en-US"/>
              </w:rPr>
              <w:t>Section</w:t>
            </w:r>
          </w:p>
        </w:tc>
        <w:tc>
          <w:tcPr>
            <w:tcW w:w="6707" w:type="dxa"/>
            <w:tcBorders>
              <w:top w:val="single" w:sz="4" w:space="0" w:color="auto"/>
              <w:bottom w:val="single" w:sz="6" w:space="0" w:color="7F7F7F"/>
            </w:tcBorders>
            <w:shd w:val="clear" w:color="auto" w:fill="auto"/>
          </w:tcPr>
          <w:p w14:paraId="5A682768" w14:textId="77777777" w:rsidR="00D8098C" w:rsidRPr="00F0337F" w:rsidRDefault="00D8098C" w:rsidP="00426603">
            <w:pPr>
              <w:spacing w:beforeLines="40" w:before="96" w:afterLines="40" w:after="96" w:line="24" w:lineRule="atLeast"/>
              <w:rPr>
                <w:rFonts w:eastAsia="Cambria"/>
                <w:b/>
                <w:bCs/>
                <w:sz w:val="18"/>
                <w:szCs w:val="18"/>
                <w:lang w:val="en-GB" w:eastAsia="en-US"/>
              </w:rPr>
            </w:pPr>
            <w:r w:rsidRPr="00F0337F">
              <w:rPr>
                <w:rFonts w:eastAsia="Cambria"/>
                <w:b/>
                <w:bCs/>
                <w:sz w:val="18"/>
                <w:szCs w:val="18"/>
                <w:lang w:val="en-GB" w:eastAsia="en-US"/>
              </w:rPr>
              <w:t xml:space="preserve">Checklist item </w:t>
            </w:r>
          </w:p>
        </w:tc>
        <w:tc>
          <w:tcPr>
            <w:tcW w:w="1077" w:type="dxa"/>
            <w:tcBorders>
              <w:top w:val="single" w:sz="4" w:space="0" w:color="auto"/>
              <w:bottom w:val="single" w:sz="6" w:space="0" w:color="7F7F7F"/>
            </w:tcBorders>
          </w:tcPr>
          <w:p w14:paraId="26D050FB" w14:textId="497E77E4" w:rsidR="00D8098C" w:rsidRPr="00F0337F" w:rsidRDefault="00EF4B94" w:rsidP="00426603">
            <w:pPr>
              <w:spacing w:beforeLines="40" w:before="96" w:afterLines="40" w:after="96" w:line="24" w:lineRule="atLeast"/>
              <w:rPr>
                <w:rFonts w:eastAsia="Cambria"/>
                <w:b/>
                <w:bCs/>
                <w:sz w:val="18"/>
                <w:szCs w:val="18"/>
                <w:lang w:val="en-GB" w:eastAsia="en-US"/>
              </w:rPr>
            </w:pPr>
            <w:r>
              <w:rPr>
                <w:rFonts w:eastAsia="Cambria"/>
                <w:b/>
                <w:bCs/>
                <w:sz w:val="18"/>
                <w:szCs w:val="18"/>
                <w:lang w:val="en-GB" w:eastAsia="en-US"/>
              </w:rPr>
              <w:t>Page No.</w:t>
            </w:r>
          </w:p>
        </w:tc>
        <w:tc>
          <w:tcPr>
            <w:tcW w:w="4304" w:type="dxa"/>
            <w:tcBorders>
              <w:top w:val="single" w:sz="4" w:space="0" w:color="auto"/>
              <w:bottom w:val="single" w:sz="6" w:space="0" w:color="7F7F7F"/>
            </w:tcBorders>
          </w:tcPr>
          <w:p w14:paraId="3B169EDD" w14:textId="040F4512" w:rsidR="00D8098C" w:rsidRDefault="00EF4B94" w:rsidP="00426603">
            <w:pPr>
              <w:spacing w:beforeLines="40" w:before="96" w:afterLines="40" w:after="96" w:line="24" w:lineRule="atLeast"/>
              <w:rPr>
                <w:rFonts w:eastAsia="Cambria"/>
                <w:b/>
                <w:bCs/>
                <w:sz w:val="18"/>
                <w:szCs w:val="18"/>
                <w:lang w:val="en-GB" w:eastAsia="en-US"/>
              </w:rPr>
            </w:pPr>
            <w:r>
              <w:rPr>
                <w:rFonts w:eastAsia="Cambria"/>
                <w:b/>
                <w:bCs/>
                <w:sz w:val="18"/>
                <w:szCs w:val="18"/>
                <w:lang w:val="en-GB" w:eastAsia="en-US"/>
              </w:rPr>
              <w:t>Relevant text from manuscript</w:t>
            </w:r>
          </w:p>
        </w:tc>
      </w:tr>
      <w:tr w:rsidR="00D8098C" w:rsidRPr="00B853C6" w14:paraId="6D71F361" w14:textId="15A67F44" w:rsidTr="00600578">
        <w:tc>
          <w:tcPr>
            <w:tcW w:w="587" w:type="dxa"/>
            <w:tcBorders>
              <w:top w:val="single" w:sz="6" w:space="0" w:color="7F7F7F"/>
              <w:bottom w:val="single" w:sz="6" w:space="0" w:color="7F7F7F"/>
            </w:tcBorders>
            <w:shd w:val="clear" w:color="auto" w:fill="EEEEEE"/>
          </w:tcPr>
          <w:p w14:paraId="25A8835C"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w:t>
            </w:r>
          </w:p>
        </w:tc>
        <w:tc>
          <w:tcPr>
            <w:tcW w:w="1815" w:type="dxa"/>
            <w:tcBorders>
              <w:top w:val="single" w:sz="6" w:space="0" w:color="7F7F7F"/>
              <w:bottom w:val="single" w:sz="6" w:space="0" w:color="7F7F7F"/>
            </w:tcBorders>
            <w:shd w:val="clear" w:color="auto" w:fill="EEEEEE"/>
          </w:tcPr>
          <w:p w14:paraId="4CC4316B"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TITLE and ABSTRACT</w:t>
            </w:r>
          </w:p>
        </w:tc>
        <w:tc>
          <w:tcPr>
            <w:tcW w:w="6707" w:type="dxa"/>
            <w:tcBorders>
              <w:top w:val="single" w:sz="6" w:space="0" w:color="7F7F7F"/>
              <w:bottom w:val="single" w:sz="6" w:space="0" w:color="7F7F7F"/>
            </w:tcBorders>
            <w:shd w:val="clear" w:color="auto" w:fill="EEEEEE"/>
          </w:tcPr>
          <w:p w14:paraId="1DA8BD46" w14:textId="22BBD1AD" w:rsidR="00D8098C" w:rsidRPr="00F0337F" w:rsidRDefault="00D8098C" w:rsidP="006912BF">
            <w:pPr>
              <w:spacing w:beforeLines="40" w:before="96" w:afterLines="40" w:after="96" w:line="24" w:lineRule="atLeast"/>
              <w:rPr>
                <w:rFonts w:eastAsia="Cambria"/>
                <w:sz w:val="18"/>
                <w:szCs w:val="18"/>
                <w:lang w:val="en-GB" w:eastAsia="en-US"/>
              </w:rPr>
            </w:pPr>
            <w:r w:rsidRPr="00F0337F">
              <w:rPr>
                <w:rFonts w:eastAsia="Times New Roman"/>
                <w:sz w:val="18"/>
                <w:szCs w:val="18"/>
                <w:lang w:val="en-GB" w:eastAsia="en-GB"/>
              </w:rPr>
              <w:t>Indicate Mendelian randomization</w:t>
            </w:r>
            <w:r w:rsidR="000A4CE8">
              <w:rPr>
                <w:rFonts w:eastAsia="Times New Roman"/>
                <w:sz w:val="18"/>
                <w:szCs w:val="18"/>
                <w:lang w:val="en-GB" w:eastAsia="en-GB"/>
              </w:rPr>
              <w:t xml:space="preserve"> (MR)</w:t>
            </w:r>
            <w:r w:rsidRPr="00F0337F">
              <w:rPr>
                <w:rFonts w:eastAsia="Times New Roman"/>
                <w:sz w:val="18"/>
                <w:szCs w:val="18"/>
                <w:lang w:val="en-GB" w:eastAsia="en-GB"/>
              </w:rPr>
              <w:t xml:space="preserve"> as the study</w:t>
            </w:r>
            <w:r w:rsidR="006912BF">
              <w:rPr>
                <w:rFonts w:eastAsia="Times New Roman"/>
                <w:sz w:val="18"/>
                <w:szCs w:val="18"/>
                <w:lang w:val="en-GB" w:eastAsia="en-GB"/>
              </w:rPr>
              <w:t>’</w:t>
            </w:r>
            <w:r w:rsidRPr="00F0337F">
              <w:rPr>
                <w:rFonts w:eastAsia="Times New Roman"/>
                <w:sz w:val="18"/>
                <w:szCs w:val="18"/>
                <w:lang w:val="en-GB" w:eastAsia="en-GB"/>
              </w:rPr>
              <w:t>s design in the title and/or the abstract if that is a main purpose of the study</w:t>
            </w:r>
          </w:p>
        </w:tc>
        <w:tc>
          <w:tcPr>
            <w:tcW w:w="1077" w:type="dxa"/>
            <w:tcBorders>
              <w:top w:val="single" w:sz="6" w:space="0" w:color="7F7F7F"/>
              <w:bottom w:val="single" w:sz="6" w:space="0" w:color="7F7F7F"/>
            </w:tcBorders>
            <w:shd w:val="clear" w:color="auto" w:fill="EEEEEE"/>
          </w:tcPr>
          <w:p w14:paraId="428F187D" w14:textId="01756068" w:rsidR="00D8098C" w:rsidRPr="00F37064" w:rsidRDefault="00F37064"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1</w:t>
            </w:r>
          </w:p>
        </w:tc>
        <w:tc>
          <w:tcPr>
            <w:tcW w:w="4304" w:type="dxa"/>
            <w:tcBorders>
              <w:top w:val="single" w:sz="6" w:space="0" w:color="7F7F7F"/>
              <w:bottom w:val="single" w:sz="6" w:space="0" w:color="7F7F7F"/>
            </w:tcBorders>
            <w:shd w:val="clear" w:color="auto" w:fill="EEEEEE"/>
          </w:tcPr>
          <w:p w14:paraId="2F6D1FAF" w14:textId="013B7CBF" w:rsidR="00D8098C" w:rsidRPr="00934591" w:rsidRDefault="00934591" w:rsidP="00426603">
            <w:pPr>
              <w:spacing w:beforeLines="40" w:before="96" w:afterLines="40" w:after="96" w:line="24" w:lineRule="atLeast"/>
              <w:rPr>
                <w:rFonts w:eastAsia="Times New Roman"/>
                <w:sz w:val="18"/>
                <w:szCs w:val="18"/>
                <w:lang w:val="en-US" w:eastAsia="en-GB"/>
              </w:rPr>
            </w:pPr>
            <w:r w:rsidRPr="00934591">
              <w:rPr>
                <w:rFonts w:eastAsia="Times New Roman"/>
                <w:sz w:val="18"/>
                <w:szCs w:val="18"/>
                <w:lang w:val="en-US" w:eastAsia="en-GB"/>
              </w:rPr>
              <w:t>Exploring glucagon-like peptide-1 receptor agonists as potential disease-modifying agent in mental disorders: evidence from a drug target mendelian randomization</w:t>
            </w:r>
          </w:p>
        </w:tc>
      </w:tr>
      <w:tr w:rsidR="00D8098C" w:rsidRPr="00B853C6" w14:paraId="641E6A58" w14:textId="3A4EC1CE" w:rsidTr="00600578">
        <w:tc>
          <w:tcPr>
            <w:tcW w:w="587" w:type="dxa"/>
            <w:tcBorders>
              <w:top w:val="single" w:sz="6" w:space="0" w:color="7F7F7F"/>
            </w:tcBorders>
            <w:shd w:val="clear" w:color="auto" w:fill="auto"/>
          </w:tcPr>
          <w:p w14:paraId="4792BEFB"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p>
        </w:tc>
        <w:tc>
          <w:tcPr>
            <w:tcW w:w="1815" w:type="dxa"/>
            <w:tcBorders>
              <w:top w:val="single" w:sz="6" w:space="0" w:color="7F7F7F"/>
            </w:tcBorders>
            <w:shd w:val="clear" w:color="auto" w:fill="auto"/>
          </w:tcPr>
          <w:p w14:paraId="63B58F01"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INTRODUCTION</w:t>
            </w:r>
          </w:p>
        </w:tc>
        <w:tc>
          <w:tcPr>
            <w:tcW w:w="6707" w:type="dxa"/>
            <w:tcBorders>
              <w:top w:val="single" w:sz="6" w:space="0" w:color="7F7F7F"/>
            </w:tcBorders>
            <w:shd w:val="clear" w:color="auto" w:fill="auto"/>
          </w:tcPr>
          <w:p w14:paraId="473C01D0" w14:textId="77777777" w:rsidR="00D8098C" w:rsidRPr="00F0337F" w:rsidRDefault="00D8098C" w:rsidP="00426603">
            <w:pPr>
              <w:spacing w:beforeLines="40" w:before="96" w:afterLines="40" w:after="96" w:line="24" w:lineRule="atLeast"/>
              <w:rPr>
                <w:rFonts w:eastAsia="Cambria"/>
                <w:sz w:val="18"/>
                <w:szCs w:val="18"/>
                <w:lang w:val="en-GB" w:eastAsia="en-US"/>
              </w:rPr>
            </w:pPr>
          </w:p>
        </w:tc>
        <w:tc>
          <w:tcPr>
            <w:tcW w:w="1077" w:type="dxa"/>
            <w:tcBorders>
              <w:top w:val="single" w:sz="6" w:space="0" w:color="7F7F7F"/>
            </w:tcBorders>
          </w:tcPr>
          <w:p w14:paraId="6681F500" w14:textId="77777777" w:rsidR="00D8098C" w:rsidRPr="00F0337F" w:rsidRDefault="00D8098C" w:rsidP="00426603">
            <w:pPr>
              <w:spacing w:beforeLines="40" w:before="96" w:afterLines="40" w:after="96" w:line="24" w:lineRule="atLeast"/>
              <w:rPr>
                <w:rFonts w:eastAsia="Cambria"/>
                <w:sz w:val="18"/>
                <w:szCs w:val="18"/>
                <w:lang w:val="en-GB" w:eastAsia="en-US"/>
              </w:rPr>
            </w:pPr>
          </w:p>
        </w:tc>
        <w:tc>
          <w:tcPr>
            <w:tcW w:w="4304" w:type="dxa"/>
            <w:tcBorders>
              <w:top w:val="single" w:sz="6" w:space="0" w:color="7F7F7F"/>
            </w:tcBorders>
          </w:tcPr>
          <w:p w14:paraId="7A6DC6E9"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7DB622D8" w14:textId="3921B7E8" w:rsidTr="00600578">
        <w:tc>
          <w:tcPr>
            <w:tcW w:w="587" w:type="dxa"/>
            <w:shd w:val="clear" w:color="auto" w:fill="EEEEEE"/>
          </w:tcPr>
          <w:p w14:paraId="7DE28D61"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2</w:t>
            </w:r>
          </w:p>
        </w:tc>
        <w:tc>
          <w:tcPr>
            <w:tcW w:w="1815" w:type="dxa"/>
            <w:shd w:val="clear" w:color="auto" w:fill="EEEEEE"/>
          </w:tcPr>
          <w:p w14:paraId="7756B327"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Background</w:t>
            </w:r>
          </w:p>
        </w:tc>
        <w:tc>
          <w:tcPr>
            <w:tcW w:w="6707" w:type="dxa"/>
            <w:shd w:val="clear" w:color="auto" w:fill="EEEEEE"/>
          </w:tcPr>
          <w:p w14:paraId="5423D52E" w14:textId="5998ED56"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sz w:val="18"/>
                <w:szCs w:val="18"/>
                <w:lang w:val="en-GB" w:eastAsia="en-GB"/>
              </w:rPr>
              <w:t xml:space="preserve">Explain the scientific background and rationale for the reported study. What is the exposure? Is </w:t>
            </w:r>
            <w:r w:rsidR="00514462">
              <w:rPr>
                <w:rFonts w:eastAsia="Times New Roman"/>
                <w:sz w:val="18"/>
                <w:szCs w:val="18"/>
                <w:lang w:val="en-GB" w:eastAsia="en-GB"/>
              </w:rPr>
              <w:t xml:space="preserve">a </w:t>
            </w:r>
            <w:r>
              <w:rPr>
                <w:rFonts w:eastAsia="Times New Roman"/>
                <w:sz w:val="18"/>
                <w:szCs w:val="18"/>
                <w:lang w:val="en-GB" w:eastAsia="en-GB"/>
              </w:rPr>
              <w:t>potential causal relationship</w:t>
            </w:r>
            <w:r w:rsidRPr="00F0337F">
              <w:rPr>
                <w:rFonts w:eastAsia="Times New Roman"/>
                <w:sz w:val="18"/>
                <w:szCs w:val="18"/>
                <w:lang w:val="en-GB" w:eastAsia="en-GB"/>
              </w:rPr>
              <w:t xml:space="preserve"> between exposure and outcome plausible? Justify why MR is a helpful method to address the study question</w:t>
            </w:r>
          </w:p>
        </w:tc>
        <w:tc>
          <w:tcPr>
            <w:tcW w:w="1077" w:type="dxa"/>
            <w:shd w:val="clear" w:color="auto" w:fill="EEEEEE"/>
          </w:tcPr>
          <w:p w14:paraId="460FB29C" w14:textId="158B3F97" w:rsidR="00D8098C" w:rsidRPr="00F37064" w:rsidRDefault="00934591"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4</w:t>
            </w:r>
          </w:p>
        </w:tc>
        <w:tc>
          <w:tcPr>
            <w:tcW w:w="4304" w:type="dxa"/>
            <w:shd w:val="clear" w:color="auto" w:fill="EEEEEE"/>
          </w:tcPr>
          <w:p w14:paraId="6DAC501E" w14:textId="77777777" w:rsidR="00934591" w:rsidRPr="00934591" w:rsidRDefault="00934591" w:rsidP="00934591">
            <w:pPr>
              <w:spacing w:beforeLines="40" w:before="96" w:afterLines="40" w:after="96" w:line="24" w:lineRule="atLeast"/>
              <w:rPr>
                <w:rFonts w:eastAsia="Times New Roman"/>
                <w:sz w:val="18"/>
                <w:szCs w:val="18"/>
                <w:lang w:val="en-GB" w:eastAsia="en-GB"/>
              </w:rPr>
            </w:pPr>
            <w:r w:rsidRPr="00934591">
              <w:rPr>
                <w:rFonts w:eastAsia="Times New Roman"/>
                <w:sz w:val="18"/>
                <w:szCs w:val="18"/>
                <w:lang w:val="en-GB" w:eastAsia="en-GB"/>
              </w:rPr>
              <w:t>Mendelian randomization (MR) is a widely used method in human genetics for inferring causal relationships between exposures and complex disease outcomes. Compared to observational epidemiology, MR offers several advantages, such as controlling for non-genetic environmental confounders and using genetic instruments to assess exposure effects without needing to measure the exposure in outcome groups. MR employs genetic variants as instrumental variables (IVs), which are closely associated with the exposure of interest, to test whether the genetic variant’s influence on the exposure leads to a proportional effect on the outcome.</w:t>
            </w:r>
          </w:p>
          <w:p w14:paraId="5D990A22" w14:textId="068A85F7" w:rsidR="00D8098C" w:rsidRDefault="00934591" w:rsidP="00934591">
            <w:pPr>
              <w:spacing w:beforeLines="40" w:before="96" w:afterLines="40" w:after="96" w:line="24" w:lineRule="atLeast"/>
              <w:rPr>
                <w:rFonts w:eastAsia="Times New Roman"/>
                <w:sz w:val="18"/>
                <w:szCs w:val="18"/>
                <w:lang w:val="en-GB" w:eastAsia="en-GB"/>
              </w:rPr>
            </w:pPr>
            <w:r w:rsidRPr="00934591">
              <w:rPr>
                <w:rFonts w:eastAsia="Times New Roman"/>
                <w:sz w:val="18"/>
                <w:szCs w:val="18"/>
                <w:lang w:val="en-GB" w:eastAsia="en-GB"/>
              </w:rPr>
              <w:t>In epidemiological research, randomized controlled trials (RCTs) are considered the gold standard for establishing causal relationships between exposures and outcomes. However, many associations observed in epidemiological studies fail to replicate in RCTs due to confounding, reverse causation, and various biases. Although RCTs are the primary tool for determining causal relationships, their high cost is a significant limitation. To address this, MR has emerged as a valuable epidemiological method for inferring causal relationships between exposures and disease outcomes, leveraging the rapid identification of genetic variants associated with complex traits in large genome-wide association studies (GWAS).</w:t>
            </w:r>
          </w:p>
        </w:tc>
      </w:tr>
      <w:tr w:rsidR="00D8098C" w:rsidRPr="00B853C6" w14:paraId="7907A3D3" w14:textId="5AB948A7" w:rsidTr="00600578">
        <w:tc>
          <w:tcPr>
            <w:tcW w:w="587" w:type="dxa"/>
            <w:tcBorders>
              <w:bottom w:val="single" w:sz="6" w:space="0" w:color="7F7F7F"/>
            </w:tcBorders>
            <w:shd w:val="clear" w:color="auto" w:fill="auto"/>
          </w:tcPr>
          <w:p w14:paraId="4F63B034"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3</w:t>
            </w:r>
          </w:p>
        </w:tc>
        <w:tc>
          <w:tcPr>
            <w:tcW w:w="1815" w:type="dxa"/>
            <w:tcBorders>
              <w:bottom w:val="single" w:sz="6" w:space="0" w:color="7F7F7F"/>
            </w:tcBorders>
            <w:shd w:val="clear" w:color="auto" w:fill="auto"/>
          </w:tcPr>
          <w:p w14:paraId="3E6B9EEC"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Objectives</w:t>
            </w:r>
          </w:p>
        </w:tc>
        <w:tc>
          <w:tcPr>
            <w:tcW w:w="6707" w:type="dxa"/>
            <w:tcBorders>
              <w:bottom w:val="single" w:sz="6" w:space="0" w:color="7F7F7F"/>
            </w:tcBorders>
            <w:shd w:val="clear" w:color="auto" w:fill="auto"/>
          </w:tcPr>
          <w:p w14:paraId="41BC8A04"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State specific objectives clearly, including pre-specified causal hypotheses (if any). State that MR is a method that, under specific assumptions, intends to estimate causal effects</w:t>
            </w:r>
          </w:p>
        </w:tc>
        <w:tc>
          <w:tcPr>
            <w:tcW w:w="1077" w:type="dxa"/>
            <w:tcBorders>
              <w:bottom w:val="single" w:sz="6" w:space="0" w:color="7F7F7F"/>
            </w:tcBorders>
          </w:tcPr>
          <w:p w14:paraId="2294F6C5" w14:textId="4A222253" w:rsidR="00D8098C" w:rsidRPr="00F37064" w:rsidRDefault="00934591"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5</w:t>
            </w:r>
          </w:p>
        </w:tc>
        <w:tc>
          <w:tcPr>
            <w:tcW w:w="4304" w:type="dxa"/>
            <w:tcBorders>
              <w:bottom w:val="single" w:sz="6" w:space="0" w:color="7F7F7F"/>
            </w:tcBorders>
          </w:tcPr>
          <w:p w14:paraId="11250836" w14:textId="3DD7C5FA" w:rsidR="00D8098C" w:rsidRDefault="00934591" w:rsidP="00426603">
            <w:pPr>
              <w:spacing w:beforeLines="40" w:before="96" w:afterLines="40" w:after="96" w:line="24" w:lineRule="atLeast"/>
              <w:rPr>
                <w:rFonts w:eastAsia="Times New Roman"/>
                <w:sz w:val="18"/>
                <w:szCs w:val="18"/>
                <w:lang w:val="en-GB" w:eastAsia="en-GB"/>
              </w:rPr>
            </w:pPr>
            <w:r w:rsidRPr="00934591">
              <w:rPr>
                <w:rFonts w:eastAsia="Times New Roman"/>
                <w:sz w:val="18"/>
                <w:szCs w:val="18"/>
                <w:lang w:val="en-GB" w:eastAsia="en-GB"/>
              </w:rPr>
              <w:t xml:space="preserve">MR operates on the principle of Mendel’s second law, where alleles segregate independently during gamete formation, akin to the random allocation in </w:t>
            </w:r>
            <w:r w:rsidRPr="00934591">
              <w:rPr>
                <w:rFonts w:eastAsia="Times New Roman"/>
                <w:sz w:val="18"/>
                <w:szCs w:val="18"/>
                <w:lang w:val="en-GB" w:eastAsia="en-GB"/>
              </w:rPr>
              <w:lastRenderedPageBreak/>
              <w:t>RCTs. This genetic randomization helps form groups with similar clinical characteristics, thereby reducing confounding. Recent advancements in MR focus on estimating causal effects using genetic markers as IVs. With many large-scale GWAS providing extensive genomic data, MR offers a cost-effective alternative to RCTs for evaluating causal relationships between exposures and outcomes.</w:t>
            </w:r>
          </w:p>
        </w:tc>
      </w:tr>
      <w:tr w:rsidR="00D8098C" w:rsidRPr="00B853C6" w14:paraId="59599383" w14:textId="2880B554" w:rsidTr="00600578">
        <w:tc>
          <w:tcPr>
            <w:tcW w:w="587" w:type="dxa"/>
            <w:tcBorders>
              <w:top w:val="single" w:sz="6" w:space="0" w:color="7F7F7F"/>
            </w:tcBorders>
            <w:shd w:val="clear" w:color="auto" w:fill="EEEEEE"/>
          </w:tcPr>
          <w:p w14:paraId="3524D6D4"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p>
        </w:tc>
        <w:tc>
          <w:tcPr>
            <w:tcW w:w="1815" w:type="dxa"/>
            <w:tcBorders>
              <w:top w:val="single" w:sz="6" w:space="0" w:color="7F7F7F"/>
            </w:tcBorders>
            <w:shd w:val="clear" w:color="auto" w:fill="EEEEEE"/>
          </w:tcPr>
          <w:p w14:paraId="6152628C"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METHODS</w:t>
            </w:r>
          </w:p>
        </w:tc>
        <w:tc>
          <w:tcPr>
            <w:tcW w:w="6707" w:type="dxa"/>
            <w:tcBorders>
              <w:top w:val="single" w:sz="6" w:space="0" w:color="7F7F7F"/>
            </w:tcBorders>
            <w:shd w:val="clear" w:color="auto" w:fill="EEEEEE"/>
          </w:tcPr>
          <w:p w14:paraId="309B8567"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1077" w:type="dxa"/>
            <w:tcBorders>
              <w:top w:val="single" w:sz="6" w:space="0" w:color="7F7F7F"/>
            </w:tcBorders>
            <w:shd w:val="clear" w:color="auto" w:fill="EEEEEE"/>
          </w:tcPr>
          <w:p w14:paraId="2FFEF450"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4304" w:type="dxa"/>
            <w:tcBorders>
              <w:top w:val="single" w:sz="6" w:space="0" w:color="7F7F7F"/>
            </w:tcBorders>
            <w:shd w:val="clear" w:color="auto" w:fill="EEEEEE"/>
          </w:tcPr>
          <w:p w14:paraId="6CB9315A"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6440155E" w14:textId="16610A1F" w:rsidTr="00600578">
        <w:tc>
          <w:tcPr>
            <w:tcW w:w="587" w:type="dxa"/>
            <w:shd w:val="clear" w:color="auto" w:fill="auto"/>
          </w:tcPr>
          <w:p w14:paraId="5C7CF349"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4</w:t>
            </w:r>
          </w:p>
        </w:tc>
        <w:tc>
          <w:tcPr>
            <w:tcW w:w="1815" w:type="dxa"/>
            <w:shd w:val="clear" w:color="auto" w:fill="auto"/>
          </w:tcPr>
          <w:p w14:paraId="408E2A89"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Study design and data sources</w:t>
            </w:r>
          </w:p>
        </w:tc>
        <w:tc>
          <w:tcPr>
            <w:tcW w:w="6707" w:type="dxa"/>
            <w:shd w:val="clear" w:color="auto" w:fill="auto"/>
          </w:tcPr>
          <w:p w14:paraId="29029CA4"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Present key elements of the study design early in the article. Consider including a table listing sources of data for all phases of the study. For each data source contributing to the analysis, describe the following: </w:t>
            </w:r>
          </w:p>
        </w:tc>
        <w:tc>
          <w:tcPr>
            <w:tcW w:w="1077" w:type="dxa"/>
          </w:tcPr>
          <w:p w14:paraId="0E181C75" w14:textId="777A90CE" w:rsidR="00D8098C" w:rsidRPr="00F37064" w:rsidRDefault="00F37064"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5</w:t>
            </w:r>
          </w:p>
        </w:tc>
        <w:tc>
          <w:tcPr>
            <w:tcW w:w="4304" w:type="dxa"/>
          </w:tcPr>
          <w:p w14:paraId="23CE0AC6" w14:textId="7E5B45C9" w:rsidR="00D8098C" w:rsidRDefault="00AC016B" w:rsidP="00426603">
            <w:pPr>
              <w:spacing w:beforeLines="40" w:before="96" w:afterLines="40" w:after="96" w:line="24" w:lineRule="atLeast"/>
              <w:rPr>
                <w:rFonts w:eastAsia="Times New Roman"/>
                <w:sz w:val="18"/>
                <w:szCs w:val="18"/>
                <w:lang w:val="en-GB" w:eastAsia="en-GB"/>
              </w:rPr>
            </w:pPr>
            <w:r w:rsidRPr="00AC016B">
              <w:rPr>
                <w:rFonts w:eastAsia="Times New Roman"/>
                <w:sz w:val="18"/>
                <w:szCs w:val="18"/>
                <w:lang w:val="en-GB" w:eastAsia="en-GB"/>
              </w:rPr>
              <w:t>Fig. 1 provides a comprehensive overview of the study. We first selected genetic instruments for GLP-1R and conducted a drug target MR to explore the causal relationship between GLP-1R gene activation and 12 psychiatric disorder outcomes. A positive control analysis was performed to examine the association between the exposures of interest and type 2 diabetes, ensuring the reliability of the genetic instruments. The analysis was then replicated in the FinnGen study, PGC, and UKB to confirm the drug target MR findings and to meta-analyze the results. All studies included in our analysis were approved by the relevant institutional review boards and informed consent was obtained from all participants.</w:t>
            </w:r>
          </w:p>
        </w:tc>
      </w:tr>
      <w:tr w:rsidR="00D8098C" w:rsidRPr="00B853C6" w14:paraId="47D5AE21" w14:textId="3CA8D4AF" w:rsidTr="00600578">
        <w:tc>
          <w:tcPr>
            <w:tcW w:w="587" w:type="dxa"/>
            <w:shd w:val="clear" w:color="auto" w:fill="EEEEEE"/>
          </w:tcPr>
          <w:p w14:paraId="0980B688"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15" w:type="dxa"/>
            <w:shd w:val="clear" w:color="auto" w:fill="EEEEEE"/>
          </w:tcPr>
          <w:p w14:paraId="29E72ACB"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6707" w:type="dxa"/>
            <w:shd w:val="clear" w:color="auto" w:fill="EEEEEE"/>
          </w:tcPr>
          <w:p w14:paraId="246167BE"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shd w:val="clear" w:color="auto" w:fill="FFFFFF"/>
                <w:lang w:val="en-GB" w:eastAsia="en-GB"/>
              </w:rPr>
              <w:t xml:space="preserve">Setting: </w:t>
            </w:r>
            <w:r w:rsidRPr="00A1236D">
              <w:rPr>
                <w:rFonts w:eastAsia="Times New Roman"/>
                <w:sz w:val="18"/>
                <w:szCs w:val="18"/>
                <w:lang w:val="en-GB" w:eastAsia="en-GB"/>
              </w:rPr>
              <w:t xml:space="preserve">Describe the study design and the underlying population, if possible. </w:t>
            </w:r>
            <w:r w:rsidRPr="00A1236D">
              <w:rPr>
                <w:rFonts w:eastAsia="Times New Roman"/>
                <w:sz w:val="18"/>
                <w:szCs w:val="18"/>
                <w:shd w:val="clear" w:color="auto" w:fill="FFFFFF"/>
                <w:lang w:val="en-GB" w:eastAsia="en-GB"/>
              </w:rPr>
              <w:t xml:space="preserve">Describe the setting, locations, and relevant dates, including periods </w:t>
            </w:r>
            <w:r w:rsidRPr="00A1236D">
              <w:rPr>
                <w:rFonts w:eastAsia="Times New Roman"/>
                <w:color w:val="000000"/>
                <w:sz w:val="18"/>
                <w:szCs w:val="18"/>
                <w:shd w:val="clear" w:color="auto" w:fill="FFFFFF"/>
                <w:lang w:val="en-GB" w:eastAsia="en-GB"/>
              </w:rPr>
              <w:t>of recruitment, exposure, follow-up, and data collection, when available.</w:t>
            </w:r>
          </w:p>
        </w:tc>
        <w:tc>
          <w:tcPr>
            <w:tcW w:w="1077" w:type="dxa"/>
            <w:shd w:val="clear" w:color="auto" w:fill="EEEEEE"/>
          </w:tcPr>
          <w:p w14:paraId="048ED5CF" w14:textId="09259388" w:rsidR="00D8098C" w:rsidRPr="00F37064" w:rsidRDefault="00F37064" w:rsidP="00426603">
            <w:pPr>
              <w:spacing w:beforeLines="40" w:before="96" w:afterLines="40" w:after="96" w:line="24" w:lineRule="atLeast"/>
              <w:rPr>
                <w:rFonts w:eastAsiaTheme="minorEastAsia"/>
                <w:sz w:val="18"/>
                <w:szCs w:val="18"/>
                <w:shd w:val="clear" w:color="auto" w:fill="FFFFFF"/>
                <w:lang w:val="en-GB" w:eastAsia="zh-CN"/>
              </w:rPr>
            </w:pPr>
            <w:r>
              <w:rPr>
                <w:rFonts w:eastAsiaTheme="minorEastAsia" w:hint="eastAsia"/>
                <w:sz w:val="18"/>
                <w:szCs w:val="18"/>
                <w:shd w:val="clear" w:color="auto" w:fill="FFFFFF"/>
                <w:lang w:val="en-GB" w:eastAsia="zh-CN"/>
              </w:rPr>
              <w:t>5</w:t>
            </w:r>
          </w:p>
        </w:tc>
        <w:tc>
          <w:tcPr>
            <w:tcW w:w="4304" w:type="dxa"/>
            <w:shd w:val="clear" w:color="auto" w:fill="EEEEEE"/>
          </w:tcPr>
          <w:p w14:paraId="33F4171D" w14:textId="514381EC" w:rsidR="00D8098C" w:rsidRDefault="00AC016B" w:rsidP="00426603">
            <w:pPr>
              <w:spacing w:beforeLines="40" w:before="96" w:afterLines="40" w:after="96" w:line="24" w:lineRule="atLeast"/>
              <w:rPr>
                <w:rFonts w:eastAsia="Times New Roman"/>
                <w:sz w:val="18"/>
                <w:szCs w:val="18"/>
                <w:shd w:val="clear" w:color="auto" w:fill="FFFFFF"/>
                <w:lang w:val="en-GB" w:eastAsia="en-GB"/>
              </w:rPr>
            </w:pPr>
            <w:r w:rsidRPr="00AC016B">
              <w:rPr>
                <w:rFonts w:eastAsia="Times New Roman"/>
                <w:sz w:val="18"/>
                <w:szCs w:val="18"/>
                <w:shd w:val="clear" w:color="auto" w:fill="FFFFFF"/>
                <w:lang w:val="en-GB" w:eastAsia="en-GB"/>
              </w:rPr>
              <w:t>We first selected genetic instruments for GLP-1R and conducted a drug target MR to explore the causal relationship between GLP-1R gene activation and 12 psychiatric disorder outcomes.</w:t>
            </w:r>
          </w:p>
        </w:tc>
      </w:tr>
      <w:tr w:rsidR="00D8098C" w:rsidRPr="00B853C6" w14:paraId="376A6F82" w14:textId="43693FDC" w:rsidTr="00600578">
        <w:tc>
          <w:tcPr>
            <w:tcW w:w="587" w:type="dxa"/>
            <w:shd w:val="clear" w:color="auto" w:fill="auto"/>
          </w:tcPr>
          <w:p w14:paraId="6B85F41D"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15" w:type="dxa"/>
            <w:shd w:val="clear" w:color="auto" w:fill="auto"/>
          </w:tcPr>
          <w:p w14:paraId="0CF2EB5C"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6707" w:type="dxa"/>
            <w:shd w:val="clear" w:color="auto" w:fill="auto"/>
          </w:tcPr>
          <w:p w14:paraId="5E3BCE69" w14:textId="77777777" w:rsidR="00D8098C" w:rsidRPr="00A1236D" w:rsidRDefault="00D8098C" w:rsidP="00426603">
            <w:pPr>
              <w:spacing w:beforeLines="40" w:before="96" w:afterLines="40" w:after="96" w:line="24" w:lineRule="atLeast"/>
              <w:textAlignment w:val="baseline"/>
              <w:rPr>
                <w:rFonts w:eastAsia="Cambria"/>
                <w:sz w:val="18"/>
                <w:szCs w:val="18"/>
                <w:lang w:val="en-GB" w:eastAsia="en-US"/>
              </w:rPr>
            </w:pPr>
            <w:r w:rsidRPr="00A1236D">
              <w:rPr>
                <w:rFonts w:eastAsia="Times New Roman"/>
                <w:sz w:val="18"/>
                <w:szCs w:val="18"/>
                <w:shd w:val="clear" w:color="auto" w:fill="FFFFFF"/>
                <w:lang w:val="en-GB" w:eastAsia="en-GB"/>
              </w:rPr>
              <w:t xml:space="preserve">Participants: Give the eligibility criteria, and the sources and methods of selection of participants. </w:t>
            </w:r>
            <w:r w:rsidRPr="00A1236D">
              <w:rPr>
                <w:rFonts w:eastAsia="Times New Roman"/>
                <w:color w:val="000000"/>
                <w:sz w:val="18"/>
                <w:szCs w:val="18"/>
              </w:rPr>
              <w:t>Report the sample size, and whether any power or sample size calculations were carried out prior to the main analysis</w:t>
            </w:r>
            <w:r w:rsidRPr="00A1236D">
              <w:rPr>
                <w:rFonts w:eastAsia="Times New Roman"/>
                <w:sz w:val="18"/>
                <w:szCs w:val="18"/>
                <w:lang w:val="en-GB" w:eastAsia="en-GB"/>
              </w:rPr>
              <w:t> </w:t>
            </w:r>
          </w:p>
        </w:tc>
        <w:tc>
          <w:tcPr>
            <w:tcW w:w="1077" w:type="dxa"/>
          </w:tcPr>
          <w:p w14:paraId="29ACC32C" w14:textId="5BDC43BD" w:rsidR="00D8098C" w:rsidRPr="00F37064" w:rsidRDefault="00F37064" w:rsidP="00426603">
            <w:pPr>
              <w:spacing w:beforeLines="40" w:before="96" w:afterLines="40" w:after="96" w:line="24" w:lineRule="atLeast"/>
              <w:textAlignment w:val="baseline"/>
              <w:rPr>
                <w:rFonts w:eastAsiaTheme="minorEastAsia"/>
                <w:sz w:val="18"/>
                <w:szCs w:val="18"/>
                <w:shd w:val="clear" w:color="auto" w:fill="FFFFFF"/>
                <w:lang w:val="en-GB" w:eastAsia="zh-CN"/>
              </w:rPr>
            </w:pPr>
            <w:r>
              <w:rPr>
                <w:rFonts w:eastAsiaTheme="minorEastAsia" w:hint="eastAsia"/>
                <w:sz w:val="18"/>
                <w:szCs w:val="18"/>
                <w:shd w:val="clear" w:color="auto" w:fill="FFFFFF"/>
                <w:lang w:val="en-GB" w:eastAsia="zh-CN"/>
              </w:rPr>
              <w:t>5</w:t>
            </w:r>
          </w:p>
        </w:tc>
        <w:tc>
          <w:tcPr>
            <w:tcW w:w="4304" w:type="dxa"/>
          </w:tcPr>
          <w:p w14:paraId="37C3B4C3" w14:textId="15DA71C7" w:rsidR="00D8098C" w:rsidRDefault="00AC016B" w:rsidP="00426603">
            <w:pPr>
              <w:spacing w:beforeLines="40" w:before="96" w:afterLines="40" w:after="96" w:line="24" w:lineRule="atLeast"/>
              <w:textAlignment w:val="baseline"/>
              <w:rPr>
                <w:rFonts w:eastAsia="Times New Roman"/>
                <w:sz w:val="18"/>
                <w:szCs w:val="18"/>
                <w:shd w:val="clear" w:color="auto" w:fill="FFFFFF"/>
                <w:lang w:val="en-GB" w:eastAsia="en-GB"/>
              </w:rPr>
            </w:pPr>
            <w:r w:rsidRPr="00AC016B">
              <w:rPr>
                <w:rFonts w:eastAsia="Times New Roman"/>
                <w:sz w:val="18"/>
                <w:szCs w:val="18"/>
                <w:shd w:val="clear" w:color="auto" w:fill="FFFFFF"/>
                <w:lang w:val="en-GB" w:eastAsia="en-GB"/>
              </w:rPr>
              <w:t>A positive control analysis was performed to examine the association between the exposures of interest and type 2 diabetes, ensuring the reliability of the genetic instruments.</w:t>
            </w:r>
          </w:p>
        </w:tc>
      </w:tr>
      <w:tr w:rsidR="00D8098C" w:rsidRPr="00B853C6" w14:paraId="04B065C7" w14:textId="72F11B68" w:rsidTr="00600578">
        <w:tc>
          <w:tcPr>
            <w:tcW w:w="587" w:type="dxa"/>
            <w:shd w:val="clear" w:color="auto" w:fill="EEEEEE"/>
          </w:tcPr>
          <w:p w14:paraId="09448E25"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15" w:type="dxa"/>
            <w:shd w:val="clear" w:color="auto" w:fill="EEEEEE"/>
          </w:tcPr>
          <w:p w14:paraId="260DD299"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c)</w:t>
            </w:r>
          </w:p>
        </w:tc>
        <w:tc>
          <w:tcPr>
            <w:tcW w:w="6707" w:type="dxa"/>
            <w:shd w:val="clear" w:color="auto" w:fill="EEEEEE"/>
          </w:tcPr>
          <w:p w14:paraId="7B54F10C"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measurement, quality control and selection of genetic variants</w:t>
            </w:r>
          </w:p>
        </w:tc>
        <w:tc>
          <w:tcPr>
            <w:tcW w:w="1077" w:type="dxa"/>
            <w:shd w:val="clear" w:color="auto" w:fill="EEEEEE"/>
          </w:tcPr>
          <w:p w14:paraId="2CDB28F5" w14:textId="03F170CE" w:rsidR="00D8098C" w:rsidRPr="00F37064" w:rsidRDefault="00AC016B"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5-6</w:t>
            </w:r>
          </w:p>
        </w:tc>
        <w:tc>
          <w:tcPr>
            <w:tcW w:w="4304" w:type="dxa"/>
            <w:shd w:val="clear" w:color="auto" w:fill="EEEEEE"/>
          </w:tcPr>
          <w:p w14:paraId="26B556E6" w14:textId="1BCBEB4A" w:rsidR="00D8098C" w:rsidRDefault="00AC016B" w:rsidP="00426603">
            <w:pPr>
              <w:spacing w:beforeLines="40" w:before="96" w:afterLines="40" w:after="96" w:line="24" w:lineRule="atLeast"/>
              <w:rPr>
                <w:rFonts w:eastAsia="Times New Roman"/>
                <w:sz w:val="18"/>
                <w:szCs w:val="18"/>
                <w:lang w:val="en-GB" w:eastAsia="en-GB"/>
              </w:rPr>
            </w:pPr>
            <w:r w:rsidRPr="00AC016B">
              <w:rPr>
                <w:rFonts w:eastAsia="Times New Roman"/>
                <w:sz w:val="18"/>
                <w:szCs w:val="18"/>
                <w:lang w:val="en-GB" w:eastAsia="en-GB"/>
              </w:rPr>
              <w:t xml:space="preserve">In this study, we included GLP-1RAs, approved by the FDA for blood glucose and weight regulation, as an exposure. As shown in Fig. 1, cis-eQTLs for the target gene (GLP-1R) served as proxies for exposure to GLP-1RAs. We obtained summary-level data for these cis-eQTLs, which included 235 single-nucleotide polymorphisms (SNPs), from the eQTLGen Consortium (https://www.eqtlgen.org/). Details are provided in Supplementary Table S1. </w:t>
            </w:r>
            <w:r w:rsidRPr="00AC016B">
              <w:rPr>
                <w:rFonts w:eastAsia="Times New Roman"/>
                <w:sz w:val="18"/>
                <w:szCs w:val="18"/>
                <w:lang w:val="en-GB" w:eastAsia="en-GB"/>
              </w:rPr>
              <w:lastRenderedPageBreak/>
              <w:t>Common cis-eQTL SNPs (minor allele frequency [MAF] &gt;1%) significantly (p&lt;5.0×10−8) associated with GLP-1R expression in blood were selected as instrumental variables. To minimize the influence of linkage disequilibrium (LD), we included SNPs with low weak LD (r2&lt;0.001). Besides, SNPs within the human major histocompatibility complex (MHC) region (chr6: from 26 Mb to 34 Mb) were removed, as the LD patterns of SNPs in the MHC region are complex. Subsequently, LD analysis was conducted within a 10,000 kb window to remove SNPs with an r2 &gt; 0.001. Strength of each SNP as an instrument was assessed using the F-statistic, calculated as mean β2/σ2, where β represents the effect size of SNP on the exposure (i.e., the allelic difference in exposure) and σ is the standard error of β. A high F-statistic (&gt;10) indicates minimal risk of weak instrument bias, which is crucial in MR studies (12-14). Thus, only SNPs with F-statistics exceeding 10 were retained for further analysis. Additionally, the proportion of exposure variance explained by instrumental variables was evaluated using R2, computed as R2 = 2 EAF (1 – EAF) β2, where EAF denotes the effect allele frequency of the exposure. We also assessed the association between these genetic instruments and type 2 diabetes as a proxy for GLP-1R agonist exposure. Finally, to address potential pleiotropic effects, we excluded SNPs associated with other potential confounders identified through PhenoScanner (http://www.phenoscanner.medschl.cam.ac.uk/).</w:t>
            </w:r>
          </w:p>
        </w:tc>
      </w:tr>
      <w:tr w:rsidR="00D8098C" w:rsidRPr="00B853C6" w14:paraId="215DDE8E" w14:textId="5C8C984B" w:rsidTr="00600578">
        <w:tc>
          <w:tcPr>
            <w:tcW w:w="587" w:type="dxa"/>
            <w:shd w:val="clear" w:color="auto" w:fill="auto"/>
          </w:tcPr>
          <w:p w14:paraId="7E3D460D"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15" w:type="dxa"/>
            <w:shd w:val="clear" w:color="auto" w:fill="auto"/>
          </w:tcPr>
          <w:p w14:paraId="0FB55ADC"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d)</w:t>
            </w:r>
          </w:p>
        </w:tc>
        <w:tc>
          <w:tcPr>
            <w:tcW w:w="6707" w:type="dxa"/>
            <w:shd w:val="clear" w:color="auto" w:fill="auto"/>
          </w:tcPr>
          <w:p w14:paraId="3B6B6065" w14:textId="77777777" w:rsidR="00D8098C" w:rsidRPr="00A1236D" w:rsidRDefault="00D8098C" w:rsidP="00426603">
            <w:pPr>
              <w:spacing w:beforeLines="40" w:before="96" w:afterLines="40" w:after="96" w:line="24" w:lineRule="atLeast"/>
              <w:textAlignment w:val="baseline"/>
              <w:rPr>
                <w:rFonts w:eastAsia="Cambria"/>
                <w:sz w:val="18"/>
                <w:szCs w:val="18"/>
                <w:lang w:val="en-GB" w:eastAsia="en-US"/>
              </w:rPr>
            </w:pPr>
            <w:r w:rsidRPr="00A1236D">
              <w:rPr>
                <w:rFonts w:eastAsia="Times New Roman"/>
                <w:sz w:val="18"/>
                <w:szCs w:val="18"/>
                <w:shd w:val="clear" w:color="auto" w:fill="FFFFFF"/>
                <w:lang w:val="en-GB" w:eastAsia="en-GB"/>
              </w:rPr>
              <w:t>For each exposure, outcome, and other relevant variables, describe methods of assessment and diagnostic criteria for diseases</w:t>
            </w:r>
          </w:p>
        </w:tc>
        <w:tc>
          <w:tcPr>
            <w:tcW w:w="1077" w:type="dxa"/>
          </w:tcPr>
          <w:p w14:paraId="37FB656C" w14:textId="724494C6" w:rsidR="00D8098C" w:rsidRPr="00F37064" w:rsidRDefault="00F37064" w:rsidP="00426603">
            <w:pPr>
              <w:spacing w:beforeLines="40" w:before="96" w:afterLines="40" w:after="96" w:line="24" w:lineRule="atLeast"/>
              <w:textAlignment w:val="baseline"/>
              <w:rPr>
                <w:rFonts w:eastAsiaTheme="minorEastAsia"/>
                <w:sz w:val="18"/>
                <w:szCs w:val="18"/>
                <w:shd w:val="clear" w:color="auto" w:fill="FFFFFF"/>
                <w:lang w:val="en-GB" w:eastAsia="zh-CN"/>
              </w:rPr>
            </w:pPr>
            <w:r>
              <w:rPr>
                <w:rFonts w:eastAsiaTheme="minorEastAsia" w:hint="eastAsia"/>
                <w:sz w:val="18"/>
                <w:szCs w:val="18"/>
                <w:shd w:val="clear" w:color="auto" w:fill="FFFFFF"/>
                <w:lang w:val="en-GB" w:eastAsia="zh-CN"/>
              </w:rPr>
              <w:t>6</w:t>
            </w:r>
            <w:r w:rsidR="0019757C">
              <w:rPr>
                <w:rFonts w:eastAsiaTheme="minorEastAsia" w:hint="eastAsia"/>
                <w:sz w:val="18"/>
                <w:szCs w:val="18"/>
                <w:shd w:val="clear" w:color="auto" w:fill="FFFFFF"/>
                <w:lang w:val="en-GB" w:eastAsia="zh-CN"/>
              </w:rPr>
              <w:t>-7</w:t>
            </w:r>
          </w:p>
        </w:tc>
        <w:tc>
          <w:tcPr>
            <w:tcW w:w="4304" w:type="dxa"/>
          </w:tcPr>
          <w:p w14:paraId="18BB4B57" w14:textId="53FB7626" w:rsidR="00D8098C" w:rsidRDefault="0019757C" w:rsidP="00426603">
            <w:pPr>
              <w:spacing w:beforeLines="40" w:before="96" w:afterLines="40" w:after="96" w:line="24" w:lineRule="atLeast"/>
              <w:textAlignment w:val="baseline"/>
              <w:rPr>
                <w:rFonts w:eastAsia="Times New Roman"/>
                <w:sz w:val="18"/>
                <w:szCs w:val="18"/>
                <w:shd w:val="clear" w:color="auto" w:fill="FFFFFF"/>
                <w:lang w:val="en-GB" w:eastAsia="en-GB"/>
              </w:rPr>
            </w:pPr>
            <w:r w:rsidRPr="0019757C">
              <w:rPr>
                <w:rFonts w:eastAsia="Times New Roman"/>
                <w:sz w:val="18"/>
                <w:szCs w:val="18"/>
                <w:shd w:val="clear" w:color="auto" w:fill="FFFFFF"/>
                <w:lang w:val="en-GB" w:eastAsia="en-GB"/>
              </w:rPr>
              <w:t>To minimize potential bias due to population diversity, we restricted our drug target MR analysis to participants of European ancestry. Type 2 diabetes data were extracted based on 4 cohorts, which in total included 107,133 cases and 656,672 controls (Supplementary Table S2). We gathered GWAS summary-level data for 12 common types of psychiatric disorder, including schizophrenia, anxiety disorders, bipolar disorder, bulimia nervosa, PTSD, autism, OCD, anorexia nervosa, broad depression, MDD, and suicide or other intentional self-harm, from large-scale consortia</w:t>
            </w:r>
          </w:p>
        </w:tc>
      </w:tr>
      <w:tr w:rsidR="00D8098C" w:rsidRPr="00B853C6" w14:paraId="69A6C8B1" w14:textId="39D94CE4" w:rsidTr="00600578">
        <w:tc>
          <w:tcPr>
            <w:tcW w:w="587" w:type="dxa"/>
            <w:shd w:val="clear" w:color="auto" w:fill="EEEEEE"/>
          </w:tcPr>
          <w:p w14:paraId="292FBB97"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15" w:type="dxa"/>
            <w:shd w:val="clear" w:color="auto" w:fill="EEEEEE"/>
          </w:tcPr>
          <w:p w14:paraId="273C46B4"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e)</w:t>
            </w:r>
          </w:p>
        </w:tc>
        <w:tc>
          <w:tcPr>
            <w:tcW w:w="6707" w:type="dxa"/>
            <w:shd w:val="clear" w:color="auto" w:fill="EEEEEE"/>
          </w:tcPr>
          <w:p w14:paraId="4E713FBB" w14:textId="77777777" w:rsidR="00D8098C" w:rsidRPr="00A1236D" w:rsidRDefault="00D8098C" w:rsidP="00426603">
            <w:pPr>
              <w:spacing w:beforeLines="40" w:before="96" w:afterLines="40" w:after="96" w:line="24" w:lineRule="atLeast"/>
              <w:textAlignment w:val="baseline"/>
              <w:rPr>
                <w:rFonts w:eastAsia="Cambria"/>
                <w:sz w:val="18"/>
                <w:szCs w:val="18"/>
                <w:lang w:val="en-GB" w:eastAsia="en-US"/>
              </w:rPr>
            </w:pPr>
            <w:r w:rsidRPr="00A1236D">
              <w:rPr>
                <w:rFonts w:eastAsia="Times New Roman"/>
                <w:sz w:val="18"/>
                <w:szCs w:val="18"/>
                <w:shd w:val="clear" w:color="auto" w:fill="FFFFFF"/>
                <w:lang w:val="en-GB" w:eastAsia="en-GB"/>
              </w:rPr>
              <w:t>Provide details of ethics committee approval and participant informed consent, if relevant</w:t>
            </w:r>
          </w:p>
        </w:tc>
        <w:tc>
          <w:tcPr>
            <w:tcW w:w="1077" w:type="dxa"/>
            <w:shd w:val="clear" w:color="auto" w:fill="EEEEEE"/>
          </w:tcPr>
          <w:p w14:paraId="2754FA07" w14:textId="53085CEC" w:rsidR="00D8098C" w:rsidRPr="00F37064" w:rsidRDefault="0019757C" w:rsidP="00426603">
            <w:pPr>
              <w:spacing w:beforeLines="40" w:before="96" w:afterLines="40" w:after="96" w:line="24" w:lineRule="atLeast"/>
              <w:textAlignment w:val="baseline"/>
              <w:rPr>
                <w:rFonts w:eastAsiaTheme="minorEastAsia"/>
                <w:sz w:val="18"/>
                <w:szCs w:val="18"/>
                <w:shd w:val="clear" w:color="auto" w:fill="FFFFFF"/>
                <w:lang w:val="en-GB" w:eastAsia="zh-CN"/>
              </w:rPr>
            </w:pPr>
            <w:r>
              <w:rPr>
                <w:rFonts w:eastAsiaTheme="minorEastAsia" w:hint="eastAsia"/>
                <w:sz w:val="18"/>
                <w:szCs w:val="18"/>
                <w:shd w:val="clear" w:color="auto" w:fill="FFFFFF"/>
                <w:lang w:val="en-GB" w:eastAsia="zh-CN"/>
              </w:rPr>
              <w:t>5</w:t>
            </w:r>
          </w:p>
        </w:tc>
        <w:tc>
          <w:tcPr>
            <w:tcW w:w="4304" w:type="dxa"/>
            <w:shd w:val="clear" w:color="auto" w:fill="EEEEEE"/>
          </w:tcPr>
          <w:p w14:paraId="6067A95B" w14:textId="6BCB483E" w:rsidR="00D8098C" w:rsidRDefault="0019757C" w:rsidP="00426603">
            <w:pPr>
              <w:spacing w:beforeLines="40" w:before="96" w:afterLines="40" w:after="96" w:line="24" w:lineRule="atLeast"/>
              <w:textAlignment w:val="baseline"/>
              <w:rPr>
                <w:rFonts w:eastAsia="Times New Roman"/>
                <w:sz w:val="18"/>
                <w:szCs w:val="18"/>
                <w:shd w:val="clear" w:color="auto" w:fill="FFFFFF"/>
                <w:lang w:val="en-GB" w:eastAsia="en-GB"/>
              </w:rPr>
            </w:pPr>
            <w:r w:rsidRPr="0019757C">
              <w:rPr>
                <w:rFonts w:eastAsia="Times New Roman"/>
                <w:sz w:val="18"/>
                <w:szCs w:val="18"/>
                <w:shd w:val="clear" w:color="auto" w:fill="FFFFFF"/>
                <w:lang w:val="en-GB" w:eastAsia="en-GB"/>
              </w:rPr>
              <w:t xml:space="preserve">All studies included in our analysis were approved by the relevant institutional review boards and </w:t>
            </w:r>
            <w:r w:rsidRPr="0019757C">
              <w:rPr>
                <w:rFonts w:eastAsia="Times New Roman"/>
                <w:sz w:val="18"/>
                <w:szCs w:val="18"/>
                <w:shd w:val="clear" w:color="auto" w:fill="FFFFFF"/>
                <w:lang w:val="en-GB" w:eastAsia="en-GB"/>
              </w:rPr>
              <w:lastRenderedPageBreak/>
              <w:t>informed consent was obtained from all participants.</w:t>
            </w:r>
          </w:p>
        </w:tc>
      </w:tr>
      <w:tr w:rsidR="00D8098C" w:rsidRPr="00B853C6" w14:paraId="23EA53EC" w14:textId="1D3E4E77" w:rsidTr="00600578">
        <w:tc>
          <w:tcPr>
            <w:tcW w:w="587" w:type="dxa"/>
            <w:shd w:val="clear" w:color="auto" w:fill="auto"/>
          </w:tcPr>
          <w:p w14:paraId="3E6E0D63"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lastRenderedPageBreak/>
              <w:t>5</w:t>
            </w:r>
          </w:p>
        </w:tc>
        <w:tc>
          <w:tcPr>
            <w:tcW w:w="1815" w:type="dxa"/>
            <w:shd w:val="clear" w:color="auto" w:fill="auto"/>
          </w:tcPr>
          <w:p w14:paraId="1F0455B3"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Assumptions</w:t>
            </w:r>
          </w:p>
          <w:p w14:paraId="0458797D" w14:textId="77777777" w:rsidR="00D8098C" w:rsidRPr="00F0337F" w:rsidRDefault="00D8098C" w:rsidP="00426603">
            <w:pPr>
              <w:spacing w:beforeLines="40" w:before="96" w:afterLines="40" w:after="96" w:line="24" w:lineRule="atLeast"/>
              <w:jc w:val="center"/>
              <w:rPr>
                <w:rFonts w:eastAsia="Cambria"/>
                <w:sz w:val="18"/>
                <w:szCs w:val="18"/>
                <w:lang w:val="en-GB" w:eastAsia="en-US"/>
              </w:rPr>
            </w:pPr>
          </w:p>
        </w:tc>
        <w:tc>
          <w:tcPr>
            <w:tcW w:w="6707" w:type="dxa"/>
            <w:shd w:val="clear" w:color="auto" w:fill="auto"/>
          </w:tcPr>
          <w:p w14:paraId="5139727F"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Explicitly state the three core IV assumptions for the main analysis (relevance, independence and exclusion restriction) as well assumptions for any additional or sensitivity analysis</w:t>
            </w:r>
          </w:p>
        </w:tc>
        <w:tc>
          <w:tcPr>
            <w:tcW w:w="1077" w:type="dxa"/>
          </w:tcPr>
          <w:p w14:paraId="6A2AE76D" w14:textId="25CF1CC5" w:rsidR="00D8098C" w:rsidRPr="00F37064" w:rsidRDefault="00F37064"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5</w:t>
            </w:r>
            <w:r w:rsidR="0019757C">
              <w:rPr>
                <w:rFonts w:eastAsiaTheme="minorEastAsia" w:hint="eastAsia"/>
                <w:sz w:val="18"/>
                <w:szCs w:val="18"/>
                <w:lang w:val="en-GB" w:eastAsia="zh-CN"/>
              </w:rPr>
              <w:t>-6</w:t>
            </w:r>
          </w:p>
        </w:tc>
        <w:tc>
          <w:tcPr>
            <w:tcW w:w="4304" w:type="dxa"/>
          </w:tcPr>
          <w:p w14:paraId="7A54DE1B" w14:textId="43E1E2E3" w:rsidR="00D8098C" w:rsidRDefault="0019757C" w:rsidP="00426603">
            <w:pPr>
              <w:spacing w:beforeLines="40" w:before="96" w:afterLines="40" w:after="96" w:line="24" w:lineRule="atLeast"/>
              <w:rPr>
                <w:rFonts w:eastAsia="Times New Roman"/>
                <w:sz w:val="18"/>
                <w:szCs w:val="18"/>
                <w:lang w:val="en-GB" w:eastAsia="en-GB"/>
              </w:rPr>
            </w:pPr>
            <w:r w:rsidRPr="0019757C">
              <w:rPr>
                <w:rFonts w:eastAsia="Times New Roman"/>
                <w:sz w:val="18"/>
                <w:szCs w:val="18"/>
                <w:lang w:val="en-GB" w:eastAsia="en-GB"/>
              </w:rPr>
              <w:t>Common cis-eQTL SNPs (minor allele frequency [MAF] &gt;1%) significantly (p&lt;5.0×10−8) associated with GLP-1R expression in blood were selected as instrumental variables. To minimize the influence of linkage disequilibrium (LD), we included SNPs with low weak LD (r2&lt;0.001). Besides, SNPs within the human major histocompatibility complex (MHC) region (chr6: from 26 Mb to 34 Mb) were removed, as the LD patterns of SNPs in the MHC region are complex. Subsequently, LD analysis was conducted within a 10,000 kb window to remove SNPs with an r2 &gt; 0.001. Strength of each SNP as an instrument was assessed using the F-statistic, calculated as mean β2/σ2, where β represents the effect size of SNP on the exposure (i.e., the allelic difference in exposure) and σ is the standard error of β. A high F-statistic (&gt;10) indicates minimal risk of weak instrument bias, which is crucial in MR studies (12-14). Thus, only SNPs with F-statistics exceeding 10 were retained for further analysis. Additionally, the proportion of exposure variance explained by instrumental variables was evaluated using R2, computed as R2 = 2 EAF (1 – EAF) β2, where EAF denotes the effect allele frequency of the exposure. We also assessed the association between these genetic instruments and type 2 diabetes as a proxy for GLP-1R agonist exposure. Finally, to address potential pleiotropic effects, we excluded SNPs associated with other potential confounders identified through PhenoScanner (http://www.phenoscanner.medschl.cam.ac.uk/).</w:t>
            </w:r>
          </w:p>
        </w:tc>
      </w:tr>
      <w:tr w:rsidR="00D8098C" w:rsidRPr="00B853C6" w14:paraId="6209F8C8" w14:textId="78A53B40" w:rsidTr="00600578">
        <w:tc>
          <w:tcPr>
            <w:tcW w:w="587" w:type="dxa"/>
            <w:shd w:val="clear" w:color="auto" w:fill="EEEEEE"/>
          </w:tcPr>
          <w:p w14:paraId="6FA239C8"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6</w:t>
            </w:r>
          </w:p>
        </w:tc>
        <w:tc>
          <w:tcPr>
            <w:tcW w:w="1815" w:type="dxa"/>
            <w:shd w:val="clear" w:color="auto" w:fill="EEEEEE"/>
          </w:tcPr>
          <w:p w14:paraId="3D8F9E93"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Statistical methods: main analysis</w:t>
            </w:r>
          </w:p>
        </w:tc>
        <w:tc>
          <w:tcPr>
            <w:tcW w:w="6707" w:type="dxa"/>
            <w:shd w:val="clear" w:color="auto" w:fill="EEEEEE"/>
          </w:tcPr>
          <w:p w14:paraId="49C33D0D"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statistical methods and statistics used</w:t>
            </w:r>
          </w:p>
        </w:tc>
        <w:tc>
          <w:tcPr>
            <w:tcW w:w="1077" w:type="dxa"/>
            <w:shd w:val="clear" w:color="auto" w:fill="EEEEEE"/>
          </w:tcPr>
          <w:p w14:paraId="0D1191BA" w14:textId="2AB208D0" w:rsidR="00D8098C" w:rsidRPr="00E77392" w:rsidRDefault="0019757C"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7-8</w:t>
            </w:r>
          </w:p>
        </w:tc>
        <w:tc>
          <w:tcPr>
            <w:tcW w:w="4304" w:type="dxa"/>
            <w:shd w:val="clear" w:color="auto" w:fill="EEEEEE"/>
          </w:tcPr>
          <w:p w14:paraId="07649AD6" w14:textId="77777777" w:rsidR="0019757C" w:rsidRPr="0019757C" w:rsidRDefault="0019757C" w:rsidP="0019757C">
            <w:pPr>
              <w:spacing w:beforeLines="40" w:before="96" w:afterLines="40" w:after="96" w:line="24" w:lineRule="atLeast"/>
              <w:rPr>
                <w:rFonts w:eastAsia="Times New Roman"/>
                <w:sz w:val="18"/>
                <w:szCs w:val="18"/>
                <w:lang w:val="en-GB" w:eastAsia="en-GB"/>
              </w:rPr>
            </w:pPr>
            <w:r w:rsidRPr="0019757C">
              <w:rPr>
                <w:rFonts w:eastAsia="Times New Roman"/>
                <w:sz w:val="18"/>
                <w:szCs w:val="18"/>
                <w:lang w:val="en-GB" w:eastAsia="en-GB"/>
              </w:rPr>
              <w:t>We performed MR analysis using the "TwoSampleMR" R package (version 0.5.8). The associations between cis-eQTLs and outcomes were calculated as odds ratios (ORs) with corresponding confidence intervals (CIs) using the random-effects inverse-variance weighted (IVW) method. A positive control analysis was conducted to validate the genetic instruments for GLP-1R by verifying the association of genetic instruments from eQTLs with type 2 diabetes, given that GLP-1R agonists are FDA-approved for blood glucose and weight control.</w:t>
            </w:r>
          </w:p>
          <w:p w14:paraId="3994C66E" w14:textId="77777777" w:rsidR="0019757C" w:rsidRPr="0019757C" w:rsidRDefault="0019757C" w:rsidP="0019757C">
            <w:pPr>
              <w:spacing w:beforeLines="40" w:before="96" w:afterLines="40" w:after="96" w:line="24" w:lineRule="atLeast"/>
              <w:rPr>
                <w:rFonts w:eastAsia="Times New Roman"/>
                <w:sz w:val="18"/>
                <w:szCs w:val="18"/>
                <w:lang w:val="en-GB" w:eastAsia="en-GB"/>
              </w:rPr>
            </w:pPr>
            <w:r w:rsidRPr="0019757C">
              <w:rPr>
                <w:rFonts w:eastAsia="Times New Roman"/>
                <w:sz w:val="18"/>
                <w:szCs w:val="18"/>
                <w:lang w:val="en-GB" w:eastAsia="en-GB"/>
              </w:rPr>
              <w:lastRenderedPageBreak/>
              <w:t>Additionally, MR-PRESSO was employed to detect outlier genetic variants using “MR-PRESSO” R package (version 1.0), and the MR-Egger intercept test was used to evaluate horizontal pleiotropy. Cochrane’s Q test was performed to assess heterogeneity in IVW estimators, with a P value &lt; 0.05 indicating significant heterogeneity.</w:t>
            </w:r>
          </w:p>
          <w:p w14:paraId="75DF0C4B" w14:textId="1B8D36C4" w:rsidR="00D8098C" w:rsidRDefault="0019757C" w:rsidP="0019757C">
            <w:pPr>
              <w:spacing w:beforeLines="40" w:before="96" w:afterLines="40" w:after="96" w:line="24" w:lineRule="atLeast"/>
              <w:rPr>
                <w:rFonts w:eastAsia="Times New Roman"/>
                <w:sz w:val="18"/>
                <w:szCs w:val="18"/>
                <w:lang w:val="en-GB" w:eastAsia="en-GB"/>
              </w:rPr>
            </w:pPr>
            <w:r w:rsidRPr="0019757C">
              <w:rPr>
                <w:rFonts w:eastAsia="Times New Roman"/>
                <w:sz w:val="18"/>
                <w:szCs w:val="18"/>
                <w:lang w:val="en-GB" w:eastAsia="en-GB"/>
              </w:rPr>
              <w:t>For the meta-analysis, estimated ORs and 95% CIs were used. Heterogeneity across studies was evaluated using the I2 statistic, with I2 &gt; 50% indicating significant heterogeneity. To mitigate the influence of heterogeneity, all analyses were conducted using a random-effects model. A probability value &lt; 0.05 was considered statistically significant. All analyses were performed using R software (version 4.3.0).</w:t>
            </w:r>
          </w:p>
        </w:tc>
      </w:tr>
      <w:tr w:rsidR="00D8098C" w:rsidRPr="00B853C6" w14:paraId="4346E621" w14:textId="11B8B572" w:rsidTr="00600578">
        <w:tc>
          <w:tcPr>
            <w:tcW w:w="587" w:type="dxa"/>
            <w:shd w:val="clear" w:color="auto" w:fill="auto"/>
          </w:tcPr>
          <w:p w14:paraId="339A016D"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15" w:type="dxa"/>
            <w:shd w:val="clear" w:color="auto" w:fill="auto"/>
          </w:tcPr>
          <w:p w14:paraId="3635743C"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6707" w:type="dxa"/>
            <w:shd w:val="clear" w:color="auto" w:fill="auto"/>
          </w:tcPr>
          <w:p w14:paraId="3BB90022"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how quantitative variables were handled in the analyses (i.e., scale, units, model)</w:t>
            </w:r>
          </w:p>
        </w:tc>
        <w:tc>
          <w:tcPr>
            <w:tcW w:w="1077" w:type="dxa"/>
          </w:tcPr>
          <w:p w14:paraId="22720A53" w14:textId="7D003352" w:rsidR="00D8098C" w:rsidRPr="00E77392" w:rsidRDefault="00E77392"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7</w:t>
            </w:r>
          </w:p>
        </w:tc>
        <w:tc>
          <w:tcPr>
            <w:tcW w:w="4304" w:type="dxa"/>
          </w:tcPr>
          <w:p w14:paraId="76159846" w14:textId="74D1DDED" w:rsidR="00D8098C" w:rsidRDefault="0019757C" w:rsidP="00426603">
            <w:pPr>
              <w:spacing w:beforeLines="40" w:before="96" w:afterLines="40" w:after="96" w:line="24" w:lineRule="atLeast"/>
              <w:rPr>
                <w:rFonts w:eastAsia="Times New Roman"/>
                <w:sz w:val="18"/>
                <w:szCs w:val="18"/>
                <w:lang w:val="en-GB" w:eastAsia="en-GB"/>
              </w:rPr>
            </w:pPr>
            <w:r w:rsidRPr="0019757C">
              <w:rPr>
                <w:rFonts w:eastAsia="Times New Roman"/>
                <w:sz w:val="18"/>
                <w:szCs w:val="18"/>
                <w:lang w:val="en-GB" w:eastAsia="en-GB"/>
              </w:rPr>
              <w:t>The associations between cis-eQTLs and outcomes were calculated as odds ratios (ORs) with corresponding confidence intervals (CIs) using the random-effects inverse-variance weighted (IVW) method.</w:t>
            </w:r>
          </w:p>
        </w:tc>
      </w:tr>
      <w:tr w:rsidR="00D8098C" w:rsidRPr="00B853C6" w14:paraId="642A4D4B" w14:textId="4880F3BA" w:rsidTr="00600578">
        <w:tc>
          <w:tcPr>
            <w:tcW w:w="587" w:type="dxa"/>
            <w:shd w:val="clear" w:color="auto" w:fill="EEEEEE"/>
          </w:tcPr>
          <w:p w14:paraId="11F7484C"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15" w:type="dxa"/>
            <w:shd w:val="clear" w:color="auto" w:fill="EEEEEE"/>
          </w:tcPr>
          <w:p w14:paraId="569D49F3"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6707" w:type="dxa"/>
            <w:shd w:val="clear" w:color="auto" w:fill="EEEEEE"/>
          </w:tcPr>
          <w:p w14:paraId="6B2ACDE9"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how genetic variants were handled in the analyses and, if applicable, how their weights were selected</w:t>
            </w:r>
          </w:p>
        </w:tc>
        <w:tc>
          <w:tcPr>
            <w:tcW w:w="1077" w:type="dxa"/>
            <w:shd w:val="clear" w:color="auto" w:fill="EEEEEE"/>
          </w:tcPr>
          <w:p w14:paraId="0DAE64B0" w14:textId="3D73C7D9" w:rsidR="00D8098C" w:rsidRPr="00A1236D" w:rsidRDefault="00E77392" w:rsidP="00426603">
            <w:pPr>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7</w:t>
            </w:r>
          </w:p>
        </w:tc>
        <w:tc>
          <w:tcPr>
            <w:tcW w:w="4304" w:type="dxa"/>
            <w:shd w:val="clear" w:color="auto" w:fill="EEEEEE"/>
          </w:tcPr>
          <w:p w14:paraId="1612F89F" w14:textId="3E311E79" w:rsidR="00D8098C" w:rsidRDefault="0019757C" w:rsidP="00426603">
            <w:pPr>
              <w:spacing w:beforeLines="40" w:before="96" w:afterLines="40" w:after="96" w:line="24" w:lineRule="atLeast"/>
              <w:rPr>
                <w:rFonts w:eastAsia="Times New Roman"/>
                <w:sz w:val="18"/>
                <w:szCs w:val="18"/>
                <w:lang w:val="en-GB" w:eastAsia="en-GB"/>
              </w:rPr>
            </w:pPr>
            <w:r w:rsidRPr="0019757C">
              <w:rPr>
                <w:rFonts w:eastAsia="Times New Roman"/>
                <w:sz w:val="18"/>
                <w:szCs w:val="18"/>
                <w:lang w:val="en-GB" w:eastAsia="en-GB"/>
              </w:rPr>
              <w:t>A positive control analysis was conducted to validate the genetic instruments for GLP-1R by verifying the association of genetic instruments from eQTLs with type 2 diabetes, given that GLP-1R agonists are FDA-approved for blood glucose and weight control.</w:t>
            </w:r>
          </w:p>
        </w:tc>
      </w:tr>
      <w:tr w:rsidR="00D8098C" w:rsidRPr="00B853C6" w14:paraId="70378831" w14:textId="0868B0A4" w:rsidTr="00600578">
        <w:tc>
          <w:tcPr>
            <w:tcW w:w="587" w:type="dxa"/>
            <w:shd w:val="clear" w:color="auto" w:fill="auto"/>
          </w:tcPr>
          <w:p w14:paraId="45E41495"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15" w:type="dxa"/>
            <w:shd w:val="clear" w:color="auto" w:fill="auto"/>
          </w:tcPr>
          <w:p w14:paraId="59F665E7"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c)</w:t>
            </w:r>
          </w:p>
        </w:tc>
        <w:tc>
          <w:tcPr>
            <w:tcW w:w="6707" w:type="dxa"/>
            <w:shd w:val="clear" w:color="auto" w:fill="auto"/>
          </w:tcPr>
          <w:p w14:paraId="5CB03D96"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the MR estimator (e.g. two-stage least squares, Wald ratio) and related statistics. Detail the included covariates and, in case of two-sample MR, whether the same covariate set was used for adjustment in the two samples</w:t>
            </w:r>
          </w:p>
        </w:tc>
        <w:tc>
          <w:tcPr>
            <w:tcW w:w="1077" w:type="dxa"/>
          </w:tcPr>
          <w:p w14:paraId="7B7E7C35" w14:textId="09DB67AC" w:rsidR="00D8098C" w:rsidRPr="00A1236D" w:rsidRDefault="00E77392" w:rsidP="00426603">
            <w:pPr>
              <w:spacing w:beforeLines="40" w:before="96" w:afterLines="40" w:after="96" w:line="24" w:lineRule="atLeast"/>
              <w:rPr>
                <w:rFonts w:eastAsia="Times New Roman"/>
                <w:sz w:val="18"/>
                <w:szCs w:val="18"/>
                <w:lang w:val="en-GB" w:eastAsia="en-GB"/>
              </w:rPr>
            </w:pPr>
            <w:r w:rsidRPr="00E77392">
              <w:rPr>
                <w:rFonts w:eastAsiaTheme="minorEastAsia"/>
                <w:sz w:val="18"/>
                <w:szCs w:val="18"/>
                <w:lang w:val="en-GB" w:eastAsia="zh-CN"/>
              </w:rPr>
              <w:t>7</w:t>
            </w:r>
            <w:r w:rsidR="0019757C">
              <w:rPr>
                <w:rFonts w:eastAsiaTheme="minorEastAsia" w:hint="eastAsia"/>
                <w:sz w:val="18"/>
                <w:szCs w:val="18"/>
                <w:lang w:val="en-GB" w:eastAsia="zh-CN"/>
              </w:rPr>
              <w:t>-8</w:t>
            </w:r>
          </w:p>
        </w:tc>
        <w:tc>
          <w:tcPr>
            <w:tcW w:w="4304" w:type="dxa"/>
          </w:tcPr>
          <w:p w14:paraId="334D44EB" w14:textId="762656EC" w:rsidR="00D8098C" w:rsidRDefault="0019757C" w:rsidP="00426603">
            <w:pPr>
              <w:spacing w:beforeLines="40" w:before="96" w:afterLines="40" w:after="96" w:line="24" w:lineRule="atLeast"/>
              <w:rPr>
                <w:rFonts w:eastAsia="Times New Roman"/>
                <w:sz w:val="18"/>
                <w:szCs w:val="18"/>
                <w:lang w:val="en-GB" w:eastAsia="en-GB"/>
              </w:rPr>
            </w:pPr>
            <w:r w:rsidRPr="0019757C">
              <w:rPr>
                <w:rFonts w:eastAsia="Times New Roman"/>
                <w:sz w:val="18"/>
                <w:szCs w:val="18"/>
                <w:lang w:val="en-GB" w:eastAsia="en-GB"/>
              </w:rPr>
              <w:t>Additionally, MR-PRESSO was employed to detect outlier genetic variants using “MR-PRESSO” R package (version 1.0), and the MR-Egger intercept test was used to evaluate horizontal pleiotropy. Cochrane’s Q test was performed to assess heterogeneity in IVW estimators, with a P value &lt; 0.05 indicating significant heterogeneity.</w:t>
            </w:r>
          </w:p>
        </w:tc>
      </w:tr>
      <w:tr w:rsidR="00D8098C" w:rsidRPr="00B853C6" w14:paraId="0D8F3A7E" w14:textId="14623463" w:rsidTr="00600578">
        <w:tc>
          <w:tcPr>
            <w:tcW w:w="587" w:type="dxa"/>
            <w:shd w:val="clear" w:color="auto" w:fill="EEEEEE"/>
          </w:tcPr>
          <w:p w14:paraId="1D70C4CD"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15" w:type="dxa"/>
            <w:shd w:val="clear" w:color="auto" w:fill="EEEEEE"/>
          </w:tcPr>
          <w:p w14:paraId="0A3AAFD6"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d)</w:t>
            </w:r>
          </w:p>
        </w:tc>
        <w:tc>
          <w:tcPr>
            <w:tcW w:w="6707" w:type="dxa"/>
            <w:shd w:val="clear" w:color="auto" w:fill="EEEEEE"/>
          </w:tcPr>
          <w:p w14:paraId="08786389"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Explain how missing data were addressed</w:t>
            </w:r>
          </w:p>
        </w:tc>
        <w:tc>
          <w:tcPr>
            <w:tcW w:w="1077" w:type="dxa"/>
            <w:shd w:val="clear" w:color="auto" w:fill="EEEEEE"/>
          </w:tcPr>
          <w:p w14:paraId="297C3632" w14:textId="50E63C0A" w:rsidR="00D8098C" w:rsidRPr="0019757C" w:rsidRDefault="0019757C"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7-8</w:t>
            </w:r>
          </w:p>
        </w:tc>
        <w:tc>
          <w:tcPr>
            <w:tcW w:w="4304" w:type="dxa"/>
            <w:shd w:val="clear" w:color="auto" w:fill="EEEEEE"/>
          </w:tcPr>
          <w:p w14:paraId="16808665" w14:textId="152960F6" w:rsidR="00D8098C" w:rsidRDefault="0019757C" w:rsidP="00426603">
            <w:pPr>
              <w:spacing w:beforeLines="40" w:before="96" w:afterLines="40" w:after="96" w:line="24" w:lineRule="atLeast"/>
              <w:rPr>
                <w:rFonts w:eastAsia="Times New Roman"/>
                <w:sz w:val="18"/>
                <w:szCs w:val="18"/>
                <w:lang w:val="en-GB" w:eastAsia="en-GB"/>
              </w:rPr>
            </w:pPr>
            <w:r w:rsidRPr="0019757C">
              <w:rPr>
                <w:rFonts w:eastAsia="Times New Roman"/>
                <w:sz w:val="18"/>
                <w:szCs w:val="18"/>
                <w:lang w:val="en-GB" w:eastAsia="en-GB"/>
              </w:rPr>
              <w:t>Additionally, MR-PRESSO was employed to detect outlier genetic variants using “MR-PRESSO” R package (version 1.0), and the MR-Egger intercept test was used to evaluate horizontal pleiotropy.</w:t>
            </w:r>
          </w:p>
        </w:tc>
      </w:tr>
      <w:tr w:rsidR="00D8098C" w:rsidRPr="00B853C6" w14:paraId="77F037B8" w14:textId="6696FA54" w:rsidTr="00600578">
        <w:tc>
          <w:tcPr>
            <w:tcW w:w="587" w:type="dxa"/>
            <w:shd w:val="clear" w:color="auto" w:fill="auto"/>
          </w:tcPr>
          <w:p w14:paraId="4AC39E55"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15" w:type="dxa"/>
            <w:shd w:val="clear" w:color="auto" w:fill="auto"/>
          </w:tcPr>
          <w:p w14:paraId="4D9E0350"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e)</w:t>
            </w:r>
          </w:p>
        </w:tc>
        <w:tc>
          <w:tcPr>
            <w:tcW w:w="6707" w:type="dxa"/>
            <w:shd w:val="clear" w:color="auto" w:fill="auto"/>
          </w:tcPr>
          <w:p w14:paraId="41F1E523"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If applicable, indicate how multiple testing was addressed</w:t>
            </w:r>
          </w:p>
        </w:tc>
        <w:tc>
          <w:tcPr>
            <w:tcW w:w="1077" w:type="dxa"/>
          </w:tcPr>
          <w:p w14:paraId="6B5C4982" w14:textId="17F5EFA3" w:rsidR="00D8098C" w:rsidRPr="00A1236D" w:rsidRDefault="00E77392" w:rsidP="00426603">
            <w:pPr>
              <w:spacing w:beforeLines="40" w:before="96" w:afterLines="40" w:after="96" w:line="24" w:lineRule="atLeast"/>
              <w:rPr>
                <w:rFonts w:eastAsia="Times New Roman"/>
                <w:sz w:val="18"/>
                <w:szCs w:val="18"/>
                <w:lang w:val="en-GB" w:eastAsia="en-GB"/>
              </w:rPr>
            </w:pPr>
            <w:r w:rsidRPr="00E77392">
              <w:rPr>
                <w:rFonts w:eastAsia="Times New Roman"/>
                <w:sz w:val="18"/>
                <w:szCs w:val="18"/>
                <w:lang w:val="en-GB" w:eastAsia="en-GB"/>
              </w:rPr>
              <w:t>8</w:t>
            </w:r>
          </w:p>
        </w:tc>
        <w:tc>
          <w:tcPr>
            <w:tcW w:w="4304" w:type="dxa"/>
          </w:tcPr>
          <w:p w14:paraId="490E44D4" w14:textId="7F724C3A" w:rsidR="00D8098C" w:rsidRDefault="0019757C" w:rsidP="00426603">
            <w:pPr>
              <w:spacing w:beforeLines="40" w:before="96" w:afterLines="40" w:after="96" w:line="24" w:lineRule="atLeast"/>
              <w:rPr>
                <w:rFonts w:eastAsia="Times New Roman"/>
                <w:sz w:val="18"/>
                <w:szCs w:val="18"/>
                <w:lang w:val="en-GB" w:eastAsia="en-GB"/>
              </w:rPr>
            </w:pPr>
            <w:r w:rsidRPr="0019757C">
              <w:rPr>
                <w:rFonts w:eastAsia="Times New Roman"/>
                <w:sz w:val="18"/>
                <w:szCs w:val="18"/>
                <w:lang w:val="en-GB" w:eastAsia="en-GB"/>
              </w:rPr>
              <w:t xml:space="preserve">For the meta-analysis, estimated ORs and 95% CIs were used. Heterogeneity across studies was evaluated using the I2 statistic, with I2 &gt; 50% indicating significant heterogeneity. To mitigate the influence of heterogeneity, all analyses were </w:t>
            </w:r>
            <w:r w:rsidRPr="0019757C">
              <w:rPr>
                <w:rFonts w:eastAsia="Times New Roman"/>
                <w:sz w:val="18"/>
                <w:szCs w:val="18"/>
                <w:lang w:val="en-GB" w:eastAsia="en-GB"/>
              </w:rPr>
              <w:lastRenderedPageBreak/>
              <w:t>conducted using a random-effects model. A probability value &lt; 0.05 was considered statistically significant. All analyses were performed using R software (version 4.3.0).</w:t>
            </w:r>
          </w:p>
        </w:tc>
      </w:tr>
      <w:tr w:rsidR="00D8098C" w:rsidRPr="00B853C6" w14:paraId="585043CE" w14:textId="4922F612" w:rsidTr="00600578">
        <w:tc>
          <w:tcPr>
            <w:tcW w:w="587" w:type="dxa"/>
            <w:shd w:val="clear" w:color="auto" w:fill="EEEEEE"/>
          </w:tcPr>
          <w:p w14:paraId="55967D09"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lastRenderedPageBreak/>
              <w:t>7</w:t>
            </w:r>
          </w:p>
        </w:tc>
        <w:tc>
          <w:tcPr>
            <w:tcW w:w="1815" w:type="dxa"/>
            <w:shd w:val="clear" w:color="auto" w:fill="EEEEEE"/>
          </w:tcPr>
          <w:p w14:paraId="0947B164"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Assessment of assumptions</w:t>
            </w:r>
          </w:p>
        </w:tc>
        <w:tc>
          <w:tcPr>
            <w:tcW w:w="6707" w:type="dxa"/>
            <w:shd w:val="clear" w:color="auto" w:fill="EEEEEE"/>
          </w:tcPr>
          <w:p w14:paraId="1E6D0B1E" w14:textId="77777777" w:rsidR="00D8098C" w:rsidRPr="00A1236D" w:rsidRDefault="00D8098C" w:rsidP="00426603">
            <w:pPr>
              <w:tabs>
                <w:tab w:val="left" w:pos="1620"/>
              </w:tabs>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any methods or prior knowledge used to assess the assumptions or justify their validity</w:t>
            </w:r>
            <w:r w:rsidRPr="00A1236D">
              <w:rPr>
                <w:rFonts w:eastAsia="Cambria"/>
                <w:sz w:val="18"/>
                <w:szCs w:val="18"/>
                <w:lang w:val="en-GB" w:eastAsia="en-US"/>
              </w:rPr>
              <w:tab/>
            </w:r>
          </w:p>
        </w:tc>
        <w:tc>
          <w:tcPr>
            <w:tcW w:w="1077" w:type="dxa"/>
            <w:shd w:val="clear" w:color="auto" w:fill="EEEEEE"/>
          </w:tcPr>
          <w:p w14:paraId="61C50F74" w14:textId="48F40F8A" w:rsidR="00D8098C" w:rsidRPr="00E77392" w:rsidRDefault="0019757C" w:rsidP="00426603">
            <w:pPr>
              <w:tabs>
                <w:tab w:val="left" w:pos="1620"/>
              </w:tabs>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8</w:t>
            </w:r>
          </w:p>
        </w:tc>
        <w:tc>
          <w:tcPr>
            <w:tcW w:w="4304" w:type="dxa"/>
            <w:shd w:val="clear" w:color="auto" w:fill="EEEEEE"/>
          </w:tcPr>
          <w:p w14:paraId="5D46DB2B" w14:textId="61BBBF2C" w:rsidR="00D8098C" w:rsidRDefault="0019757C" w:rsidP="00426603">
            <w:pPr>
              <w:tabs>
                <w:tab w:val="left" w:pos="1620"/>
              </w:tabs>
              <w:spacing w:beforeLines="40" w:before="96" w:afterLines="40" w:after="96" w:line="24" w:lineRule="atLeast"/>
              <w:rPr>
                <w:rFonts w:eastAsia="Times New Roman"/>
                <w:sz w:val="18"/>
                <w:szCs w:val="18"/>
                <w:lang w:val="en-GB" w:eastAsia="en-GB"/>
              </w:rPr>
            </w:pPr>
            <w:r w:rsidRPr="0019757C">
              <w:rPr>
                <w:rFonts w:eastAsia="Times New Roman"/>
                <w:sz w:val="18"/>
                <w:szCs w:val="18"/>
                <w:lang w:val="en-GB" w:eastAsia="en-GB"/>
              </w:rPr>
              <w:t>We selected 4 significant cis-eQTL SNPs from eQTLGen as genetic instruments for the GLP-1R target gene. The F statistic for all instrument variants was over 74, indicating no bias from weak instruments (Supplementary Table S3).</w:t>
            </w:r>
          </w:p>
        </w:tc>
      </w:tr>
      <w:tr w:rsidR="00D8098C" w:rsidRPr="00B853C6" w14:paraId="383932D9" w14:textId="2C1AFE56" w:rsidTr="00600578">
        <w:tc>
          <w:tcPr>
            <w:tcW w:w="587" w:type="dxa"/>
            <w:shd w:val="clear" w:color="auto" w:fill="auto"/>
          </w:tcPr>
          <w:p w14:paraId="1A4621BC"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8</w:t>
            </w:r>
          </w:p>
        </w:tc>
        <w:tc>
          <w:tcPr>
            <w:tcW w:w="1815" w:type="dxa"/>
            <w:shd w:val="clear" w:color="auto" w:fill="auto"/>
          </w:tcPr>
          <w:p w14:paraId="0F88F25B"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Sensitivity analyses and additional analyses</w:t>
            </w:r>
          </w:p>
        </w:tc>
        <w:tc>
          <w:tcPr>
            <w:tcW w:w="6707" w:type="dxa"/>
            <w:shd w:val="clear" w:color="auto" w:fill="auto"/>
          </w:tcPr>
          <w:p w14:paraId="13C6445C"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any sensitivity analyses or additional analyses performed (e.g. comparison of effect estimates from different approaches, independent replication, bias analytic techniques, validation of instruments, simulations)</w:t>
            </w:r>
          </w:p>
        </w:tc>
        <w:tc>
          <w:tcPr>
            <w:tcW w:w="1077" w:type="dxa"/>
          </w:tcPr>
          <w:p w14:paraId="4B9B6FF5" w14:textId="6A7BB338" w:rsidR="00D8098C" w:rsidRPr="00E77392" w:rsidRDefault="0019757C"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7-8</w:t>
            </w:r>
          </w:p>
        </w:tc>
        <w:tc>
          <w:tcPr>
            <w:tcW w:w="4304" w:type="dxa"/>
          </w:tcPr>
          <w:p w14:paraId="229BFDFD" w14:textId="7B764441" w:rsidR="00D8098C" w:rsidRDefault="0019757C" w:rsidP="00426603">
            <w:pPr>
              <w:spacing w:beforeLines="40" w:before="96" w:afterLines="40" w:after="96" w:line="24" w:lineRule="atLeast"/>
              <w:rPr>
                <w:rFonts w:eastAsia="Times New Roman"/>
                <w:sz w:val="18"/>
                <w:szCs w:val="18"/>
                <w:lang w:val="en-GB" w:eastAsia="en-GB"/>
              </w:rPr>
            </w:pPr>
            <w:r w:rsidRPr="0019757C">
              <w:rPr>
                <w:rFonts w:eastAsia="Times New Roman"/>
                <w:sz w:val="18"/>
                <w:szCs w:val="18"/>
                <w:lang w:val="en-GB" w:eastAsia="en-GB"/>
              </w:rPr>
              <w:t>Additionally, MR-PRESSO was employed to detect outlier genetic variants using “MR-PRESSO” R package (version 1.0), and the MR-Egger intercept test was used to evaluate horizontal pleiotropy. Cochrane’s Q test was performed to assess heterogeneity in IVW estimators, with a P value &lt; 0.05 indicating significant heterogeneity.</w:t>
            </w:r>
          </w:p>
        </w:tc>
      </w:tr>
      <w:tr w:rsidR="00D8098C" w:rsidRPr="00B853C6" w14:paraId="55C7A410" w14:textId="0BAB653A" w:rsidTr="00600578">
        <w:tc>
          <w:tcPr>
            <w:tcW w:w="587" w:type="dxa"/>
            <w:shd w:val="clear" w:color="auto" w:fill="EEEEEE"/>
          </w:tcPr>
          <w:p w14:paraId="056075DE"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9</w:t>
            </w:r>
          </w:p>
        </w:tc>
        <w:tc>
          <w:tcPr>
            <w:tcW w:w="1815" w:type="dxa"/>
            <w:shd w:val="clear" w:color="auto" w:fill="EEEEEE"/>
          </w:tcPr>
          <w:p w14:paraId="6096809E"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Software and pre-registration</w:t>
            </w:r>
          </w:p>
        </w:tc>
        <w:tc>
          <w:tcPr>
            <w:tcW w:w="6707" w:type="dxa"/>
            <w:shd w:val="clear" w:color="auto" w:fill="EEEEEE"/>
          </w:tcPr>
          <w:p w14:paraId="08D1055E"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1077" w:type="dxa"/>
            <w:shd w:val="clear" w:color="auto" w:fill="EEEEEE"/>
          </w:tcPr>
          <w:p w14:paraId="721E714E"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4304" w:type="dxa"/>
            <w:shd w:val="clear" w:color="auto" w:fill="EEEEEE"/>
          </w:tcPr>
          <w:p w14:paraId="495710C0"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5EA9EBD1" w14:textId="4D05FA5B" w:rsidTr="00600578">
        <w:tc>
          <w:tcPr>
            <w:tcW w:w="587" w:type="dxa"/>
            <w:shd w:val="clear" w:color="auto" w:fill="auto"/>
          </w:tcPr>
          <w:p w14:paraId="66EDED80"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15" w:type="dxa"/>
            <w:shd w:val="clear" w:color="auto" w:fill="auto"/>
          </w:tcPr>
          <w:p w14:paraId="50BD32B9"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6707" w:type="dxa"/>
            <w:shd w:val="clear" w:color="auto" w:fill="auto"/>
          </w:tcPr>
          <w:p w14:paraId="054FBA47"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Name statistical software and package(s), including version and settings used </w:t>
            </w:r>
          </w:p>
        </w:tc>
        <w:tc>
          <w:tcPr>
            <w:tcW w:w="1077" w:type="dxa"/>
          </w:tcPr>
          <w:p w14:paraId="305BB821" w14:textId="3D20C6C4" w:rsidR="00D8098C" w:rsidRPr="00E77392" w:rsidRDefault="0019757C"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7</w:t>
            </w:r>
          </w:p>
        </w:tc>
        <w:tc>
          <w:tcPr>
            <w:tcW w:w="4304" w:type="dxa"/>
          </w:tcPr>
          <w:p w14:paraId="79626260" w14:textId="68B8E4B7" w:rsidR="00D8098C" w:rsidRDefault="0019757C" w:rsidP="00426603">
            <w:pPr>
              <w:spacing w:beforeLines="40" w:before="96" w:afterLines="40" w:after="96" w:line="24" w:lineRule="atLeast"/>
              <w:rPr>
                <w:rFonts w:eastAsia="Times New Roman"/>
                <w:sz w:val="18"/>
                <w:szCs w:val="18"/>
                <w:lang w:val="en-GB" w:eastAsia="en-GB"/>
              </w:rPr>
            </w:pPr>
            <w:r w:rsidRPr="0019757C">
              <w:rPr>
                <w:rFonts w:eastAsia="Times New Roman"/>
                <w:sz w:val="18"/>
                <w:szCs w:val="18"/>
                <w:lang w:val="en-GB" w:eastAsia="en-GB"/>
              </w:rPr>
              <w:t>We performed MR analysis using the "TwoSampleMR" R package (version 0.5.8).</w:t>
            </w:r>
          </w:p>
        </w:tc>
      </w:tr>
      <w:tr w:rsidR="00D8098C" w:rsidRPr="00B853C6" w14:paraId="6A631D93" w14:textId="2BD5AA8E" w:rsidTr="00600578">
        <w:tc>
          <w:tcPr>
            <w:tcW w:w="587" w:type="dxa"/>
            <w:tcBorders>
              <w:bottom w:val="single" w:sz="6" w:space="0" w:color="7F7F7F"/>
            </w:tcBorders>
            <w:shd w:val="clear" w:color="auto" w:fill="EEEEEE"/>
          </w:tcPr>
          <w:p w14:paraId="37C88958"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15" w:type="dxa"/>
            <w:tcBorders>
              <w:bottom w:val="single" w:sz="6" w:space="0" w:color="7F7F7F"/>
            </w:tcBorders>
            <w:shd w:val="clear" w:color="auto" w:fill="EEEEEE"/>
          </w:tcPr>
          <w:p w14:paraId="2349B556"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6707" w:type="dxa"/>
            <w:tcBorders>
              <w:bottom w:val="single" w:sz="6" w:space="0" w:color="7F7F7F"/>
            </w:tcBorders>
            <w:shd w:val="clear" w:color="auto" w:fill="EEEEEE"/>
          </w:tcPr>
          <w:p w14:paraId="5DBE58D7"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State whether the study protocol and details were pre-registered (as well as when and where)</w:t>
            </w:r>
          </w:p>
        </w:tc>
        <w:tc>
          <w:tcPr>
            <w:tcW w:w="1077" w:type="dxa"/>
            <w:tcBorders>
              <w:bottom w:val="single" w:sz="6" w:space="0" w:color="7F7F7F"/>
            </w:tcBorders>
            <w:shd w:val="clear" w:color="auto" w:fill="EEEEEE"/>
          </w:tcPr>
          <w:p w14:paraId="2325504F" w14:textId="0CC3F5B2" w:rsidR="00D8098C" w:rsidRPr="00E77392" w:rsidRDefault="0067765C"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5</w:t>
            </w:r>
          </w:p>
        </w:tc>
        <w:tc>
          <w:tcPr>
            <w:tcW w:w="4304" w:type="dxa"/>
            <w:tcBorders>
              <w:bottom w:val="single" w:sz="6" w:space="0" w:color="7F7F7F"/>
            </w:tcBorders>
            <w:shd w:val="clear" w:color="auto" w:fill="EEEEEE"/>
          </w:tcPr>
          <w:p w14:paraId="3EFCD231" w14:textId="215AF7B7" w:rsidR="00D8098C" w:rsidRDefault="0067765C" w:rsidP="00426603">
            <w:pPr>
              <w:spacing w:beforeLines="40" w:before="96" w:afterLines="40" w:after="96" w:line="24" w:lineRule="atLeast"/>
              <w:rPr>
                <w:rFonts w:eastAsia="Times New Roman"/>
                <w:sz w:val="18"/>
                <w:szCs w:val="18"/>
                <w:lang w:val="en-GB" w:eastAsia="en-GB"/>
              </w:rPr>
            </w:pPr>
            <w:r w:rsidRPr="0067765C">
              <w:rPr>
                <w:rFonts w:eastAsia="Times New Roman"/>
                <w:sz w:val="18"/>
                <w:szCs w:val="18"/>
                <w:lang w:val="en-GB" w:eastAsia="en-GB"/>
              </w:rPr>
              <w:t>The study conforms to the STROBE guideline.</w:t>
            </w:r>
          </w:p>
        </w:tc>
      </w:tr>
      <w:tr w:rsidR="00D8098C" w:rsidRPr="00B853C6" w14:paraId="040F15E5" w14:textId="3B11C618" w:rsidTr="00600578">
        <w:tc>
          <w:tcPr>
            <w:tcW w:w="587" w:type="dxa"/>
            <w:tcBorders>
              <w:top w:val="single" w:sz="6" w:space="0" w:color="7F7F7F"/>
            </w:tcBorders>
            <w:shd w:val="clear" w:color="auto" w:fill="auto"/>
          </w:tcPr>
          <w:p w14:paraId="777278B3"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p>
        </w:tc>
        <w:tc>
          <w:tcPr>
            <w:tcW w:w="1815" w:type="dxa"/>
            <w:tcBorders>
              <w:top w:val="single" w:sz="6" w:space="0" w:color="7F7F7F"/>
            </w:tcBorders>
            <w:shd w:val="clear" w:color="auto" w:fill="auto"/>
          </w:tcPr>
          <w:p w14:paraId="7D8D653B"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RESULTS</w:t>
            </w:r>
          </w:p>
        </w:tc>
        <w:tc>
          <w:tcPr>
            <w:tcW w:w="6707" w:type="dxa"/>
            <w:tcBorders>
              <w:top w:val="single" w:sz="6" w:space="0" w:color="7F7F7F"/>
            </w:tcBorders>
            <w:shd w:val="clear" w:color="auto" w:fill="auto"/>
          </w:tcPr>
          <w:p w14:paraId="34719287"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1077" w:type="dxa"/>
            <w:tcBorders>
              <w:top w:val="single" w:sz="6" w:space="0" w:color="7F7F7F"/>
            </w:tcBorders>
          </w:tcPr>
          <w:p w14:paraId="0E355A69"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4304" w:type="dxa"/>
            <w:tcBorders>
              <w:top w:val="single" w:sz="6" w:space="0" w:color="7F7F7F"/>
            </w:tcBorders>
          </w:tcPr>
          <w:p w14:paraId="33E956D1"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67F47EED" w14:textId="4A481C08" w:rsidTr="00600578">
        <w:tc>
          <w:tcPr>
            <w:tcW w:w="587" w:type="dxa"/>
            <w:shd w:val="clear" w:color="auto" w:fill="EEEEEE"/>
          </w:tcPr>
          <w:p w14:paraId="51C7A54B"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10</w:t>
            </w:r>
          </w:p>
        </w:tc>
        <w:tc>
          <w:tcPr>
            <w:tcW w:w="1815" w:type="dxa"/>
            <w:shd w:val="clear" w:color="auto" w:fill="EEEEEE"/>
          </w:tcPr>
          <w:p w14:paraId="731D0370"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Descriptive data</w:t>
            </w:r>
          </w:p>
        </w:tc>
        <w:tc>
          <w:tcPr>
            <w:tcW w:w="6707" w:type="dxa"/>
            <w:shd w:val="clear" w:color="auto" w:fill="EEEEEE"/>
          </w:tcPr>
          <w:p w14:paraId="3B19CDAF"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1077" w:type="dxa"/>
            <w:shd w:val="clear" w:color="auto" w:fill="EEEEEE"/>
          </w:tcPr>
          <w:p w14:paraId="1091FF57"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4304" w:type="dxa"/>
            <w:shd w:val="clear" w:color="auto" w:fill="EEEEEE"/>
          </w:tcPr>
          <w:p w14:paraId="4B684E79"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6CA228D1" w14:textId="316B6A36" w:rsidTr="00600578">
        <w:tc>
          <w:tcPr>
            <w:tcW w:w="587" w:type="dxa"/>
            <w:shd w:val="clear" w:color="auto" w:fill="auto"/>
          </w:tcPr>
          <w:p w14:paraId="29B62776"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15" w:type="dxa"/>
            <w:shd w:val="clear" w:color="auto" w:fill="auto"/>
          </w:tcPr>
          <w:p w14:paraId="4C1499C8"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6707" w:type="dxa"/>
            <w:shd w:val="clear" w:color="auto" w:fill="auto"/>
          </w:tcPr>
          <w:p w14:paraId="4D5C652C" w14:textId="6B5065AC"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Report the numbers of individuals at each stage of included studies and reasons for ex</w:t>
            </w:r>
            <w:r w:rsidR="000A4CE8">
              <w:rPr>
                <w:rFonts w:eastAsia="Times New Roman"/>
                <w:sz w:val="18"/>
                <w:szCs w:val="18"/>
                <w:lang w:val="en-GB" w:eastAsia="en-GB"/>
              </w:rPr>
              <w:t xml:space="preserve">clusion. Consider use of a flow </w:t>
            </w:r>
            <w:r w:rsidRPr="00A1236D">
              <w:rPr>
                <w:rFonts w:eastAsia="Times New Roman"/>
                <w:sz w:val="18"/>
                <w:szCs w:val="18"/>
                <w:lang w:val="en-GB" w:eastAsia="en-GB"/>
              </w:rPr>
              <w:t>diagram</w:t>
            </w:r>
          </w:p>
        </w:tc>
        <w:tc>
          <w:tcPr>
            <w:tcW w:w="1077" w:type="dxa"/>
          </w:tcPr>
          <w:p w14:paraId="7AF8CC23" w14:textId="6F596584" w:rsidR="00D8098C" w:rsidRPr="00E77392" w:rsidRDefault="0067765C"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5</w:t>
            </w:r>
          </w:p>
        </w:tc>
        <w:tc>
          <w:tcPr>
            <w:tcW w:w="4304" w:type="dxa"/>
          </w:tcPr>
          <w:p w14:paraId="00D65497" w14:textId="7492A941" w:rsidR="00D8098C" w:rsidRDefault="0067765C" w:rsidP="00426603">
            <w:pPr>
              <w:spacing w:beforeLines="40" w:before="96" w:afterLines="40" w:after="96" w:line="24" w:lineRule="atLeast"/>
              <w:rPr>
                <w:rFonts w:eastAsia="Times New Roman"/>
                <w:sz w:val="18"/>
                <w:szCs w:val="18"/>
                <w:lang w:val="en-GB" w:eastAsia="en-GB"/>
              </w:rPr>
            </w:pPr>
            <w:r w:rsidRPr="0067765C">
              <w:rPr>
                <w:rFonts w:eastAsia="Times New Roman"/>
                <w:sz w:val="18"/>
                <w:szCs w:val="18"/>
                <w:lang w:val="en-GB" w:eastAsia="en-GB"/>
              </w:rPr>
              <w:t>Fig. 1 provides a comprehensive overview of the study. We first selected genetic instruments for GLP-1R and conducted a drug target MR to explore the causal relationship between GLP-1R gene activation and 12 psychiatric disorder outcomes. A positive control analysis was performed to examine the association between the exposures of interest and type 2 diabetes, ensuring the reliability of the genetic instruments. The analysis was then replicated in the FinnGen study, PGC, and UKB to confirm the drug target MR findings and to meta-analyze the results. All studies included in our analysis were approved by the relevant institutional review boards and informed consent was obtained from all participants.</w:t>
            </w:r>
          </w:p>
        </w:tc>
      </w:tr>
      <w:tr w:rsidR="00D8098C" w:rsidRPr="00B853C6" w14:paraId="0765C344" w14:textId="3B2EDCCF" w:rsidTr="00600578">
        <w:tc>
          <w:tcPr>
            <w:tcW w:w="587" w:type="dxa"/>
            <w:shd w:val="clear" w:color="auto" w:fill="EEEEEE"/>
          </w:tcPr>
          <w:p w14:paraId="2404BFFB"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15" w:type="dxa"/>
            <w:shd w:val="clear" w:color="auto" w:fill="EEEEEE"/>
          </w:tcPr>
          <w:p w14:paraId="6545C2F1"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6707" w:type="dxa"/>
            <w:shd w:val="clear" w:color="auto" w:fill="EEEEEE"/>
          </w:tcPr>
          <w:p w14:paraId="405491AF" w14:textId="3F437E24" w:rsidR="00D8098C" w:rsidRPr="00A1236D" w:rsidRDefault="00D8098C" w:rsidP="009E033F">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Report summary statistics for phenotypic exposure(s), outcome(s)</w:t>
            </w:r>
            <w:r w:rsidR="000A4CE8">
              <w:rPr>
                <w:rFonts w:eastAsia="Times New Roman"/>
                <w:sz w:val="18"/>
                <w:szCs w:val="18"/>
                <w:lang w:val="en-GB" w:eastAsia="en-GB"/>
              </w:rPr>
              <w:t>,</w:t>
            </w:r>
            <w:r w:rsidRPr="00A1236D">
              <w:rPr>
                <w:rFonts w:eastAsia="Times New Roman"/>
                <w:sz w:val="18"/>
                <w:szCs w:val="18"/>
                <w:lang w:val="en-GB" w:eastAsia="en-GB"/>
              </w:rPr>
              <w:t xml:space="preserve"> and other relevant variables (e.g. means, </w:t>
            </w:r>
            <w:r w:rsidR="009E033F">
              <w:rPr>
                <w:rFonts w:eastAsia="Times New Roman"/>
                <w:sz w:val="18"/>
                <w:szCs w:val="18"/>
                <w:lang w:val="en-GB" w:eastAsia="en-GB"/>
              </w:rPr>
              <w:t>SDs</w:t>
            </w:r>
            <w:r w:rsidRPr="00A1236D">
              <w:rPr>
                <w:rFonts w:eastAsia="Times New Roman"/>
                <w:sz w:val="18"/>
                <w:szCs w:val="18"/>
                <w:lang w:val="en-GB" w:eastAsia="en-GB"/>
              </w:rPr>
              <w:t>, proportions)</w:t>
            </w:r>
          </w:p>
        </w:tc>
        <w:tc>
          <w:tcPr>
            <w:tcW w:w="1077" w:type="dxa"/>
            <w:shd w:val="clear" w:color="auto" w:fill="EEEEEE"/>
          </w:tcPr>
          <w:p w14:paraId="03BBA613" w14:textId="33608C07" w:rsidR="00D8098C" w:rsidRPr="0067765C" w:rsidRDefault="0067765C"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8</w:t>
            </w:r>
          </w:p>
        </w:tc>
        <w:tc>
          <w:tcPr>
            <w:tcW w:w="4304" w:type="dxa"/>
            <w:shd w:val="clear" w:color="auto" w:fill="EEEEEE"/>
          </w:tcPr>
          <w:p w14:paraId="0FD9D468" w14:textId="19A1C1AE" w:rsidR="00D8098C" w:rsidRPr="00E77392" w:rsidRDefault="0067765C" w:rsidP="00426603">
            <w:pPr>
              <w:spacing w:beforeLines="40" w:before="96" w:afterLines="40" w:after="96" w:line="24" w:lineRule="atLeast"/>
              <w:rPr>
                <w:rFonts w:eastAsiaTheme="minorEastAsia"/>
                <w:sz w:val="18"/>
                <w:szCs w:val="18"/>
                <w:lang w:val="en-GB" w:eastAsia="zh-CN"/>
              </w:rPr>
            </w:pPr>
            <w:r w:rsidRPr="0067765C">
              <w:rPr>
                <w:rFonts w:eastAsiaTheme="minorEastAsia"/>
                <w:sz w:val="18"/>
                <w:szCs w:val="18"/>
                <w:lang w:val="en-GB" w:eastAsia="zh-CN"/>
              </w:rPr>
              <w:t>We selected 4 significant cis-eQTL SNPs from eQTLGen as genetic instruments for the GLP-1R target gene. The F statistic for all instrument variants was over 74, indicating no bias from weak instruments (Supplementary Table S3). In addition, the result of positive control proved that the intervention significantly decreased the risk of type 2 diabetes (OR [95% CI] = 0.90 [0.88 - 0.92], P&lt;0.001). This finding was consistent across different studies, including FinnGen (OR [95% CI] = 0.95 [0.88 - 1.03]), Cai L (OR [95% CI] = 0.89 [0.87 - 0.91]), UK Biobank (OR [95% CI] = 0.90 [0.87 - 0.95]), and Xue A (OR [95% CI] = 0.86 [0.74 - 1.00]).</w:t>
            </w:r>
          </w:p>
        </w:tc>
      </w:tr>
      <w:tr w:rsidR="00D8098C" w:rsidRPr="00B853C6" w14:paraId="48F10342" w14:textId="398F2C24" w:rsidTr="00600578">
        <w:tc>
          <w:tcPr>
            <w:tcW w:w="587" w:type="dxa"/>
            <w:shd w:val="clear" w:color="auto" w:fill="auto"/>
          </w:tcPr>
          <w:p w14:paraId="6600AF43"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15" w:type="dxa"/>
            <w:shd w:val="clear" w:color="auto" w:fill="auto"/>
          </w:tcPr>
          <w:p w14:paraId="435099F2"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c)</w:t>
            </w:r>
          </w:p>
        </w:tc>
        <w:tc>
          <w:tcPr>
            <w:tcW w:w="6707" w:type="dxa"/>
            <w:shd w:val="clear" w:color="auto" w:fill="auto"/>
          </w:tcPr>
          <w:p w14:paraId="062EB561"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If the data sources include meta-analyses of previous studies, provide the assessments of heterogeneity across these studies</w:t>
            </w:r>
          </w:p>
        </w:tc>
        <w:tc>
          <w:tcPr>
            <w:tcW w:w="1077" w:type="dxa"/>
          </w:tcPr>
          <w:p w14:paraId="10F6EF39" w14:textId="24AD0E68" w:rsidR="00D8098C" w:rsidRPr="00DE7C29" w:rsidRDefault="0067765C"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Not applicable.</w:t>
            </w:r>
          </w:p>
        </w:tc>
        <w:tc>
          <w:tcPr>
            <w:tcW w:w="4304" w:type="dxa"/>
          </w:tcPr>
          <w:p w14:paraId="449D40FD" w14:textId="2AB0D5BF" w:rsidR="00D8098C" w:rsidRPr="00DE7C29" w:rsidRDefault="00D8098C" w:rsidP="00426603">
            <w:pPr>
              <w:spacing w:beforeLines="40" w:before="96" w:afterLines="40" w:after="96" w:line="24" w:lineRule="atLeast"/>
              <w:rPr>
                <w:rFonts w:eastAsiaTheme="minorEastAsia"/>
                <w:sz w:val="18"/>
                <w:szCs w:val="18"/>
                <w:lang w:val="en-GB" w:eastAsia="zh-CN"/>
              </w:rPr>
            </w:pPr>
          </w:p>
        </w:tc>
      </w:tr>
      <w:tr w:rsidR="00D8098C" w:rsidRPr="00B853C6" w14:paraId="51930A8C" w14:textId="221D5A9E" w:rsidTr="00600578">
        <w:tc>
          <w:tcPr>
            <w:tcW w:w="587" w:type="dxa"/>
            <w:shd w:val="clear" w:color="auto" w:fill="EEEEEE"/>
          </w:tcPr>
          <w:p w14:paraId="6116DD95"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15" w:type="dxa"/>
            <w:shd w:val="clear" w:color="auto" w:fill="EEEEEE"/>
          </w:tcPr>
          <w:p w14:paraId="453F7877"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d)</w:t>
            </w:r>
          </w:p>
        </w:tc>
        <w:tc>
          <w:tcPr>
            <w:tcW w:w="6707" w:type="dxa"/>
            <w:shd w:val="clear" w:color="auto" w:fill="EEEEEE"/>
          </w:tcPr>
          <w:p w14:paraId="2EFD572E" w14:textId="5230C0F8" w:rsidR="00D8098C" w:rsidRPr="00A1236D" w:rsidRDefault="00D8098C" w:rsidP="00426603">
            <w:pPr>
              <w:spacing w:beforeLines="40" w:before="96" w:afterLines="40" w:after="96" w:line="24" w:lineRule="atLeast"/>
              <w:rPr>
                <w:rFonts w:eastAsia="Times New Roman"/>
                <w:sz w:val="18"/>
                <w:szCs w:val="18"/>
                <w:lang w:val="en-GB" w:eastAsia="en-GB"/>
              </w:rPr>
            </w:pPr>
            <w:r w:rsidRPr="009E033F">
              <w:rPr>
                <w:rFonts w:eastAsia="Times New Roman"/>
                <w:sz w:val="18"/>
                <w:szCs w:val="18"/>
                <w:lang w:val="en-GB" w:eastAsia="en-GB"/>
              </w:rPr>
              <w:t xml:space="preserve">For </w:t>
            </w:r>
            <w:r w:rsidRPr="009E033F">
              <w:rPr>
                <w:rFonts w:eastAsia="Times New Roman"/>
                <w:iCs/>
                <w:sz w:val="18"/>
                <w:szCs w:val="18"/>
                <w:lang w:val="en-GB" w:eastAsia="en-GB"/>
              </w:rPr>
              <w:t>two-sample</w:t>
            </w:r>
            <w:r w:rsidRPr="00A1236D">
              <w:rPr>
                <w:rFonts w:eastAsia="Times New Roman"/>
                <w:sz w:val="18"/>
                <w:szCs w:val="18"/>
                <w:lang w:val="en-GB" w:eastAsia="en-GB"/>
              </w:rPr>
              <w:t xml:space="preserve"> </w:t>
            </w:r>
            <w:r w:rsidR="009E033F">
              <w:rPr>
                <w:rFonts w:eastAsia="Times New Roman"/>
                <w:sz w:val="18"/>
                <w:szCs w:val="18"/>
                <w:lang w:val="en-GB" w:eastAsia="en-GB"/>
              </w:rPr>
              <w:t>MR</w:t>
            </w:r>
            <w:r w:rsidRPr="00A1236D">
              <w:rPr>
                <w:rFonts w:eastAsia="Times New Roman"/>
                <w:sz w:val="18"/>
                <w:szCs w:val="18"/>
                <w:lang w:val="en-GB" w:eastAsia="en-GB"/>
              </w:rPr>
              <w:t>:</w:t>
            </w:r>
          </w:p>
          <w:p w14:paraId="48065368"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 xml:space="preserve">   i.  Provide justification of the similarity of the genetic variant-exposure associations between the exposure and outcome samples</w:t>
            </w:r>
          </w:p>
          <w:p w14:paraId="35BA9280"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 xml:space="preserve">   ii.  Provide information on the number of individuals who overlap between the exposure and outcome studies</w:t>
            </w:r>
          </w:p>
        </w:tc>
        <w:tc>
          <w:tcPr>
            <w:tcW w:w="1077" w:type="dxa"/>
            <w:shd w:val="clear" w:color="auto" w:fill="EEEEEE"/>
          </w:tcPr>
          <w:p w14:paraId="4948EE3D" w14:textId="1E0E62C8" w:rsidR="00D8098C" w:rsidRPr="0067765C" w:rsidRDefault="0067765C"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8</w:t>
            </w:r>
          </w:p>
        </w:tc>
        <w:tc>
          <w:tcPr>
            <w:tcW w:w="4304" w:type="dxa"/>
            <w:shd w:val="clear" w:color="auto" w:fill="EEEEEE"/>
          </w:tcPr>
          <w:p w14:paraId="5B2A1A71" w14:textId="48F86E4D" w:rsidR="00D8098C" w:rsidRPr="00DE7C29" w:rsidRDefault="0067765C" w:rsidP="00426603">
            <w:pPr>
              <w:spacing w:beforeLines="40" w:before="96" w:afterLines="40" w:after="96" w:line="24" w:lineRule="atLeast"/>
              <w:rPr>
                <w:rFonts w:eastAsiaTheme="minorEastAsia"/>
                <w:sz w:val="18"/>
                <w:szCs w:val="18"/>
                <w:lang w:val="en-GB" w:eastAsia="zh-CN"/>
              </w:rPr>
            </w:pPr>
            <w:r w:rsidRPr="0067765C">
              <w:rPr>
                <w:rFonts w:eastAsiaTheme="minorEastAsia"/>
                <w:sz w:val="18"/>
                <w:szCs w:val="18"/>
                <w:lang w:val="en-GB" w:eastAsia="zh-CN"/>
              </w:rPr>
              <w:t>We selected 4 significant cis-eQTL SNPs from eQTLGen as genetic instruments for the GLP-1R target gene. The F statistic for all instrument variants was over 74, indicating no bias from weak instruments (Supplementary Table S3). In addition, the result of positive control proved that the intervention significantly decreased the risk of type 2 diabetes (OR [95% CI] = 0.90 [0.88 - 0.92], P&lt;0.001). This finding was consistent across different studies, including FinnGen (OR [95% CI] = 0.95 [0.88 - 1.03]), Cai L (OR [95% CI] = 0.89 [0.87 - 0.91]), UK Biobank (OR [95% CI] = 0.90 [0.87 - 0.95]), and Xue A (OR [95% CI] = 0.86 [0.74 - 1.00]).</w:t>
            </w:r>
          </w:p>
        </w:tc>
      </w:tr>
      <w:tr w:rsidR="00D8098C" w:rsidRPr="00B853C6" w14:paraId="52CFCA59" w14:textId="5AC9CE3E" w:rsidTr="00600578">
        <w:tc>
          <w:tcPr>
            <w:tcW w:w="587" w:type="dxa"/>
            <w:shd w:val="clear" w:color="auto" w:fill="auto"/>
          </w:tcPr>
          <w:p w14:paraId="110872BB"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11</w:t>
            </w:r>
          </w:p>
        </w:tc>
        <w:tc>
          <w:tcPr>
            <w:tcW w:w="1815" w:type="dxa"/>
            <w:shd w:val="clear" w:color="auto" w:fill="auto"/>
          </w:tcPr>
          <w:p w14:paraId="0C26298F"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Main results</w:t>
            </w:r>
          </w:p>
        </w:tc>
        <w:tc>
          <w:tcPr>
            <w:tcW w:w="6707" w:type="dxa"/>
            <w:shd w:val="clear" w:color="auto" w:fill="auto"/>
          </w:tcPr>
          <w:p w14:paraId="2F14FA37"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1077" w:type="dxa"/>
          </w:tcPr>
          <w:p w14:paraId="035B3367"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4304" w:type="dxa"/>
          </w:tcPr>
          <w:p w14:paraId="0AFA0083"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56845A2A" w14:textId="1DC0780C" w:rsidTr="00600578">
        <w:tc>
          <w:tcPr>
            <w:tcW w:w="587" w:type="dxa"/>
            <w:shd w:val="clear" w:color="auto" w:fill="EEEEEE"/>
          </w:tcPr>
          <w:p w14:paraId="0892A548"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15" w:type="dxa"/>
            <w:shd w:val="clear" w:color="auto" w:fill="EEEEEE"/>
          </w:tcPr>
          <w:p w14:paraId="7CDB72AD"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6707" w:type="dxa"/>
            <w:shd w:val="clear" w:color="auto" w:fill="EEEEEE"/>
          </w:tcPr>
          <w:p w14:paraId="09CB478B"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Report the associations between genetic variant and exposure, and between genetic variant and outcome, preferably on an interpretable scale</w:t>
            </w:r>
          </w:p>
        </w:tc>
        <w:tc>
          <w:tcPr>
            <w:tcW w:w="1077" w:type="dxa"/>
            <w:shd w:val="clear" w:color="auto" w:fill="EEEEEE"/>
          </w:tcPr>
          <w:p w14:paraId="7F1B8B69" w14:textId="0CCB5514" w:rsidR="00D8098C" w:rsidRPr="00DE7C29" w:rsidRDefault="00600578"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8</w:t>
            </w:r>
          </w:p>
        </w:tc>
        <w:tc>
          <w:tcPr>
            <w:tcW w:w="4304" w:type="dxa"/>
            <w:shd w:val="clear" w:color="auto" w:fill="EEEEEE"/>
          </w:tcPr>
          <w:p w14:paraId="7BCA1C07" w14:textId="441B5FB0" w:rsidR="00D8098C" w:rsidRDefault="00600578" w:rsidP="00426603">
            <w:pPr>
              <w:spacing w:beforeLines="40" w:before="96" w:afterLines="40" w:after="96" w:line="24" w:lineRule="atLeast"/>
              <w:rPr>
                <w:rFonts w:eastAsia="Times New Roman"/>
                <w:sz w:val="18"/>
                <w:szCs w:val="18"/>
                <w:lang w:val="en-GB" w:eastAsia="en-GB"/>
              </w:rPr>
            </w:pPr>
            <w:r w:rsidRPr="00600578">
              <w:rPr>
                <w:rFonts w:eastAsiaTheme="minorEastAsia"/>
                <w:sz w:val="18"/>
                <w:szCs w:val="18"/>
                <w:lang w:val="en-GB" w:eastAsia="zh-CN"/>
              </w:rPr>
              <w:t xml:space="preserve">We selected 4 significant cis-eQTL SNPs from eQTLGen as genetic instruments for the GLP-1R target gene. The F statistic for all instrument variants was over 74, indicating no bias from weak instruments (Supplementary Table S3). In addition, the result of positive control proved that the intervention significantly decreased the risk of type 2 diabetes (OR [95% CI] = 0.90 [0.88 - 0.92], P&lt;0.001). This finding was consistent across different studies, including FinnGen (OR [95% CI] = 0.95 [0.88 - 1.03]), Cai L (OR [95% CI] = 0.89 [0.87 - 0.91]), UK Biobank (OR [95% CI] = 0.90 </w:t>
            </w:r>
            <w:r w:rsidRPr="00600578">
              <w:rPr>
                <w:rFonts w:eastAsiaTheme="minorEastAsia"/>
                <w:sz w:val="18"/>
                <w:szCs w:val="18"/>
                <w:lang w:val="en-GB" w:eastAsia="zh-CN"/>
              </w:rPr>
              <w:lastRenderedPageBreak/>
              <w:t>[0.87 - 0.95]), and Xue A (OR [95% CI] = 0.86 [0.74 - 1.00]).</w:t>
            </w:r>
          </w:p>
        </w:tc>
      </w:tr>
      <w:tr w:rsidR="00D8098C" w:rsidRPr="00B853C6" w14:paraId="2FAEFE68" w14:textId="09D82DE1" w:rsidTr="00600578">
        <w:tc>
          <w:tcPr>
            <w:tcW w:w="587" w:type="dxa"/>
            <w:shd w:val="clear" w:color="auto" w:fill="auto"/>
          </w:tcPr>
          <w:p w14:paraId="2E83DFB7"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15" w:type="dxa"/>
            <w:shd w:val="clear" w:color="auto" w:fill="auto"/>
          </w:tcPr>
          <w:p w14:paraId="142A3CE2"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6707" w:type="dxa"/>
            <w:shd w:val="clear" w:color="auto" w:fill="auto"/>
          </w:tcPr>
          <w:p w14:paraId="336E75EE" w14:textId="144F95EC" w:rsidR="00D8098C" w:rsidRPr="00A1236D" w:rsidRDefault="00D8098C" w:rsidP="009E033F">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 xml:space="preserve">Report MR estimates of the relationship between exposure and outcome, and the measures of uncertainty from the MR analysis, on an interpretable scale, such as odds ratio or relative risk per </w:t>
            </w:r>
            <w:r w:rsidR="009E033F">
              <w:rPr>
                <w:rFonts w:eastAsia="Times New Roman"/>
                <w:sz w:val="18"/>
                <w:szCs w:val="18"/>
                <w:lang w:val="en-GB" w:eastAsia="en-GB"/>
              </w:rPr>
              <w:t>SD</w:t>
            </w:r>
            <w:r w:rsidRPr="00A1236D">
              <w:rPr>
                <w:rFonts w:eastAsia="Times New Roman"/>
                <w:sz w:val="18"/>
                <w:szCs w:val="18"/>
                <w:lang w:val="en-GB" w:eastAsia="en-GB"/>
              </w:rPr>
              <w:t xml:space="preserve"> difference</w:t>
            </w:r>
          </w:p>
        </w:tc>
        <w:tc>
          <w:tcPr>
            <w:tcW w:w="1077" w:type="dxa"/>
          </w:tcPr>
          <w:p w14:paraId="1E1B567F" w14:textId="59E919C5" w:rsidR="00D8098C" w:rsidRPr="00DE7C29" w:rsidRDefault="00600578"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8-9</w:t>
            </w:r>
          </w:p>
        </w:tc>
        <w:tc>
          <w:tcPr>
            <w:tcW w:w="4304" w:type="dxa"/>
          </w:tcPr>
          <w:p w14:paraId="4564CEDB" w14:textId="18E50465" w:rsidR="00D8098C" w:rsidRDefault="00600578" w:rsidP="00426603">
            <w:pPr>
              <w:spacing w:beforeLines="40" w:before="96" w:afterLines="40" w:after="96" w:line="24" w:lineRule="atLeast"/>
              <w:rPr>
                <w:rFonts w:eastAsia="Times New Roman"/>
                <w:sz w:val="18"/>
                <w:szCs w:val="18"/>
                <w:lang w:val="en-GB" w:eastAsia="en-GB"/>
              </w:rPr>
            </w:pPr>
            <w:r w:rsidRPr="00600578">
              <w:rPr>
                <w:rFonts w:eastAsia="Times New Roman"/>
                <w:sz w:val="18"/>
                <w:szCs w:val="18"/>
                <w:lang w:val="en-GB" w:eastAsia="en-GB"/>
              </w:rPr>
              <w:t>MR analysis revealed a significant protective effect of higher GLP-1R gene expression in blood on certain psychiatric disorder using the IVW method. These psychiatric disorder include schizophrenia (OR [95% CI] = 0.72 [0.61 - 0.86], P&lt;0.001), anxiety disorders (OR [95% CI] = 0.87 [0.77 - 0.98], P&lt;0.001), bipolar disorder(OR [95% CI] = 0.91 [0.88 - 0.94], P&lt;0.001), bulimia nervosa(OR [95% CI] = 0.34 [0.23 - 0.52], P&lt;0.001), PTSD (OR [95% CI] = 0.45 [0.31 - 0.67], P&lt;0.001), and autism(OR [95% CI] = 0.55 [0.32 - 0.93], P&lt;0.001). Conversely, the IVW-MR analysis suggested an increased risk for as well as an increased risk of OCD (OR [95% CI] = 2.30 [1.26 - 4.22], P&lt;0.001) with increased GLP-1R expression. There was no evidence supporting an association between GLP-1R gene expression and anorexia nervosa, broad depression, MDD, and suicide or other intentional self-harm. All the detailed results of these associations are provided in Supplementary Table S3. The Cochrane Q statistics and MR-Egger intercept test indicated no statistical heterogeneity or horizontal pleiotropy in the IVW-MR analysis (Supplementary Table S5 and S6).</w:t>
            </w:r>
          </w:p>
        </w:tc>
      </w:tr>
      <w:tr w:rsidR="00D8098C" w:rsidRPr="00B853C6" w14:paraId="1FAC379E" w14:textId="0C198578" w:rsidTr="00600578">
        <w:tc>
          <w:tcPr>
            <w:tcW w:w="587" w:type="dxa"/>
            <w:shd w:val="clear" w:color="auto" w:fill="EEEEEE"/>
          </w:tcPr>
          <w:p w14:paraId="6762B88A"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15" w:type="dxa"/>
            <w:shd w:val="clear" w:color="auto" w:fill="EEEEEE"/>
          </w:tcPr>
          <w:p w14:paraId="514E8164"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c)</w:t>
            </w:r>
          </w:p>
        </w:tc>
        <w:tc>
          <w:tcPr>
            <w:tcW w:w="6707" w:type="dxa"/>
            <w:shd w:val="clear" w:color="auto" w:fill="EEEEEE"/>
          </w:tcPr>
          <w:p w14:paraId="4BC6AB73"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If relevant, consider translating estimates of relative risk into absolute risk for a meaningful time period</w:t>
            </w:r>
          </w:p>
        </w:tc>
        <w:tc>
          <w:tcPr>
            <w:tcW w:w="1077" w:type="dxa"/>
            <w:shd w:val="clear" w:color="auto" w:fill="EEEEEE"/>
          </w:tcPr>
          <w:p w14:paraId="326BA5CA" w14:textId="2B1BECDF" w:rsidR="00D8098C" w:rsidRPr="00DE7C29" w:rsidRDefault="00600578"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Not applicable.</w:t>
            </w:r>
          </w:p>
        </w:tc>
        <w:tc>
          <w:tcPr>
            <w:tcW w:w="4304" w:type="dxa"/>
            <w:shd w:val="clear" w:color="auto" w:fill="EEEEEE"/>
          </w:tcPr>
          <w:p w14:paraId="4A2216FF"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00F87C74" w14:textId="30F32A00" w:rsidTr="00600578">
        <w:tc>
          <w:tcPr>
            <w:tcW w:w="587" w:type="dxa"/>
            <w:shd w:val="clear" w:color="auto" w:fill="auto"/>
          </w:tcPr>
          <w:p w14:paraId="2CDE5DE6"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15" w:type="dxa"/>
            <w:shd w:val="clear" w:color="auto" w:fill="auto"/>
          </w:tcPr>
          <w:p w14:paraId="69C50E8E"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d)</w:t>
            </w:r>
          </w:p>
        </w:tc>
        <w:tc>
          <w:tcPr>
            <w:tcW w:w="6707" w:type="dxa"/>
            <w:shd w:val="clear" w:color="auto" w:fill="auto"/>
          </w:tcPr>
          <w:p w14:paraId="47CC3ACC"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Consider plots to visualize results (e.g. forest plot, scatterplot of associations between genetic variants and outcome versus between genetic variants and exposure)</w:t>
            </w:r>
          </w:p>
        </w:tc>
        <w:tc>
          <w:tcPr>
            <w:tcW w:w="1077" w:type="dxa"/>
          </w:tcPr>
          <w:p w14:paraId="777DAC23" w14:textId="20394368" w:rsidR="00D8098C" w:rsidRPr="00DE7C29" w:rsidRDefault="00600578"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8-9</w:t>
            </w:r>
          </w:p>
        </w:tc>
        <w:tc>
          <w:tcPr>
            <w:tcW w:w="4304" w:type="dxa"/>
          </w:tcPr>
          <w:p w14:paraId="7B9F0A4D" w14:textId="14B00166" w:rsidR="00D8098C" w:rsidRPr="00600578" w:rsidRDefault="00600578"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Figure2</w:t>
            </w:r>
          </w:p>
        </w:tc>
      </w:tr>
      <w:tr w:rsidR="00D8098C" w:rsidRPr="00B853C6" w14:paraId="62E6DFEA" w14:textId="107C6F5B" w:rsidTr="00600578">
        <w:tc>
          <w:tcPr>
            <w:tcW w:w="587" w:type="dxa"/>
            <w:shd w:val="clear" w:color="auto" w:fill="EEEEEE"/>
          </w:tcPr>
          <w:p w14:paraId="57CB2789"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12</w:t>
            </w:r>
          </w:p>
        </w:tc>
        <w:tc>
          <w:tcPr>
            <w:tcW w:w="1815" w:type="dxa"/>
            <w:shd w:val="clear" w:color="auto" w:fill="EEEEEE"/>
          </w:tcPr>
          <w:p w14:paraId="27B891DB"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Assessment of assumptions</w:t>
            </w:r>
          </w:p>
        </w:tc>
        <w:tc>
          <w:tcPr>
            <w:tcW w:w="6707" w:type="dxa"/>
            <w:shd w:val="clear" w:color="auto" w:fill="EEEEEE"/>
          </w:tcPr>
          <w:p w14:paraId="6EC050C1"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1077" w:type="dxa"/>
            <w:shd w:val="clear" w:color="auto" w:fill="EEEEEE"/>
          </w:tcPr>
          <w:p w14:paraId="3871A389"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4304" w:type="dxa"/>
            <w:shd w:val="clear" w:color="auto" w:fill="EEEEEE"/>
          </w:tcPr>
          <w:p w14:paraId="10C8ADE2"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48EE0AFA" w14:textId="55C0BF1C" w:rsidTr="00600578">
        <w:tc>
          <w:tcPr>
            <w:tcW w:w="587" w:type="dxa"/>
            <w:shd w:val="clear" w:color="auto" w:fill="auto"/>
          </w:tcPr>
          <w:p w14:paraId="4E29121D"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15" w:type="dxa"/>
            <w:shd w:val="clear" w:color="auto" w:fill="auto"/>
          </w:tcPr>
          <w:p w14:paraId="18A8B0EA"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6707" w:type="dxa"/>
            <w:shd w:val="clear" w:color="auto" w:fill="auto"/>
          </w:tcPr>
          <w:p w14:paraId="1A97B456"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Report the assessment of the validity of the assumptions</w:t>
            </w:r>
          </w:p>
        </w:tc>
        <w:tc>
          <w:tcPr>
            <w:tcW w:w="1077" w:type="dxa"/>
          </w:tcPr>
          <w:p w14:paraId="6E2D56F0" w14:textId="45BCF2D5" w:rsidR="00D8098C" w:rsidRPr="00DE7C29" w:rsidRDefault="00600578"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9-10</w:t>
            </w:r>
          </w:p>
        </w:tc>
        <w:tc>
          <w:tcPr>
            <w:tcW w:w="4304" w:type="dxa"/>
          </w:tcPr>
          <w:p w14:paraId="09772A2B" w14:textId="77777777" w:rsidR="00600578" w:rsidRPr="00600578" w:rsidRDefault="00600578" w:rsidP="00600578">
            <w:pPr>
              <w:spacing w:beforeLines="40" w:before="96" w:afterLines="40" w:after="96" w:line="24" w:lineRule="atLeast"/>
              <w:rPr>
                <w:rFonts w:eastAsia="Times New Roman"/>
                <w:sz w:val="18"/>
                <w:szCs w:val="18"/>
                <w:lang w:val="en-GB" w:eastAsia="en-GB"/>
              </w:rPr>
            </w:pPr>
            <w:r w:rsidRPr="00600578">
              <w:rPr>
                <w:rFonts w:eastAsia="Times New Roman"/>
                <w:sz w:val="18"/>
                <w:szCs w:val="18"/>
                <w:lang w:val="en-GB" w:eastAsia="en-GB"/>
              </w:rPr>
              <w:t>We validated our findings using summary GWAS data from the FinnGen(R9), UK Biobank, and the Psychiatric Genomics Consortium. Some results could only be derived from a single database and could not be validated; these limitations will be discussed in the discussion section.</w:t>
            </w:r>
          </w:p>
          <w:p w14:paraId="5E7081D1" w14:textId="3B996406" w:rsidR="00D8098C" w:rsidRDefault="00600578" w:rsidP="00600578">
            <w:pPr>
              <w:spacing w:beforeLines="40" w:before="96" w:afterLines="40" w:after="96" w:line="24" w:lineRule="atLeast"/>
              <w:rPr>
                <w:rFonts w:eastAsia="Times New Roman"/>
                <w:sz w:val="18"/>
                <w:szCs w:val="18"/>
                <w:lang w:val="en-GB" w:eastAsia="en-GB"/>
              </w:rPr>
            </w:pPr>
            <w:r w:rsidRPr="00600578">
              <w:rPr>
                <w:rFonts w:eastAsia="Times New Roman"/>
                <w:sz w:val="18"/>
                <w:szCs w:val="18"/>
                <w:lang w:val="en-GB" w:eastAsia="en-GB"/>
              </w:rPr>
              <w:t xml:space="preserve">Consistent results were observed across the FinnGen, UKB, PGC, and other GWAS datasets, with both the common effect model and random effects model showing the same trends for anxiety </w:t>
            </w:r>
            <w:r w:rsidRPr="00600578">
              <w:rPr>
                <w:rFonts w:eastAsia="Times New Roman"/>
                <w:sz w:val="18"/>
                <w:szCs w:val="18"/>
                <w:lang w:val="en-GB" w:eastAsia="en-GB"/>
              </w:rPr>
              <w:lastRenderedPageBreak/>
              <w:t>disorders(FinnGen: OR = 0.81, 95% CI = [0.76, 0.87], UKB: OR = 0.92, 95% CI = [0.91, 0.92], Common Effect Model: OR = 0.92, 95% CI = [0.91, 0.92], Random Effects Model: OR = 0.87, 95% CI = [0.77, 0.98]), autism(FinnGen: OR = 0.42, 95% CI = [0.32, 0.54], PGC: OR = 0.71, 95% CI = [0.58, 0.87], Common Effect Model: OR = 0.59, 95% CI = [0.50, 0.69], Random Effects Model: OR = 0.55, 95% CI = [0.32, 0.93]), and schizophrenia (FinnGen: OR = 0.65, 95% CI = [0.56, 0.76], Sakaue S: OR = 0.78, 95% CI = [0.76, 0.80], Common Effect Model: OR = 0.77, 95% CI = [0.76, 0.79], Random Effects Model: OR = 0.72, 95% CI = [0.61, 0.86]). For bipolar disorder, significant results were found in Hou L’s study (Hou L: OR = 0.90, 95% CI = [0.88, 0.93]) but not in Stahl, E’s study (Stahl E: OR = 0.93, 95% CI = [0.81, 1.05]), however, both fixed-effects and random-effects models exhibited the same trends, showing that GLP-1R expression reduces the risk of bipolar disorder (Common Effect Model: OR = 0.91, 95% CI = [0.88, 0.94]; Random Effects Model: OR = 0.91, 95% CI = [0.88, 0.94]). Therefore, we conclude that GLP-1RA reduces the risk of anxiety disorders, autism, schizophrenia, and bipolar disorder.</w:t>
            </w:r>
          </w:p>
        </w:tc>
      </w:tr>
      <w:tr w:rsidR="00D8098C" w:rsidRPr="00B853C6" w14:paraId="7BDA55CD" w14:textId="6465618D" w:rsidTr="00600578">
        <w:tc>
          <w:tcPr>
            <w:tcW w:w="587" w:type="dxa"/>
            <w:shd w:val="clear" w:color="auto" w:fill="EEEEEE"/>
          </w:tcPr>
          <w:p w14:paraId="6F27FA73"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15" w:type="dxa"/>
            <w:shd w:val="clear" w:color="auto" w:fill="EEEEEE"/>
          </w:tcPr>
          <w:p w14:paraId="6BC0019D"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6707" w:type="dxa"/>
            <w:shd w:val="clear" w:color="auto" w:fill="EEEEEE"/>
          </w:tcPr>
          <w:p w14:paraId="400ADD58"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 xml:space="preserve">Report any additional statistics (e.g., assessments of heterogeneity </w:t>
            </w:r>
            <w:r w:rsidRPr="00A1236D">
              <w:rPr>
                <w:rFonts w:eastAsia="Times New Roman"/>
                <w:sz w:val="18"/>
                <w:szCs w:val="18"/>
                <w:lang w:eastAsia="en-GB"/>
              </w:rPr>
              <w:t>across genetic variants</w:t>
            </w:r>
            <w:r w:rsidRPr="00A1236D">
              <w:rPr>
                <w:rFonts w:eastAsia="Times New Roman"/>
                <w:sz w:val="18"/>
                <w:szCs w:val="18"/>
                <w:lang w:val="en-GB" w:eastAsia="en-GB"/>
              </w:rPr>
              <w:t xml:space="preserve">, such as </w:t>
            </w:r>
            <w:r w:rsidRPr="005A0D0D">
              <w:rPr>
                <w:rFonts w:eastAsia="Times New Roman"/>
                <w:i/>
                <w:sz w:val="18"/>
                <w:szCs w:val="18"/>
                <w:lang w:val="en-GB" w:eastAsia="en-GB"/>
              </w:rPr>
              <w:t>I</w:t>
            </w:r>
            <w:r w:rsidRPr="005A0D0D">
              <w:rPr>
                <w:rFonts w:eastAsia="Times New Roman"/>
                <w:i/>
                <w:sz w:val="18"/>
                <w:szCs w:val="18"/>
                <w:vertAlign w:val="superscript"/>
                <w:lang w:val="en-GB" w:eastAsia="en-GB"/>
              </w:rPr>
              <w:t>2</w:t>
            </w:r>
            <w:r w:rsidRPr="00A1236D">
              <w:rPr>
                <w:rFonts w:eastAsia="Times New Roman"/>
                <w:sz w:val="18"/>
                <w:szCs w:val="18"/>
                <w:lang w:val="en-GB" w:eastAsia="en-GB"/>
              </w:rPr>
              <w:t>, Q statistic or E-value)</w:t>
            </w:r>
          </w:p>
        </w:tc>
        <w:tc>
          <w:tcPr>
            <w:tcW w:w="1077" w:type="dxa"/>
            <w:shd w:val="clear" w:color="auto" w:fill="EEEEEE"/>
          </w:tcPr>
          <w:p w14:paraId="2D6E39C6" w14:textId="7719EEC6" w:rsidR="00D8098C" w:rsidRPr="00DE7C29" w:rsidRDefault="00600578"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9</w:t>
            </w:r>
          </w:p>
        </w:tc>
        <w:tc>
          <w:tcPr>
            <w:tcW w:w="4304" w:type="dxa"/>
            <w:shd w:val="clear" w:color="auto" w:fill="EEEEEE"/>
          </w:tcPr>
          <w:p w14:paraId="205C4ED8" w14:textId="6FECA5DD" w:rsidR="00D8098C" w:rsidRDefault="00600578" w:rsidP="00426603">
            <w:pPr>
              <w:spacing w:beforeLines="40" w:before="96" w:afterLines="40" w:after="96" w:line="24" w:lineRule="atLeast"/>
              <w:rPr>
                <w:rFonts w:eastAsia="Times New Roman"/>
                <w:sz w:val="18"/>
                <w:szCs w:val="18"/>
                <w:lang w:val="en-GB" w:eastAsia="en-GB"/>
              </w:rPr>
            </w:pPr>
            <w:r w:rsidRPr="00600578">
              <w:rPr>
                <w:rFonts w:eastAsia="Times New Roman"/>
                <w:sz w:val="18"/>
                <w:szCs w:val="18"/>
                <w:lang w:val="en-GB" w:eastAsia="en-GB"/>
              </w:rPr>
              <w:t>The Cochrane Q statistics and MR-Egger intercept test indicated no statistical heterogeneity or horizontal pleiotropy in the IVW-MR analysis (Supplementary Table S5 and S6).</w:t>
            </w:r>
          </w:p>
        </w:tc>
      </w:tr>
      <w:tr w:rsidR="00D8098C" w:rsidRPr="00B853C6" w14:paraId="23F1C43D" w14:textId="6396118D" w:rsidTr="00600578">
        <w:tc>
          <w:tcPr>
            <w:tcW w:w="587" w:type="dxa"/>
            <w:shd w:val="clear" w:color="auto" w:fill="auto"/>
          </w:tcPr>
          <w:p w14:paraId="021A9BB4"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13</w:t>
            </w:r>
          </w:p>
        </w:tc>
        <w:tc>
          <w:tcPr>
            <w:tcW w:w="1815" w:type="dxa"/>
            <w:shd w:val="clear" w:color="auto" w:fill="auto"/>
          </w:tcPr>
          <w:p w14:paraId="51D3F02D"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Sensitivity analyses and additional analyses</w:t>
            </w:r>
          </w:p>
        </w:tc>
        <w:tc>
          <w:tcPr>
            <w:tcW w:w="6707" w:type="dxa"/>
            <w:shd w:val="clear" w:color="auto" w:fill="auto"/>
          </w:tcPr>
          <w:p w14:paraId="4AB1D97F"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1077" w:type="dxa"/>
          </w:tcPr>
          <w:p w14:paraId="50481D19"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4304" w:type="dxa"/>
          </w:tcPr>
          <w:p w14:paraId="0F2C43F0" w14:textId="77777777" w:rsidR="00D8098C" w:rsidRDefault="00D8098C" w:rsidP="00426603">
            <w:pPr>
              <w:spacing w:beforeLines="40" w:before="96" w:afterLines="40" w:after="96" w:line="24" w:lineRule="atLeast"/>
              <w:rPr>
                <w:rFonts w:eastAsia="Cambria"/>
                <w:sz w:val="18"/>
                <w:szCs w:val="18"/>
                <w:lang w:val="en-GB" w:eastAsia="en-US"/>
              </w:rPr>
            </w:pPr>
          </w:p>
        </w:tc>
      </w:tr>
      <w:tr w:rsidR="00600578" w:rsidRPr="00B853C6" w14:paraId="1ABE2F1D" w14:textId="316B0F58" w:rsidTr="00600578">
        <w:tc>
          <w:tcPr>
            <w:tcW w:w="587" w:type="dxa"/>
            <w:shd w:val="clear" w:color="auto" w:fill="EEEEEE"/>
          </w:tcPr>
          <w:p w14:paraId="0D022F9B" w14:textId="77777777" w:rsidR="00600578" w:rsidRPr="00F0337F" w:rsidRDefault="00600578" w:rsidP="00600578">
            <w:pPr>
              <w:spacing w:beforeLines="40" w:before="96" w:afterLines="40" w:after="96" w:line="24" w:lineRule="atLeast"/>
              <w:jc w:val="right"/>
              <w:rPr>
                <w:rFonts w:eastAsia="Cambria"/>
                <w:b/>
                <w:bCs/>
                <w:sz w:val="18"/>
                <w:szCs w:val="18"/>
                <w:lang w:val="en-GB" w:eastAsia="en-US"/>
              </w:rPr>
            </w:pPr>
          </w:p>
        </w:tc>
        <w:tc>
          <w:tcPr>
            <w:tcW w:w="1815" w:type="dxa"/>
            <w:shd w:val="clear" w:color="auto" w:fill="EEEEEE"/>
          </w:tcPr>
          <w:p w14:paraId="27E8FFD0" w14:textId="77777777" w:rsidR="00600578" w:rsidRPr="00F0337F" w:rsidRDefault="00600578" w:rsidP="00600578">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6707" w:type="dxa"/>
            <w:shd w:val="clear" w:color="auto" w:fill="EEEEEE"/>
          </w:tcPr>
          <w:p w14:paraId="30AA9260" w14:textId="77777777" w:rsidR="00600578" w:rsidRPr="00A1236D" w:rsidRDefault="00600578" w:rsidP="00600578">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Report any sensitivity analyses to assess the robustness of the main results to violations of the assumptions</w:t>
            </w:r>
          </w:p>
        </w:tc>
        <w:tc>
          <w:tcPr>
            <w:tcW w:w="1077" w:type="dxa"/>
            <w:shd w:val="clear" w:color="auto" w:fill="EEEEEE"/>
          </w:tcPr>
          <w:p w14:paraId="39DB2F0E" w14:textId="48FA9B62" w:rsidR="00600578" w:rsidRPr="00A1236D" w:rsidRDefault="00600578" w:rsidP="00600578">
            <w:pPr>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9</w:t>
            </w:r>
          </w:p>
        </w:tc>
        <w:tc>
          <w:tcPr>
            <w:tcW w:w="4304" w:type="dxa"/>
            <w:shd w:val="clear" w:color="auto" w:fill="EEEEEE"/>
          </w:tcPr>
          <w:p w14:paraId="73386906" w14:textId="5127D13F" w:rsidR="00600578" w:rsidRDefault="00600578" w:rsidP="00600578">
            <w:pPr>
              <w:spacing w:beforeLines="40" w:before="96" w:afterLines="40" w:after="96" w:line="24" w:lineRule="atLeast"/>
              <w:rPr>
                <w:rFonts w:eastAsia="Times New Roman"/>
                <w:sz w:val="18"/>
                <w:szCs w:val="18"/>
                <w:lang w:val="en-GB" w:eastAsia="en-GB"/>
              </w:rPr>
            </w:pPr>
            <w:r w:rsidRPr="00600578">
              <w:rPr>
                <w:rFonts w:eastAsia="Times New Roman"/>
                <w:sz w:val="18"/>
                <w:szCs w:val="18"/>
                <w:lang w:val="en-GB" w:eastAsia="en-GB"/>
              </w:rPr>
              <w:t>The Cochrane Q statistics and MR-Egger intercept test indicated no statistical heterogeneity or horizontal pleiotropy in the IVW-MR analysis (Supplementary Table S5 and S6).</w:t>
            </w:r>
          </w:p>
        </w:tc>
      </w:tr>
      <w:tr w:rsidR="00600578" w:rsidRPr="00B853C6" w14:paraId="3696A9F1" w14:textId="63B96DDA" w:rsidTr="00600578">
        <w:tc>
          <w:tcPr>
            <w:tcW w:w="587" w:type="dxa"/>
            <w:shd w:val="clear" w:color="auto" w:fill="auto"/>
          </w:tcPr>
          <w:p w14:paraId="0D2234E5" w14:textId="77777777" w:rsidR="00600578" w:rsidRPr="00F0337F" w:rsidRDefault="00600578" w:rsidP="00600578">
            <w:pPr>
              <w:spacing w:beforeLines="40" w:before="96" w:afterLines="40" w:after="96" w:line="24" w:lineRule="atLeast"/>
              <w:jc w:val="right"/>
              <w:rPr>
                <w:rFonts w:eastAsia="Cambria"/>
                <w:b/>
                <w:bCs/>
                <w:sz w:val="18"/>
                <w:szCs w:val="18"/>
                <w:lang w:val="en-GB" w:eastAsia="en-US"/>
              </w:rPr>
            </w:pPr>
          </w:p>
        </w:tc>
        <w:tc>
          <w:tcPr>
            <w:tcW w:w="1815" w:type="dxa"/>
            <w:shd w:val="clear" w:color="auto" w:fill="auto"/>
          </w:tcPr>
          <w:p w14:paraId="7453E1FF" w14:textId="77777777" w:rsidR="00600578" w:rsidRPr="00F0337F" w:rsidRDefault="00600578" w:rsidP="00600578">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6707" w:type="dxa"/>
            <w:shd w:val="clear" w:color="auto" w:fill="auto"/>
          </w:tcPr>
          <w:p w14:paraId="5111E54D" w14:textId="77777777" w:rsidR="00600578" w:rsidRPr="00A1236D" w:rsidRDefault="00600578" w:rsidP="00600578">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Report results from other sensitivity analyses or additional analyses</w:t>
            </w:r>
          </w:p>
        </w:tc>
        <w:tc>
          <w:tcPr>
            <w:tcW w:w="1077" w:type="dxa"/>
          </w:tcPr>
          <w:p w14:paraId="447F5BF5" w14:textId="52CC481E" w:rsidR="00600578" w:rsidRPr="00A1236D" w:rsidRDefault="00600578" w:rsidP="00600578">
            <w:pPr>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9</w:t>
            </w:r>
          </w:p>
        </w:tc>
        <w:tc>
          <w:tcPr>
            <w:tcW w:w="4304" w:type="dxa"/>
          </w:tcPr>
          <w:p w14:paraId="5BB83735" w14:textId="01F798A5" w:rsidR="00600578" w:rsidRDefault="00600578" w:rsidP="00600578">
            <w:pPr>
              <w:spacing w:beforeLines="40" w:before="96" w:afterLines="40" w:after="96" w:line="24" w:lineRule="atLeast"/>
              <w:rPr>
                <w:rFonts w:eastAsia="Times New Roman"/>
                <w:sz w:val="18"/>
                <w:szCs w:val="18"/>
                <w:lang w:val="en-GB" w:eastAsia="en-GB"/>
              </w:rPr>
            </w:pPr>
            <w:r w:rsidRPr="00600578">
              <w:rPr>
                <w:rFonts w:eastAsia="Times New Roman"/>
                <w:sz w:val="18"/>
                <w:szCs w:val="18"/>
                <w:lang w:val="en-GB" w:eastAsia="en-GB"/>
              </w:rPr>
              <w:t>The Cochrane Q statistics and MR-Egger intercept test indicated no statistical heterogeneity or horizontal pleiotropy in the IVW-MR analysis (Supplementary Table S5 and S6).</w:t>
            </w:r>
          </w:p>
        </w:tc>
      </w:tr>
      <w:tr w:rsidR="00600578" w:rsidRPr="00B853C6" w14:paraId="1650BAB8" w14:textId="79D11DE7" w:rsidTr="00600578">
        <w:tc>
          <w:tcPr>
            <w:tcW w:w="587" w:type="dxa"/>
            <w:shd w:val="clear" w:color="auto" w:fill="EEEEEE"/>
          </w:tcPr>
          <w:p w14:paraId="4D025CC4" w14:textId="77777777" w:rsidR="00600578" w:rsidRPr="00F0337F" w:rsidRDefault="00600578" w:rsidP="00600578">
            <w:pPr>
              <w:spacing w:beforeLines="40" w:before="96" w:afterLines="40" w:after="96" w:line="24" w:lineRule="atLeast"/>
              <w:jc w:val="right"/>
              <w:rPr>
                <w:rFonts w:eastAsia="Cambria"/>
                <w:b/>
                <w:bCs/>
                <w:sz w:val="18"/>
                <w:szCs w:val="18"/>
                <w:lang w:val="en-GB" w:eastAsia="en-US"/>
              </w:rPr>
            </w:pPr>
          </w:p>
        </w:tc>
        <w:tc>
          <w:tcPr>
            <w:tcW w:w="1815" w:type="dxa"/>
            <w:shd w:val="clear" w:color="auto" w:fill="EEEEEE"/>
          </w:tcPr>
          <w:p w14:paraId="6EAD995A" w14:textId="77777777" w:rsidR="00600578" w:rsidRPr="00F0337F" w:rsidRDefault="00600578" w:rsidP="00600578">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c)</w:t>
            </w:r>
          </w:p>
        </w:tc>
        <w:tc>
          <w:tcPr>
            <w:tcW w:w="6707" w:type="dxa"/>
            <w:shd w:val="clear" w:color="auto" w:fill="EEEEEE"/>
          </w:tcPr>
          <w:p w14:paraId="14E0FCD9" w14:textId="77777777" w:rsidR="00600578" w:rsidRPr="00A1236D" w:rsidRDefault="00600578" w:rsidP="00600578">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Report any assessment of direction of causal relationship (e.g., bidirectional MR)</w:t>
            </w:r>
          </w:p>
        </w:tc>
        <w:tc>
          <w:tcPr>
            <w:tcW w:w="1077" w:type="dxa"/>
            <w:shd w:val="clear" w:color="auto" w:fill="EEEEEE"/>
          </w:tcPr>
          <w:p w14:paraId="03D1A085" w14:textId="42F51D64" w:rsidR="00600578" w:rsidRPr="00600578" w:rsidRDefault="00600578" w:rsidP="00600578">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9</w:t>
            </w:r>
          </w:p>
        </w:tc>
        <w:tc>
          <w:tcPr>
            <w:tcW w:w="4304" w:type="dxa"/>
            <w:shd w:val="clear" w:color="auto" w:fill="EEEEEE"/>
          </w:tcPr>
          <w:p w14:paraId="66751F07" w14:textId="7EA2D96A" w:rsidR="00600578" w:rsidRDefault="00600578" w:rsidP="00600578">
            <w:pPr>
              <w:spacing w:beforeLines="40" w:before="96" w:afterLines="40" w:after="96" w:line="24" w:lineRule="atLeast"/>
              <w:rPr>
                <w:rFonts w:eastAsia="Times New Roman"/>
                <w:sz w:val="18"/>
                <w:szCs w:val="18"/>
                <w:lang w:val="en-GB" w:eastAsia="en-GB"/>
              </w:rPr>
            </w:pPr>
            <w:r w:rsidRPr="00600578">
              <w:rPr>
                <w:rFonts w:eastAsia="Times New Roman"/>
                <w:sz w:val="18"/>
                <w:szCs w:val="18"/>
                <w:lang w:val="en-GB" w:eastAsia="en-GB"/>
              </w:rPr>
              <w:t>There was no evidence supporting an association between GLP-1R gene expression and anorexia nervosa, broad depression, MDD, and suicide or other intentional self-harm. All the detailed results of these associations are provided in Supplementary Table S3. The Cochrane Q statistics and MR-Egger intercept test indicated no statistical heterogeneity or horizontal pleiotropy in the IVW-MR analysis (Supplementary Table S5 and S6).</w:t>
            </w:r>
          </w:p>
        </w:tc>
      </w:tr>
      <w:tr w:rsidR="008E0600" w:rsidRPr="00B853C6" w14:paraId="2034ACF7" w14:textId="19A8CB33" w:rsidTr="00600578">
        <w:tc>
          <w:tcPr>
            <w:tcW w:w="587" w:type="dxa"/>
            <w:shd w:val="clear" w:color="auto" w:fill="auto"/>
          </w:tcPr>
          <w:p w14:paraId="3217ECED" w14:textId="77777777" w:rsidR="008E0600" w:rsidRPr="00F0337F" w:rsidRDefault="008E0600" w:rsidP="008E0600">
            <w:pPr>
              <w:spacing w:beforeLines="40" w:before="96" w:afterLines="40" w:after="96" w:line="24" w:lineRule="atLeast"/>
              <w:jc w:val="right"/>
              <w:rPr>
                <w:rFonts w:eastAsia="Cambria"/>
                <w:b/>
                <w:bCs/>
                <w:sz w:val="18"/>
                <w:szCs w:val="18"/>
                <w:lang w:val="en-GB" w:eastAsia="en-US"/>
              </w:rPr>
            </w:pPr>
          </w:p>
        </w:tc>
        <w:tc>
          <w:tcPr>
            <w:tcW w:w="1815" w:type="dxa"/>
            <w:shd w:val="clear" w:color="auto" w:fill="auto"/>
          </w:tcPr>
          <w:p w14:paraId="5AE90FE5" w14:textId="77777777" w:rsidR="008E0600" w:rsidRPr="00F0337F" w:rsidRDefault="008E0600" w:rsidP="008E0600">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d)</w:t>
            </w:r>
          </w:p>
        </w:tc>
        <w:tc>
          <w:tcPr>
            <w:tcW w:w="6707" w:type="dxa"/>
            <w:shd w:val="clear" w:color="auto" w:fill="auto"/>
          </w:tcPr>
          <w:p w14:paraId="3A13AF31" w14:textId="77777777" w:rsidR="008E0600" w:rsidRPr="00A1236D" w:rsidRDefault="008E0600" w:rsidP="008E0600">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When relevant, report and compare with estimates from non-MR analyses</w:t>
            </w:r>
          </w:p>
        </w:tc>
        <w:tc>
          <w:tcPr>
            <w:tcW w:w="1077" w:type="dxa"/>
          </w:tcPr>
          <w:p w14:paraId="528F9F4C" w14:textId="1A39776D" w:rsidR="008E0600" w:rsidRPr="00A1236D" w:rsidRDefault="008E0600" w:rsidP="008E0600">
            <w:pPr>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Not applicable.</w:t>
            </w:r>
          </w:p>
        </w:tc>
        <w:tc>
          <w:tcPr>
            <w:tcW w:w="4304" w:type="dxa"/>
          </w:tcPr>
          <w:p w14:paraId="7B882C5B" w14:textId="77777777" w:rsidR="008E0600" w:rsidRDefault="008E0600" w:rsidP="008E0600">
            <w:pPr>
              <w:spacing w:beforeLines="40" w:before="96" w:afterLines="40" w:after="96" w:line="24" w:lineRule="atLeast"/>
              <w:rPr>
                <w:rFonts w:eastAsia="Times New Roman"/>
                <w:sz w:val="18"/>
                <w:szCs w:val="18"/>
                <w:lang w:val="en-GB" w:eastAsia="en-GB"/>
              </w:rPr>
            </w:pPr>
          </w:p>
        </w:tc>
      </w:tr>
      <w:tr w:rsidR="008E0600" w:rsidRPr="00B853C6" w14:paraId="3E7CFBFC" w14:textId="3F99A047" w:rsidTr="00600578">
        <w:tc>
          <w:tcPr>
            <w:tcW w:w="587" w:type="dxa"/>
            <w:tcBorders>
              <w:bottom w:val="single" w:sz="6" w:space="0" w:color="7F7F7F"/>
            </w:tcBorders>
            <w:shd w:val="clear" w:color="auto" w:fill="EEEEEE"/>
          </w:tcPr>
          <w:p w14:paraId="1FDC421F" w14:textId="77777777" w:rsidR="008E0600" w:rsidRPr="00F0337F" w:rsidRDefault="008E0600" w:rsidP="008E0600">
            <w:pPr>
              <w:spacing w:beforeLines="40" w:before="96" w:afterLines="40" w:after="96" w:line="24" w:lineRule="atLeast"/>
              <w:jc w:val="right"/>
              <w:rPr>
                <w:rFonts w:eastAsia="Cambria"/>
                <w:b/>
                <w:bCs/>
                <w:sz w:val="18"/>
                <w:szCs w:val="18"/>
                <w:lang w:val="en-GB" w:eastAsia="en-US"/>
              </w:rPr>
            </w:pPr>
          </w:p>
        </w:tc>
        <w:tc>
          <w:tcPr>
            <w:tcW w:w="1815" w:type="dxa"/>
            <w:tcBorders>
              <w:bottom w:val="single" w:sz="6" w:space="0" w:color="7F7F7F"/>
            </w:tcBorders>
            <w:shd w:val="clear" w:color="auto" w:fill="EEEEEE"/>
          </w:tcPr>
          <w:p w14:paraId="5FE15030" w14:textId="77777777" w:rsidR="008E0600" w:rsidRPr="00F0337F" w:rsidRDefault="008E0600" w:rsidP="008E0600">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e)</w:t>
            </w:r>
          </w:p>
        </w:tc>
        <w:tc>
          <w:tcPr>
            <w:tcW w:w="6707" w:type="dxa"/>
            <w:tcBorders>
              <w:bottom w:val="single" w:sz="6" w:space="0" w:color="7F7F7F"/>
            </w:tcBorders>
            <w:shd w:val="clear" w:color="auto" w:fill="EEEEEE"/>
          </w:tcPr>
          <w:p w14:paraId="61CE32BA" w14:textId="77777777" w:rsidR="008E0600" w:rsidRPr="00A1236D" w:rsidRDefault="008E0600" w:rsidP="008E0600">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Consider additional plots to visualize results (e.g., leave-one-out analyses)</w:t>
            </w:r>
          </w:p>
        </w:tc>
        <w:tc>
          <w:tcPr>
            <w:tcW w:w="1077" w:type="dxa"/>
            <w:tcBorders>
              <w:bottom w:val="single" w:sz="6" w:space="0" w:color="7F7F7F"/>
            </w:tcBorders>
            <w:shd w:val="clear" w:color="auto" w:fill="EEEEEE"/>
          </w:tcPr>
          <w:p w14:paraId="33892A62" w14:textId="442576F4" w:rsidR="008E0600" w:rsidRPr="00A1236D" w:rsidRDefault="008E0600" w:rsidP="008E0600">
            <w:pPr>
              <w:spacing w:beforeLines="40" w:before="96" w:afterLines="40" w:after="96" w:line="24" w:lineRule="atLeast"/>
              <w:rPr>
                <w:rFonts w:eastAsia="Times New Roman"/>
                <w:sz w:val="18"/>
                <w:szCs w:val="18"/>
                <w:lang w:val="en-GB" w:eastAsia="en-GB"/>
              </w:rPr>
            </w:pPr>
            <w:r>
              <w:rPr>
                <w:rFonts w:eastAsiaTheme="minorEastAsia" w:hint="eastAsia"/>
                <w:sz w:val="18"/>
                <w:szCs w:val="18"/>
                <w:lang w:val="en-GB" w:eastAsia="zh-CN"/>
              </w:rPr>
              <w:t>9</w:t>
            </w:r>
          </w:p>
        </w:tc>
        <w:tc>
          <w:tcPr>
            <w:tcW w:w="4304" w:type="dxa"/>
            <w:tcBorders>
              <w:bottom w:val="single" w:sz="6" w:space="0" w:color="7F7F7F"/>
            </w:tcBorders>
            <w:shd w:val="clear" w:color="auto" w:fill="EEEEEE"/>
          </w:tcPr>
          <w:p w14:paraId="03A6AB93" w14:textId="6C514A80" w:rsidR="008E0600" w:rsidRDefault="008E0600" w:rsidP="008E0600">
            <w:pPr>
              <w:spacing w:beforeLines="40" w:before="96" w:afterLines="40" w:after="96" w:line="24" w:lineRule="atLeast"/>
              <w:rPr>
                <w:rFonts w:eastAsia="Times New Roman"/>
                <w:sz w:val="18"/>
                <w:szCs w:val="18"/>
                <w:lang w:val="en-GB" w:eastAsia="en-GB"/>
              </w:rPr>
            </w:pPr>
            <w:r w:rsidRPr="00600578">
              <w:rPr>
                <w:rFonts w:eastAsia="Times New Roman"/>
                <w:sz w:val="18"/>
                <w:szCs w:val="18"/>
                <w:lang w:val="en-GB" w:eastAsia="en-GB"/>
              </w:rPr>
              <w:t>There was no evidence supporting an association between GLP-1R gene expression and anorexia nervosa, broad depression, MDD, and suicide or other intentional self-harm. All the detailed results of these associations are provided in Supplementary Table S3. The Cochrane Q statistics and MR-Egger intercept test indicated no statistical heterogeneity or horizontal pleiotropy in the IVW-MR analysis (Supplementary Table S5 and S6).</w:t>
            </w:r>
          </w:p>
        </w:tc>
      </w:tr>
      <w:tr w:rsidR="008E0600" w:rsidRPr="00B853C6" w14:paraId="5B7D2773" w14:textId="7D8D257A" w:rsidTr="00600578">
        <w:tc>
          <w:tcPr>
            <w:tcW w:w="587" w:type="dxa"/>
            <w:tcBorders>
              <w:top w:val="single" w:sz="6" w:space="0" w:color="7F7F7F"/>
            </w:tcBorders>
            <w:shd w:val="clear" w:color="auto" w:fill="auto"/>
          </w:tcPr>
          <w:p w14:paraId="5BDBDA65" w14:textId="77777777" w:rsidR="008E0600" w:rsidRPr="00F0337F" w:rsidRDefault="008E0600" w:rsidP="008E0600">
            <w:pPr>
              <w:spacing w:beforeLines="40" w:before="96" w:afterLines="40" w:after="96" w:line="24" w:lineRule="atLeast"/>
              <w:rPr>
                <w:rFonts w:eastAsia="Times New Roman"/>
                <w:b/>
                <w:bCs/>
                <w:sz w:val="18"/>
                <w:szCs w:val="18"/>
                <w:lang w:val="en-GB" w:eastAsia="en-GB"/>
              </w:rPr>
            </w:pPr>
          </w:p>
        </w:tc>
        <w:tc>
          <w:tcPr>
            <w:tcW w:w="1815" w:type="dxa"/>
            <w:tcBorders>
              <w:top w:val="single" w:sz="6" w:space="0" w:color="7F7F7F"/>
            </w:tcBorders>
            <w:shd w:val="clear" w:color="auto" w:fill="auto"/>
          </w:tcPr>
          <w:p w14:paraId="1C564B75" w14:textId="77777777" w:rsidR="008E0600" w:rsidRPr="00F0337F" w:rsidRDefault="008E0600" w:rsidP="008E0600">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DISCUSSION</w:t>
            </w:r>
          </w:p>
        </w:tc>
        <w:tc>
          <w:tcPr>
            <w:tcW w:w="6707" w:type="dxa"/>
            <w:tcBorders>
              <w:top w:val="single" w:sz="6" w:space="0" w:color="7F7F7F"/>
            </w:tcBorders>
            <w:shd w:val="clear" w:color="auto" w:fill="auto"/>
          </w:tcPr>
          <w:p w14:paraId="35997729" w14:textId="77777777" w:rsidR="008E0600" w:rsidRPr="00A1236D" w:rsidRDefault="008E0600" w:rsidP="008E0600">
            <w:pPr>
              <w:spacing w:beforeLines="40" w:before="96" w:afterLines="40" w:after="96" w:line="24" w:lineRule="atLeast"/>
              <w:rPr>
                <w:rFonts w:eastAsia="Cambria"/>
                <w:sz w:val="18"/>
                <w:szCs w:val="18"/>
                <w:lang w:val="en-GB" w:eastAsia="en-US"/>
              </w:rPr>
            </w:pPr>
          </w:p>
        </w:tc>
        <w:tc>
          <w:tcPr>
            <w:tcW w:w="1077" w:type="dxa"/>
            <w:tcBorders>
              <w:top w:val="single" w:sz="6" w:space="0" w:color="7F7F7F"/>
            </w:tcBorders>
          </w:tcPr>
          <w:p w14:paraId="1AAD7FFB" w14:textId="77777777" w:rsidR="008E0600" w:rsidRPr="00A1236D" w:rsidRDefault="008E0600" w:rsidP="008E0600">
            <w:pPr>
              <w:spacing w:beforeLines="40" w:before="96" w:afterLines="40" w:after="96" w:line="24" w:lineRule="atLeast"/>
              <w:rPr>
                <w:rFonts w:eastAsia="Cambria"/>
                <w:sz w:val="18"/>
                <w:szCs w:val="18"/>
                <w:lang w:val="en-GB" w:eastAsia="en-US"/>
              </w:rPr>
            </w:pPr>
          </w:p>
        </w:tc>
        <w:tc>
          <w:tcPr>
            <w:tcW w:w="4304" w:type="dxa"/>
            <w:tcBorders>
              <w:top w:val="single" w:sz="6" w:space="0" w:color="7F7F7F"/>
            </w:tcBorders>
          </w:tcPr>
          <w:p w14:paraId="2AE3A897" w14:textId="77777777" w:rsidR="008E0600" w:rsidRDefault="008E0600" w:rsidP="008E0600">
            <w:pPr>
              <w:spacing w:beforeLines="40" w:before="96" w:afterLines="40" w:after="96" w:line="24" w:lineRule="atLeast"/>
              <w:rPr>
                <w:rFonts w:eastAsia="Cambria"/>
                <w:sz w:val="18"/>
                <w:szCs w:val="18"/>
                <w:lang w:val="en-GB" w:eastAsia="en-US"/>
              </w:rPr>
            </w:pPr>
          </w:p>
        </w:tc>
      </w:tr>
      <w:tr w:rsidR="008E0600" w:rsidRPr="00B853C6" w14:paraId="1800AF05" w14:textId="4BEA2748" w:rsidTr="00600578">
        <w:tc>
          <w:tcPr>
            <w:tcW w:w="587" w:type="dxa"/>
            <w:shd w:val="clear" w:color="auto" w:fill="EEEEEE"/>
          </w:tcPr>
          <w:p w14:paraId="6B5F5286" w14:textId="77777777" w:rsidR="008E0600" w:rsidRPr="00F0337F" w:rsidRDefault="008E0600" w:rsidP="008E0600">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14</w:t>
            </w:r>
          </w:p>
        </w:tc>
        <w:tc>
          <w:tcPr>
            <w:tcW w:w="1815" w:type="dxa"/>
            <w:shd w:val="clear" w:color="auto" w:fill="EEEEEE"/>
          </w:tcPr>
          <w:p w14:paraId="42EDC029" w14:textId="77777777" w:rsidR="008E0600" w:rsidRPr="00F0337F" w:rsidRDefault="008E0600" w:rsidP="008E0600">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Key results </w:t>
            </w:r>
          </w:p>
        </w:tc>
        <w:tc>
          <w:tcPr>
            <w:tcW w:w="6707" w:type="dxa"/>
            <w:shd w:val="clear" w:color="auto" w:fill="EEEEEE"/>
          </w:tcPr>
          <w:p w14:paraId="35F1CADF" w14:textId="77777777" w:rsidR="008E0600" w:rsidRPr="00A1236D" w:rsidRDefault="008E0600" w:rsidP="008E0600">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Summarize key results with reference to study objectives</w:t>
            </w:r>
          </w:p>
        </w:tc>
        <w:tc>
          <w:tcPr>
            <w:tcW w:w="1077" w:type="dxa"/>
            <w:shd w:val="clear" w:color="auto" w:fill="EEEEEE"/>
          </w:tcPr>
          <w:p w14:paraId="2C7117BF" w14:textId="60DAF761" w:rsidR="008E0600" w:rsidRPr="00E77392" w:rsidRDefault="008E0600" w:rsidP="008E0600">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10-11</w:t>
            </w:r>
          </w:p>
        </w:tc>
        <w:tc>
          <w:tcPr>
            <w:tcW w:w="4304" w:type="dxa"/>
            <w:shd w:val="clear" w:color="auto" w:fill="EEEEEE"/>
          </w:tcPr>
          <w:p w14:paraId="70F1DDE7" w14:textId="7CB61528" w:rsidR="008E0600" w:rsidRDefault="008E0600" w:rsidP="008E0600">
            <w:pPr>
              <w:spacing w:beforeLines="40" w:before="96" w:afterLines="40" w:after="96" w:line="24" w:lineRule="atLeast"/>
              <w:rPr>
                <w:rFonts w:eastAsia="Times New Roman"/>
                <w:sz w:val="18"/>
                <w:szCs w:val="18"/>
                <w:lang w:val="en-GB" w:eastAsia="en-GB"/>
              </w:rPr>
            </w:pPr>
            <w:r w:rsidRPr="008E0600">
              <w:rPr>
                <w:rFonts w:eastAsia="Times New Roman"/>
                <w:sz w:val="18"/>
                <w:szCs w:val="18"/>
                <w:lang w:val="en-GB" w:eastAsia="en-GB"/>
              </w:rPr>
              <w:t xml:space="preserve">We comprehensively analyzed the results from FinnGen, UKB, PGC, and other meta-GWASs studies to explore the causal relationship between GLP-1R agonists and 12 psychiatric disorders. We found that the use of GLP-1RA was associated with a reduced risk of schizophrenia, anxiety disorders, bipolar disorder, bulimia nervosa, PTSD and autism. Notably, consistent results for anxiety disorders, autism, and schizophrenia were observed across multiple databases. Although significant results for bipolar disorder were found in Hou L’s study but not in Stahl E’s study, the combined analysis using both the common effect model and the random effect model indicated that GLP-1R agonists reduce the risk of bipolar disorder. However, there was a slight increase in the risk of OCD with the use of GLP-1R agonists. Additionally, we found that GLP-1R agonists did not increase the risk of anorexia nervosa, broad </w:t>
            </w:r>
            <w:r w:rsidRPr="008E0600">
              <w:rPr>
                <w:rFonts w:eastAsia="Times New Roman"/>
                <w:sz w:val="18"/>
                <w:szCs w:val="18"/>
                <w:lang w:val="en-GB" w:eastAsia="en-GB"/>
              </w:rPr>
              <w:lastRenderedPageBreak/>
              <w:t>depression, major depressive disorder, or suicide and other intentional self-harm.</w:t>
            </w:r>
          </w:p>
        </w:tc>
      </w:tr>
      <w:tr w:rsidR="008E0600" w:rsidRPr="00B853C6" w14:paraId="06BFAFA4" w14:textId="151FB6CE" w:rsidTr="00600578">
        <w:tc>
          <w:tcPr>
            <w:tcW w:w="587" w:type="dxa"/>
            <w:shd w:val="clear" w:color="auto" w:fill="auto"/>
          </w:tcPr>
          <w:p w14:paraId="6D471CC5" w14:textId="77777777" w:rsidR="008E0600" w:rsidRPr="00F0337F" w:rsidRDefault="008E0600" w:rsidP="008E0600">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lastRenderedPageBreak/>
              <w:t>15</w:t>
            </w:r>
          </w:p>
        </w:tc>
        <w:tc>
          <w:tcPr>
            <w:tcW w:w="1815" w:type="dxa"/>
            <w:shd w:val="clear" w:color="auto" w:fill="auto"/>
          </w:tcPr>
          <w:p w14:paraId="5C27961E" w14:textId="77777777" w:rsidR="008E0600" w:rsidRPr="00F0337F" w:rsidRDefault="008E0600" w:rsidP="008E0600">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Limitations</w:t>
            </w:r>
          </w:p>
        </w:tc>
        <w:tc>
          <w:tcPr>
            <w:tcW w:w="6707" w:type="dxa"/>
            <w:shd w:val="clear" w:color="auto" w:fill="auto"/>
          </w:tcPr>
          <w:p w14:paraId="75B6F41B" w14:textId="77777777" w:rsidR="008E0600" w:rsidRPr="00A1236D" w:rsidRDefault="008E0600" w:rsidP="008E0600">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Discuss limitations of the study, taking into account the validity of the IV assumptions, other sources of potential bias, and imprecision. Discuss both direction and magnitude of any potential bias and any efforts to address them</w:t>
            </w:r>
            <w:r w:rsidRPr="00A1236D">
              <w:rPr>
                <w:rFonts w:eastAsia="Times New Roman"/>
                <w:sz w:val="18"/>
                <w:szCs w:val="18"/>
                <w:shd w:val="clear" w:color="auto" w:fill="FFFFFF"/>
                <w:lang w:val="en-GB" w:eastAsia="en-GB"/>
              </w:rPr>
              <w:t> </w:t>
            </w:r>
          </w:p>
        </w:tc>
        <w:tc>
          <w:tcPr>
            <w:tcW w:w="1077" w:type="dxa"/>
          </w:tcPr>
          <w:p w14:paraId="201D4281" w14:textId="4D7D5CB4" w:rsidR="008E0600" w:rsidRPr="00E77392" w:rsidRDefault="008E0600" w:rsidP="008E0600">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15-16</w:t>
            </w:r>
          </w:p>
        </w:tc>
        <w:tc>
          <w:tcPr>
            <w:tcW w:w="4304" w:type="dxa"/>
          </w:tcPr>
          <w:p w14:paraId="7CB4BA33" w14:textId="2ABD9E48" w:rsidR="008E0600" w:rsidRDefault="008E0600" w:rsidP="008E0600">
            <w:pPr>
              <w:spacing w:beforeLines="40" w:before="96" w:afterLines="40" w:after="96" w:line="24" w:lineRule="atLeast"/>
              <w:rPr>
                <w:rFonts w:eastAsia="Times New Roman"/>
                <w:sz w:val="18"/>
                <w:szCs w:val="18"/>
                <w:lang w:val="en-GB" w:eastAsia="en-GB"/>
              </w:rPr>
            </w:pPr>
            <w:r w:rsidRPr="008E0600">
              <w:rPr>
                <w:rFonts w:eastAsia="Times New Roman"/>
                <w:sz w:val="18"/>
                <w:szCs w:val="18"/>
                <w:lang w:val="en-GB" w:eastAsia="en-GB"/>
              </w:rPr>
              <w:t>When interpreting our results, several limitations should be considered. Firstly, while we found that the use of GLP-1RAs was associated with a reduced incidence of anxiety disorder, autism, bulimia nervosa, PTSD, and schizophrenia, the associations for bulimia nervosa and PTSD were only reflected in the drug-target MR findings from the FinnGen study. There have been no clinical trials specifically targeting the use of GLP-1RAs in patients with PTSD or OCD, so clinical evidence to validate our findings is lacking. Secondly, the results for bipolar disorder and OCD showed discrepancies across different meta-GWAS databases. Although the common effect model and random effects model showed consistent trends for bipolar disorder, only the PGC results for OCD were significant, whereas the FinnGen results were not, and neither model showed significant results for OCD. These inconsistencies may be due to differences in the study populations, highlighting the need for larger GWAS samples and long-term follow-up RCTs in the future. Thirdly, our analyses were conducted exclusively in participants of European ancestry, so it is unclear whether our findings are applicable to non-European populations. Fourth, we did not explore the association of GLP-1RAs with rarer psychiatric disorders or subtypes of selected disorders. Lastly, our study focused solely on the risk of psychiatric disorder onset, not on disease progression. Future research should examine the potential role of GLP-1RAs in the treatment and prognosis of psychiatric disorders.</w:t>
            </w:r>
          </w:p>
        </w:tc>
      </w:tr>
      <w:tr w:rsidR="008E0600" w:rsidRPr="00B853C6" w14:paraId="71F8B8B5" w14:textId="34C247AC" w:rsidTr="00600578">
        <w:tc>
          <w:tcPr>
            <w:tcW w:w="587" w:type="dxa"/>
            <w:shd w:val="clear" w:color="auto" w:fill="EEEEEE"/>
          </w:tcPr>
          <w:p w14:paraId="02C1D590" w14:textId="77777777" w:rsidR="008E0600" w:rsidRPr="00F0337F" w:rsidRDefault="008E0600" w:rsidP="008E0600">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16</w:t>
            </w:r>
          </w:p>
        </w:tc>
        <w:tc>
          <w:tcPr>
            <w:tcW w:w="1815" w:type="dxa"/>
            <w:shd w:val="clear" w:color="auto" w:fill="EEEEEE"/>
          </w:tcPr>
          <w:p w14:paraId="612AA484" w14:textId="77777777" w:rsidR="008E0600" w:rsidRPr="00F0337F" w:rsidRDefault="008E0600" w:rsidP="008E0600">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Interpretation</w:t>
            </w:r>
          </w:p>
        </w:tc>
        <w:tc>
          <w:tcPr>
            <w:tcW w:w="6707" w:type="dxa"/>
            <w:shd w:val="clear" w:color="auto" w:fill="EEEEEE"/>
          </w:tcPr>
          <w:p w14:paraId="3BF6466E" w14:textId="77777777" w:rsidR="008E0600" w:rsidRPr="00A1236D" w:rsidRDefault="008E0600" w:rsidP="008E0600">
            <w:pPr>
              <w:spacing w:beforeLines="40" w:before="96" w:afterLines="40" w:after="96" w:line="24" w:lineRule="atLeast"/>
              <w:rPr>
                <w:rFonts w:eastAsia="Cambria"/>
                <w:sz w:val="18"/>
                <w:szCs w:val="18"/>
                <w:lang w:val="en-GB" w:eastAsia="en-US"/>
              </w:rPr>
            </w:pPr>
          </w:p>
        </w:tc>
        <w:tc>
          <w:tcPr>
            <w:tcW w:w="1077" w:type="dxa"/>
            <w:shd w:val="clear" w:color="auto" w:fill="EEEEEE"/>
          </w:tcPr>
          <w:p w14:paraId="4B5179B2" w14:textId="77777777" w:rsidR="008E0600" w:rsidRPr="00A1236D" w:rsidRDefault="008E0600" w:rsidP="008E0600">
            <w:pPr>
              <w:spacing w:beforeLines="40" w:before="96" w:afterLines="40" w:after="96" w:line="24" w:lineRule="atLeast"/>
              <w:rPr>
                <w:rFonts w:eastAsia="Cambria"/>
                <w:sz w:val="18"/>
                <w:szCs w:val="18"/>
                <w:lang w:val="en-GB" w:eastAsia="en-US"/>
              </w:rPr>
            </w:pPr>
          </w:p>
        </w:tc>
        <w:tc>
          <w:tcPr>
            <w:tcW w:w="4304" w:type="dxa"/>
            <w:shd w:val="clear" w:color="auto" w:fill="EEEEEE"/>
          </w:tcPr>
          <w:p w14:paraId="1C445080" w14:textId="77777777" w:rsidR="008E0600" w:rsidRDefault="008E0600" w:rsidP="008E0600">
            <w:pPr>
              <w:spacing w:beforeLines="40" w:before="96" w:afterLines="40" w:after="96" w:line="24" w:lineRule="atLeast"/>
              <w:rPr>
                <w:rFonts w:eastAsia="Cambria"/>
                <w:sz w:val="18"/>
                <w:szCs w:val="18"/>
                <w:lang w:val="en-GB" w:eastAsia="en-US"/>
              </w:rPr>
            </w:pPr>
          </w:p>
        </w:tc>
      </w:tr>
      <w:tr w:rsidR="008E0600" w:rsidRPr="00B853C6" w14:paraId="62E6D51A" w14:textId="140D03A2" w:rsidTr="00600578">
        <w:tc>
          <w:tcPr>
            <w:tcW w:w="587" w:type="dxa"/>
            <w:shd w:val="clear" w:color="auto" w:fill="auto"/>
          </w:tcPr>
          <w:p w14:paraId="6DD2F448" w14:textId="77777777" w:rsidR="008E0600" w:rsidRPr="00F0337F" w:rsidRDefault="008E0600" w:rsidP="008E0600">
            <w:pPr>
              <w:spacing w:beforeLines="40" w:before="96" w:afterLines="40" w:after="96" w:line="24" w:lineRule="atLeast"/>
              <w:jc w:val="right"/>
              <w:rPr>
                <w:rFonts w:eastAsia="Cambria"/>
                <w:b/>
                <w:bCs/>
                <w:sz w:val="18"/>
                <w:szCs w:val="18"/>
                <w:lang w:val="en-GB" w:eastAsia="en-US"/>
              </w:rPr>
            </w:pPr>
          </w:p>
        </w:tc>
        <w:tc>
          <w:tcPr>
            <w:tcW w:w="1815" w:type="dxa"/>
            <w:shd w:val="clear" w:color="auto" w:fill="auto"/>
          </w:tcPr>
          <w:p w14:paraId="50F26A29" w14:textId="77777777" w:rsidR="008E0600" w:rsidRPr="00F0337F" w:rsidRDefault="008E0600" w:rsidP="008E0600">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6707" w:type="dxa"/>
            <w:shd w:val="clear" w:color="auto" w:fill="auto"/>
          </w:tcPr>
          <w:p w14:paraId="7EDF9868" w14:textId="096ED659" w:rsidR="008E0600" w:rsidRPr="00A1236D" w:rsidRDefault="008E0600" w:rsidP="008E0600">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 xml:space="preserve">Meaning: Give a cautious overall interpretation of results in the context of their limitations and in comparison </w:t>
            </w:r>
            <w:r>
              <w:rPr>
                <w:rFonts w:eastAsia="Times New Roman"/>
                <w:sz w:val="18"/>
                <w:szCs w:val="18"/>
                <w:lang w:val="en-GB" w:eastAsia="en-GB"/>
              </w:rPr>
              <w:t>with</w:t>
            </w:r>
            <w:r w:rsidRPr="00A1236D">
              <w:rPr>
                <w:rFonts w:eastAsia="Times New Roman"/>
                <w:sz w:val="18"/>
                <w:szCs w:val="18"/>
                <w:lang w:val="en-GB" w:eastAsia="en-GB"/>
              </w:rPr>
              <w:t xml:space="preserve"> other studies</w:t>
            </w:r>
          </w:p>
        </w:tc>
        <w:tc>
          <w:tcPr>
            <w:tcW w:w="1077" w:type="dxa"/>
          </w:tcPr>
          <w:p w14:paraId="565CC165" w14:textId="15852CCC" w:rsidR="008E0600" w:rsidRPr="00E77392" w:rsidRDefault="008E0600" w:rsidP="008E0600">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13-15</w:t>
            </w:r>
          </w:p>
        </w:tc>
        <w:tc>
          <w:tcPr>
            <w:tcW w:w="4304" w:type="dxa"/>
          </w:tcPr>
          <w:p w14:paraId="5251245C" w14:textId="4AB208E0" w:rsidR="008E0600" w:rsidRDefault="008E0600" w:rsidP="008E0600">
            <w:pPr>
              <w:spacing w:beforeLines="40" w:before="96" w:afterLines="40" w:after="96" w:line="24" w:lineRule="atLeast"/>
              <w:rPr>
                <w:rFonts w:eastAsia="Times New Roman"/>
                <w:sz w:val="18"/>
                <w:szCs w:val="18"/>
                <w:lang w:val="en-GB" w:eastAsia="en-GB"/>
              </w:rPr>
            </w:pPr>
            <w:r w:rsidRPr="008E0600">
              <w:rPr>
                <w:rFonts w:eastAsia="Times New Roman"/>
                <w:sz w:val="18"/>
                <w:szCs w:val="18"/>
                <w:lang w:val="en-GB" w:eastAsia="en-GB"/>
              </w:rPr>
              <w:t xml:space="preserve">When interpreting our results, several limitations should be considered. Firstly, while we found that the use of GLP-1RAs was associated with a reduced incidence of anxiety disorder, autism, bulimia nervosa, PTSD, and schizophrenia, the associations for bulimia nervosa and PTSD were only reflected in the drug-target MR findings from the FinnGen study. There have been no clinical trials specifically targeting the use of GLP-1RAs in </w:t>
            </w:r>
            <w:r w:rsidRPr="008E0600">
              <w:rPr>
                <w:rFonts w:eastAsia="Times New Roman"/>
                <w:sz w:val="18"/>
                <w:szCs w:val="18"/>
                <w:lang w:val="en-GB" w:eastAsia="en-GB"/>
              </w:rPr>
              <w:lastRenderedPageBreak/>
              <w:t>patients with PTSD or OCD, so clinical evidence to validate our findings is lacking. Secondly, the results for bipolar disorder and OCD showed discrepancies across different meta-GWAS databases. Although the common effect model and random effects model showed consistent trends for bipolar disorder, only the PGC results for OCD were significant, whereas the FinnGen results were not, and neither model showed significant results for OCD. These inconsistencies may be due to differences in the study populations, highlighting the need for larger GWAS samples and long-term follow-up RCTs in the future. Thirdly, our analyses were conducted exclusively in participants of European ancestry, so it is unclear whether our findings are applicable to non-European populations. Fourth, we did not explore the association of GLP-1RAs with rarer psychiatric disorders or subtypes of selected disorders. Lastly, our study focused solely on the risk of psychiatric disorder onset, not on disease progression. Future research should examine the potential role of GLP-1RAs in the treatment and prognosis of psychiatric disorders.</w:t>
            </w:r>
          </w:p>
        </w:tc>
      </w:tr>
      <w:tr w:rsidR="008E0600" w:rsidRPr="00B853C6" w14:paraId="156B69E5" w14:textId="453FC5BE" w:rsidTr="00600578">
        <w:tc>
          <w:tcPr>
            <w:tcW w:w="587" w:type="dxa"/>
            <w:shd w:val="clear" w:color="auto" w:fill="EEEEEE"/>
          </w:tcPr>
          <w:p w14:paraId="4C8A2215" w14:textId="77777777" w:rsidR="008E0600" w:rsidRPr="00F0337F" w:rsidRDefault="008E0600" w:rsidP="008E0600">
            <w:pPr>
              <w:spacing w:beforeLines="40" w:before="96" w:afterLines="40" w:after="96" w:line="24" w:lineRule="atLeast"/>
              <w:jc w:val="right"/>
              <w:rPr>
                <w:rFonts w:eastAsia="Cambria"/>
                <w:b/>
                <w:bCs/>
                <w:sz w:val="18"/>
                <w:szCs w:val="18"/>
                <w:lang w:val="en-GB" w:eastAsia="en-US"/>
              </w:rPr>
            </w:pPr>
          </w:p>
        </w:tc>
        <w:tc>
          <w:tcPr>
            <w:tcW w:w="1815" w:type="dxa"/>
            <w:shd w:val="clear" w:color="auto" w:fill="EEEEEE"/>
          </w:tcPr>
          <w:p w14:paraId="6A4A5F16" w14:textId="77777777" w:rsidR="008E0600" w:rsidRPr="00F0337F" w:rsidRDefault="008E0600" w:rsidP="008E0600">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6707" w:type="dxa"/>
            <w:shd w:val="clear" w:color="auto" w:fill="EEEEEE"/>
          </w:tcPr>
          <w:p w14:paraId="422EB891" w14:textId="35DEA636" w:rsidR="008E0600" w:rsidRPr="00A1236D" w:rsidRDefault="008E0600" w:rsidP="008E0600">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 xml:space="preserve">Mechanism: Discuss underlying biological mechanisms that could drive a potential causal relationship between the investigated exposure and the outcome, and whether the gene-environment equivalence assumption is reasonable. Use causal language carefully, clarifying that IV estimates may provide causal effects </w:t>
            </w:r>
            <w:r>
              <w:rPr>
                <w:rFonts w:eastAsia="Times New Roman"/>
                <w:sz w:val="18"/>
                <w:szCs w:val="18"/>
                <w:lang w:val="en-GB" w:eastAsia="en-GB"/>
              </w:rPr>
              <w:t xml:space="preserve">only </w:t>
            </w:r>
            <w:r w:rsidRPr="00A1236D">
              <w:rPr>
                <w:rFonts w:eastAsia="Times New Roman"/>
                <w:sz w:val="18"/>
                <w:szCs w:val="18"/>
                <w:lang w:val="en-GB" w:eastAsia="en-GB"/>
              </w:rPr>
              <w:t xml:space="preserve">under certain assumptions </w:t>
            </w:r>
          </w:p>
        </w:tc>
        <w:tc>
          <w:tcPr>
            <w:tcW w:w="1077" w:type="dxa"/>
            <w:shd w:val="clear" w:color="auto" w:fill="EEEEEE"/>
          </w:tcPr>
          <w:p w14:paraId="2FA4AA4D" w14:textId="1155457F" w:rsidR="008E0600" w:rsidRPr="00E77392" w:rsidRDefault="008E0600" w:rsidP="008E0600">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15</w:t>
            </w:r>
          </w:p>
        </w:tc>
        <w:tc>
          <w:tcPr>
            <w:tcW w:w="4304" w:type="dxa"/>
            <w:shd w:val="clear" w:color="auto" w:fill="EEEEEE"/>
          </w:tcPr>
          <w:p w14:paraId="6A2DC1FF" w14:textId="77777777" w:rsidR="008E0600" w:rsidRPr="008E0600" w:rsidRDefault="008E0600" w:rsidP="008E0600">
            <w:pPr>
              <w:spacing w:beforeLines="40" w:before="96" w:afterLines="40" w:after="96" w:line="24" w:lineRule="atLeast"/>
              <w:rPr>
                <w:rFonts w:eastAsia="Times New Roman"/>
                <w:sz w:val="18"/>
                <w:szCs w:val="18"/>
                <w:lang w:val="en-GB" w:eastAsia="en-GB"/>
              </w:rPr>
            </w:pPr>
            <w:r w:rsidRPr="008E0600">
              <w:rPr>
                <w:rFonts w:eastAsia="Times New Roman"/>
                <w:sz w:val="18"/>
                <w:szCs w:val="18"/>
                <w:lang w:val="en-GB" w:eastAsia="en-GB"/>
              </w:rPr>
              <w:t>Brain insulin resistance is considered a key mechanism linking the pathophysiology of diabetes and broad depression. Insulin signaling pathways are triggered by ligands such as insulin-like growth factors (IGF) 1 and 2 and insulin binding to the transmembrane insulin receptor (IR), activating downstream pathways including PKC, AKT, mTOR, S6K1, and ERK1/2. The functions of IR differ in the brain and peripheral tissues, demonstrating regional specificity. In the brain, IR-A and IR-B are widely expressed in various regions, with neurons primarily expressing IR-A and astrocytes expressing both IR-A and IR-B. IR-A has a high affinity for IGF-2, which may play a crucial role in neurons. Deficiencies in insulin signaling can lead to a range of brain disorders, including broad depression.</w:t>
            </w:r>
          </w:p>
          <w:p w14:paraId="787845C0" w14:textId="77777777" w:rsidR="008E0600" w:rsidRPr="008E0600" w:rsidRDefault="008E0600" w:rsidP="008E0600">
            <w:pPr>
              <w:spacing w:beforeLines="40" w:before="96" w:afterLines="40" w:after="96" w:line="24" w:lineRule="atLeast"/>
              <w:rPr>
                <w:rFonts w:eastAsia="Times New Roman"/>
                <w:sz w:val="18"/>
                <w:szCs w:val="18"/>
                <w:lang w:val="en-GB" w:eastAsia="en-GB"/>
              </w:rPr>
            </w:pPr>
            <w:r w:rsidRPr="008E0600">
              <w:rPr>
                <w:rFonts w:eastAsia="Times New Roman"/>
                <w:sz w:val="18"/>
                <w:szCs w:val="18"/>
                <w:lang w:val="en-GB" w:eastAsia="en-GB"/>
              </w:rPr>
              <w:t xml:space="preserve">Recent evidence suggests that the interaction between insulin and glutamate signaling in excitotoxicity may be significant in brain insulin resistance. Insulin modulates NMDA receptor currents via the IGF-1 receptor pathway and </w:t>
            </w:r>
            <w:r w:rsidRPr="008E0600">
              <w:rPr>
                <w:rFonts w:eastAsia="Times New Roman"/>
                <w:sz w:val="18"/>
                <w:szCs w:val="18"/>
                <w:lang w:val="en-GB" w:eastAsia="en-GB"/>
              </w:rPr>
              <w:lastRenderedPageBreak/>
              <w:t>increases the number of functional NMDA receptors. Short-term insulin exposure can improve neuroprotection, while long-term exposure can lead to insulin resistance and exacerbated excitotoxicity.</w:t>
            </w:r>
          </w:p>
          <w:p w14:paraId="3A91F000" w14:textId="3918C917" w:rsidR="008E0600" w:rsidRDefault="008E0600" w:rsidP="008E0600">
            <w:pPr>
              <w:spacing w:beforeLines="40" w:before="96" w:afterLines="40" w:after="96" w:line="24" w:lineRule="atLeast"/>
              <w:rPr>
                <w:rFonts w:eastAsia="Times New Roman"/>
                <w:sz w:val="18"/>
                <w:szCs w:val="18"/>
                <w:lang w:val="en-GB" w:eastAsia="en-GB"/>
              </w:rPr>
            </w:pPr>
            <w:r w:rsidRPr="008E0600">
              <w:rPr>
                <w:rFonts w:eastAsia="Times New Roman"/>
                <w:sz w:val="18"/>
                <w:szCs w:val="18"/>
                <w:lang w:val="en-GB" w:eastAsia="en-GB"/>
              </w:rPr>
              <w:t>Additionally, elevated plasma levels of branched-chain amino acids (BCAAs) may play a role in the link between broad depression and type 2 diabetes. Studies indicate that metformin can reduce circulating BCAA levels, enhancing serotonergic neurotransmission in the hippocampus and producing an antidepressant effect.</w:t>
            </w:r>
          </w:p>
        </w:tc>
      </w:tr>
      <w:tr w:rsidR="008E0600" w:rsidRPr="00B853C6" w14:paraId="203390A0" w14:textId="367D17C4" w:rsidTr="00600578">
        <w:tc>
          <w:tcPr>
            <w:tcW w:w="587" w:type="dxa"/>
            <w:shd w:val="clear" w:color="auto" w:fill="auto"/>
          </w:tcPr>
          <w:p w14:paraId="54CA3A27" w14:textId="77777777" w:rsidR="008E0600" w:rsidRPr="00F0337F" w:rsidRDefault="008E0600" w:rsidP="008E0600">
            <w:pPr>
              <w:spacing w:beforeLines="40" w:before="96" w:afterLines="40" w:after="96" w:line="24" w:lineRule="atLeast"/>
              <w:jc w:val="right"/>
              <w:rPr>
                <w:rFonts w:eastAsia="Cambria"/>
                <w:b/>
                <w:bCs/>
                <w:sz w:val="18"/>
                <w:szCs w:val="18"/>
                <w:lang w:val="en-GB" w:eastAsia="en-US"/>
              </w:rPr>
            </w:pPr>
          </w:p>
        </w:tc>
        <w:tc>
          <w:tcPr>
            <w:tcW w:w="1815" w:type="dxa"/>
            <w:shd w:val="clear" w:color="auto" w:fill="auto"/>
          </w:tcPr>
          <w:p w14:paraId="6D25BA57" w14:textId="77777777" w:rsidR="008E0600" w:rsidRPr="00F0337F" w:rsidRDefault="008E0600" w:rsidP="008E0600">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c)</w:t>
            </w:r>
          </w:p>
        </w:tc>
        <w:tc>
          <w:tcPr>
            <w:tcW w:w="6707" w:type="dxa"/>
            <w:shd w:val="clear" w:color="auto" w:fill="auto"/>
          </w:tcPr>
          <w:p w14:paraId="5B6A8315" w14:textId="77777777" w:rsidR="008E0600" w:rsidRPr="00A1236D" w:rsidRDefault="008E0600" w:rsidP="008E0600">
            <w:pPr>
              <w:tabs>
                <w:tab w:val="left" w:pos="1350"/>
              </w:tabs>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 xml:space="preserve">Clinical relevance: Discuss whether the results have clinical or public policy relevance, and </w:t>
            </w:r>
            <w:r w:rsidRPr="00A1236D">
              <w:rPr>
                <w:rFonts w:eastAsia="Times New Roman"/>
                <w:color w:val="000000"/>
                <w:sz w:val="18"/>
                <w:szCs w:val="18"/>
                <w:lang w:eastAsia="en-GB"/>
              </w:rPr>
              <w:t>to what extent they inform effect sizes of possible interventions</w:t>
            </w:r>
          </w:p>
        </w:tc>
        <w:tc>
          <w:tcPr>
            <w:tcW w:w="1077" w:type="dxa"/>
          </w:tcPr>
          <w:p w14:paraId="32FCF028" w14:textId="3FE44E4C" w:rsidR="008E0600" w:rsidRPr="00E77392" w:rsidRDefault="008E0600" w:rsidP="008E0600">
            <w:pPr>
              <w:tabs>
                <w:tab w:val="left" w:pos="1350"/>
              </w:tabs>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16</w:t>
            </w:r>
          </w:p>
        </w:tc>
        <w:tc>
          <w:tcPr>
            <w:tcW w:w="4304" w:type="dxa"/>
          </w:tcPr>
          <w:p w14:paraId="78058AE6" w14:textId="4C2436C1" w:rsidR="008E0600" w:rsidRDefault="008E0600" w:rsidP="008E0600">
            <w:pPr>
              <w:tabs>
                <w:tab w:val="left" w:pos="1350"/>
              </w:tabs>
              <w:spacing w:beforeLines="40" w:before="96" w:afterLines="40" w:after="96" w:line="24" w:lineRule="atLeast"/>
              <w:rPr>
                <w:rFonts w:eastAsia="Times New Roman"/>
                <w:sz w:val="18"/>
                <w:szCs w:val="18"/>
                <w:lang w:val="en-GB" w:eastAsia="en-GB"/>
              </w:rPr>
            </w:pPr>
            <w:r w:rsidRPr="008E0600">
              <w:rPr>
                <w:rFonts w:eastAsia="Times New Roman"/>
                <w:sz w:val="18"/>
                <w:szCs w:val="18"/>
                <w:lang w:val="en-GB" w:eastAsia="en-GB"/>
              </w:rPr>
              <w:t>In summary, our study, utilizing multiple analytic approaches, found that GLP-1RAs were associated with protective effects against anxiety disorder, autism, bulimia nervosa, PTSD, schizophrenia, and bipolar disorder, but increased the risk of OCD. Additionally, we found that GLP-1RAs did not increase the risk of anorexia nervosa, broad depression, MDD, or suicide or other intentional self-harm. All these findings need to be evaluated in RCTs with long-term follow-up.</w:t>
            </w:r>
          </w:p>
        </w:tc>
      </w:tr>
      <w:tr w:rsidR="008E0600" w:rsidRPr="00B853C6" w14:paraId="71FDAFC1" w14:textId="00A47F15" w:rsidTr="00600578">
        <w:tc>
          <w:tcPr>
            <w:tcW w:w="587" w:type="dxa"/>
            <w:tcBorders>
              <w:bottom w:val="single" w:sz="6" w:space="0" w:color="7F7F7F"/>
            </w:tcBorders>
            <w:shd w:val="clear" w:color="auto" w:fill="EEEEEE"/>
          </w:tcPr>
          <w:p w14:paraId="7540155A" w14:textId="77777777" w:rsidR="008E0600" w:rsidRPr="00F0337F" w:rsidRDefault="008E0600" w:rsidP="008E0600">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17</w:t>
            </w:r>
          </w:p>
        </w:tc>
        <w:tc>
          <w:tcPr>
            <w:tcW w:w="1815" w:type="dxa"/>
            <w:tcBorders>
              <w:bottom w:val="single" w:sz="6" w:space="0" w:color="7F7F7F"/>
            </w:tcBorders>
            <w:shd w:val="clear" w:color="auto" w:fill="EEEEEE"/>
          </w:tcPr>
          <w:p w14:paraId="3680059F" w14:textId="77777777" w:rsidR="008E0600" w:rsidRPr="00F0337F" w:rsidRDefault="008E0600" w:rsidP="008E0600">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 xml:space="preserve">Generalizability  </w:t>
            </w:r>
            <w:r w:rsidRPr="00F0337F">
              <w:rPr>
                <w:rFonts w:eastAsia="Times New Roman"/>
                <w:sz w:val="18"/>
                <w:szCs w:val="18"/>
                <w:lang w:val="en-GB" w:eastAsia="en-GB"/>
              </w:rPr>
              <w:t> </w:t>
            </w:r>
          </w:p>
        </w:tc>
        <w:tc>
          <w:tcPr>
            <w:tcW w:w="6707" w:type="dxa"/>
            <w:tcBorders>
              <w:bottom w:val="single" w:sz="6" w:space="0" w:color="7F7F7F"/>
            </w:tcBorders>
            <w:shd w:val="clear" w:color="auto" w:fill="EEEEEE"/>
          </w:tcPr>
          <w:p w14:paraId="68647C33" w14:textId="77777777" w:rsidR="008E0600" w:rsidRPr="00A1236D" w:rsidRDefault="008E0600" w:rsidP="008E0600">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Discuss the generalizability of the study results (a) to other populations, (b) across other exposure periods/timings, and (c) across other levels of exposure</w:t>
            </w:r>
          </w:p>
        </w:tc>
        <w:tc>
          <w:tcPr>
            <w:tcW w:w="1077" w:type="dxa"/>
            <w:tcBorders>
              <w:bottom w:val="single" w:sz="6" w:space="0" w:color="7F7F7F"/>
            </w:tcBorders>
            <w:shd w:val="clear" w:color="auto" w:fill="EEEEEE"/>
          </w:tcPr>
          <w:p w14:paraId="3ACD3D08" w14:textId="235FD249" w:rsidR="008E0600" w:rsidRPr="00E77392" w:rsidRDefault="008E0600" w:rsidP="008E0600">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15-16</w:t>
            </w:r>
          </w:p>
        </w:tc>
        <w:tc>
          <w:tcPr>
            <w:tcW w:w="4304" w:type="dxa"/>
            <w:tcBorders>
              <w:bottom w:val="single" w:sz="6" w:space="0" w:color="7F7F7F"/>
            </w:tcBorders>
            <w:shd w:val="clear" w:color="auto" w:fill="EEEEEE"/>
          </w:tcPr>
          <w:p w14:paraId="41ABF5A9" w14:textId="349BD217" w:rsidR="008E0600" w:rsidRDefault="008E0600" w:rsidP="008E0600">
            <w:pPr>
              <w:spacing w:beforeLines="40" w:before="96" w:afterLines="40" w:after="96" w:line="24" w:lineRule="atLeast"/>
              <w:rPr>
                <w:rFonts w:eastAsia="Times New Roman"/>
                <w:sz w:val="18"/>
                <w:szCs w:val="18"/>
                <w:lang w:val="en-GB" w:eastAsia="en-GB"/>
              </w:rPr>
            </w:pPr>
            <w:r w:rsidRPr="008E0600">
              <w:rPr>
                <w:rFonts w:eastAsia="Times New Roman"/>
                <w:sz w:val="18"/>
                <w:szCs w:val="18"/>
                <w:lang w:val="en-GB" w:eastAsia="en-GB"/>
              </w:rPr>
              <w:t xml:space="preserve">When interpreting our results, several limitations should be considered. Firstly, while we found that the use of GLP-1RAs was associated with a reduced incidence of anxiety disorder, autism, bulimia nervosa, PTSD, and schizophrenia, the associations for bulimia nervosa and PTSD were only reflected in the drug-target MR findings from the FinnGen study. There have been no clinical trials specifically targeting the use of GLP-1RAs in patients with PTSD or OCD, so clinical evidence to validate our findings is lacking. Secondly, the results for bipolar disorder and OCD showed discrepancies across different meta-GWAS databases. Although the common effect model and random effects model showed consistent trends for bipolar disorder, only the PGC results for OCD were significant, whereas the FinnGen results were not, and neither model showed significant results for OCD. These inconsistencies may be due to differences in the study populations, highlighting the need for larger GWAS samples and long-term follow-up RCTs in the future. Thirdly, our analyses </w:t>
            </w:r>
            <w:r w:rsidRPr="008E0600">
              <w:rPr>
                <w:rFonts w:eastAsia="Times New Roman"/>
                <w:sz w:val="18"/>
                <w:szCs w:val="18"/>
                <w:lang w:val="en-GB" w:eastAsia="en-GB"/>
              </w:rPr>
              <w:lastRenderedPageBreak/>
              <w:t>were conducted exclusively in participants of European ancestry, so it is unclear whether our findings are applicable to non-European populations. Fourth, we did not explore the association of GLP-1RAs with rarer psychiatric disorders or subtypes of selected disorders. Lastly, our study focused solely on the risk of psychiatric disorder onset, not on disease progression. Future research should examine the potential role of GLP-1RAs in the treatment and prognosis of psychiatric disorders.</w:t>
            </w:r>
          </w:p>
        </w:tc>
      </w:tr>
      <w:tr w:rsidR="008E0600" w:rsidRPr="00B853C6" w14:paraId="57884E75" w14:textId="6FD41AE6" w:rsidTr="00600578">
        <w:tc>
          <w:tcPr>
            <w:tcW w:w="587" w:type="dxa"/>
            <w:tcBorders>
              <w:top w:val="single" w:sz="6" w:space="0" w:color="7F7F7F"/>
            </w:tcBorders>
            <w:shd w:val="clear" w:color="auto" w:fill="auto"/>
          </w:tcPr>
          <w:p w14:paraId="2C4C694A" w14:textId="77777777" w:rsidR="008E0600" w:rsidRPr="00F0337F" w:rsidRDefault="008E0600" w:rsidP="008E0600">
            <w:pPr>
              <w:spacing w:beforeLines="40" w:before="96" w:afterLines="40" w:after="96" w:line="24" w:lineRule="atLeast"/>
              <w:rPr>
                <w:rFonts w:eastAsia="Times New Roman"/>
                <w:b/>
                <w:bCs/>
                <w:sz w:val="18"/>
                <w:szCs w:val="18"/>
                <w:lang w:val="en-GB" w:eastAsia="en-GB"/>
              </w:rPr>
            </w:pPr>
          </w:p>
        </w:tc>
        <w:tc>
          <w:tcPr>
            <w:tcW w:w="1815" w:type="dxa"/>
            <w:tcBorders>
              <w:top w:val="single" w:sz="6" w:space="0" w:color="7F7F7F"/>
            </w:tcBorders>
            <w:shd w:val="clear" w:color="auto" w:fill="auto"/>
          </w:tcPr>
          <w:p w14:paraId="0A6FFE33" w14:textId="77777777" w:rsidR="008E0600" w:rsidRPr="00F0337F" w:rsidRDefault="008E0600" w:rsidP="008E0600">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OTHER INFORMATION</w:t>
            </w:r>
          </w:p>
        </w:tc>
        <w:tc>
          <w:tcPr>
            <w:tcW w:w="6707" w:type="dxa"/>
            <w:tcBorders>
              <w:top w:val="single" w:sz="6" w:space="0" w:color="7F7F7F"/>
            </w:tcBorders>
            <w:shd w:val="clear" w:color="auto" w:fill="auto"/>
          </w:tcPr>
          <w:p w14:paraId="0577947E" w14:textId="77777777" w:rsidR="008E0600" w:rsidRPr="00F0337F" w:rsidRDefault="008E0600" w:rsidP="008E0600">
            <w:pPr>
              <w:spacing w:beforeLines="40" w:before="96" w:afterLines="40" w:after="96" w:line="24" w:lineRule="atLeast"/>
              <w:rPr>
                <w:rFonts w:eastAsia="Cambria"/>
                <w:sz w:val="18"/>
                <w:szCs w:val="18"/>
                <w:lang w:val="en-GB" w:eastAsia="en-US"/>
              </w:rPr>
            </w:pPr>
          </w:p>
        </w:tc>
        <w:tc>
          <w:tcPr>
            <w:tcW w:w="1077" w:type="dxa"/>
            <w:tcBorders>
              <w:top w:val="single" w:sz="6" w:space="0" w:color="7F7F7F"/>
            </w:tcBorders>
          </w:tcPr>
          <w:p w14:paraId="7561574C" w14:textId="77777777" w:rsidR="008E0600" w:rsidRPr="00F0337F" w:rsidRDefault="008E0600" w:rsidP="008E0600">
            <w:pPr>
              <w:spacing w:beforeLines="40" w:before="96" w:afterLines="40" w:after="96" w:line="24" w:lineRule="atLeast"/>
              <w:rPr>
                <w:rFonts w:eastAsia="Cambria"/>
                <w:sz w:val="18"/>
                <w:szCs w:val="18"/>
                <w:lang w:val="en-GB" w:eastAsia="en-US"/>
              </w:rPr>
            </w:pPr>
          </w:p>
        </w:tc>
        <w:tc>
          <w:tcPr>
            <w:tcW w:w="4304" w:type="dxa"/>
            <w:tcBorders>
              <w:top w:val="single" w:sz="6" w:space="0" w:color="7F7F7F"/>
            </w:tcBorders>
          </w:tcPr>
          <w:p w14:paraId="3718ED5B" w14:textId="77777777" w:rsidR="008E0600" w:rsidRDefault="008E0600" w:rsidP="008E0600">
            <w:pPr>
              <w:spacing w:beforeLines="40" w:before="96" w:afterLines="40" w:after="96" w:line="24" w:lineRule="atLeast"/>
              <w:rPr>
                <w:rFonts w:eastAsia="Cambria"/>
                <w:sz w:val="18"/>
                <w:szCs w:val="18"/>
                <w:lang w:val="en-GB" w:eastAsia="en-US"/>
              </w:rPr>
            </w:pPr>
          </w:p>
        </w:tc>
      </w:tr>
      <w:tr w:rsidR="008E0600" w:rsidRPr="00B853C6" w14:paraId="0014C6D1" w14:textId="2FC4D004" w:rsidTr="00600578">
        <w:tc>
          <w:tcPr>
            <w:tcW w:w="587" w:type="dxa"/>
            <w:shd w:val="clear" w:color="auto" w:fill="EEEEEE"/>
          </w:tcPr>
          <w:p w14:paraId="2336D08C" w14:textId="77777777" w:rsidR="008E0600" w:rsidRPr="00F0337F" w:rsidRDefault="008E0600" w:rsidP="008E0600">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18</w:t>
            </w:r>
          </w:p>
        </w:tc>
        <w:tc>
          <w:tcPr>
            <w:tcW w:w="1815" w:type="dxa"/>
            <w:shd w:val="clear" w:color="auto" w:fill="EEEEEE"/>
          </w:tcPr>
          <w:p w14:paraId="08EB4FDF" w14:textId="77777777" w:rsidR="008E0600" w:rsidRPr="00F0337F" w:rsidRDefault="008E0600" w:rsidP="008E0600">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Funding</w:t>
            </w:r>
          </w:p>
        </w:tc>
        <w:tc>
          <w:tcPr>
            <w:tcW w:w="6707" w:type="dxa"/>
            <w:shd w:val="clear" w:color="auto" w:fill="EEEEEE"/>
          </w:tcPr>
          <w:p w14:paraId="4663DCA7" w14:textId="77777777" w:rsidR="008E0600" w:rsidRPr="00F0337F" w:rsidRDefault="008E0600" w:rsidP="008E0600">
            <w:pPr>
              <w:spacing w:beforeLines="40" w:before="96" w:afterLines="40" w:after="96" w:line="24" w:lineRule="atLeast"/>
              <w:rPr>
                <w:rFonts w:eastAsia="Times New Roman"/>
                <w:sz w:val="18"/>
                <w:szCs w:val="18"/>
                <w:lang w:val="en-GB" w:eastAsia="en-GB"/>
              </w:rPr>
            </w:pPr>
            <w:r w:rsidRPr="00F0337F">
              <w:rPr>
                <w:rFonts w:eastAsia="Times New Roman"/>
                <w:sz w:val="18"/>
                <w:szCs w:val="18"/>
                <w:lang w:val="en-GB" w:eastAsia="en-GB"/>
              </w:rPr>
              <w:t>Describe sources of funding and the role of funders in the present study and, if applicable, sources of funding for the databases and original study or studies on which the present study is based</w:t>
            </w:r>
          </w:p>
        </w:tc>
        <w:tc>
          <w:tcPr>
            <w:tcW w:w="1077" w:type="dxa"/>
            <w:shd w:val="clear" w:color="auto" w:fill="EEEEEE"/>
          </w:tcPr>
          <w:p w14:paraId="33E2D855" w14:textId="3A0AB424" w:rsidR="008E0600" w:rsidRPr="00F37064" w:rsidRDefault="008E0600" w:rsidP="008E0600">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17</w:t>
            </w:r>
          </w:p>
        </w:tc>
        <w:tc>
          <w:tcPr>
            <w:tcW w:w="4304" w:type="dxa"/>
            <w:shd w:val="clear" w:color="auto" w:fill="EEEEEE"/>
          </w:tcPr>
          <w:p w14:paraId="2C6CE5FF" w14:textId="50C7961C" w:rsidR="008E0600" w:rsidRDefault="008E0600" w:rsidP="008E0600">
            <w:pPr>
              <w:spacing w:beforeLines="40" w:before="96" w:afterLines="40" w:after="96" w:line="24" w:lineRule="atLeast"/>
              <w:rPr>
                <w:rFonts w:eastAsia="Times New Roman"/>
                <w:sz w:val="18"/>
                <w:szCs w:val="18"/>
                <w:lang w:val="en-GB" w:eastAsia="en-GB"/>
              </w:rPr>
            </w:pPr>
            <w:r w:rsidRPr="008E0600">
              <w:rPr>
                <w:rFonts w:eastAsia="Times New Roman"/>
                <w:sz w:val="18"/>
                <w:szCs w:val="18"/>
                <w:lang w:val="en-GB" w:eastAsia="en-GB"/>
              </w:rPr>
              <w:t>This work was supported by grants from the National Natural Science Foundation of China (U21A20364) and Key Technologies Research and Development Program (2018YFC1314600).</w:t>
            </w:r>
          </w:p>
        </w:tc>
      </w:tr>
      <w:tr w:rsidR="008E0600" w:rsidRPr="00B853C6" w14:paraId="1B22CB41" w14:textId="102364C9" w:rsidTr="00600578">
        <w:tc>
          <w:tcPr>
            <w:tcW w:w="587" w:type="dxa"/>
            <w:shd w:val="clear" w:color="auto" w:fill="auto"/>
          </w:tcPr>
          <w:p w14:paraId="381BF2BA" w14:textId="77777777" w:rsidR="008E0600" w:rsidRPr="00F0337F" w:rsidRDefault="008E0600" w:rsidP="008E0600">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19</w:t>
            </w:r>
          </w:p>
        </w:tc>
        <w:tc>
          <w:tcPr>
            <w:tcW w:w="1815" w:type="dxa"/>
            <w:shd w:val="clear" w:color="auto" w:fill="auto"/>
          </w:tcPr>
          <w:p w14:paraId="233BA942" w14:textId="77777777" w:rsidR="008E0600" w:rsidRPr="00F0337F" w:rsidRDefault="008E0600" w:rsidP="008E0600">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Data and data sharing </w:t>
            </w:r>
          </w:p>
        </w:tc>
        <w:tc>
          <w:tcPr>
            <w:tcW w:w="6707" w:type="dxa"/>
            <w:shd w:val="clear" w:color="auto" w:fill="auto"/>
          </w:tcPr>
          <w:p w14:paraId="42D9085E" w14:textId="77777777" w:rsidR="008E0600" w:rsidRPr="00F0337F" w:rsidRDefault="008E0600" w:rsidP="008E0600">
            <w:pPr>
              <w:spacing w:beforeLines="40" w:before="96" w:afterLines="40" w:after="96" w:line="24" w:lineRule="atLeast"/>
              <w:rPr>
                <w:rFonts w:eastAsia="Times New Roman"/>
                <w:sz w:val="18"/>
                <w:szCs w:val="18"/>
                <w:lang w:val="en-GB" w:eastAsia="en-GB"/>
              </w:rPr>
            </w:pPr>
            <w:r w:rsidRPr="00F0337F">
              <w:rPr>
                <w:rFonts w:eastAsia="Times New Roman"/>
                <w:sz w:val="18"/>
                <w:szCs w:val="18"/>
                <w:lang w:val="en-GB" w:eastAsia="en-GB"/>
              </w:rPr>
              <w:t xml:space="preserve">Provide the data used to perform all analyses or report where and how the data can be accessed, and reference these sources in the </w:t>
            </w:r>
            <w:r>
              <w:rPr>
                <w:rFonts w:eastAsia="Times New Roman"/>
                <w:sz w:val="18"/>
                <w:szCs w:val="18"/>
                <w:lang w:val="en-GB" w:eastAsia="en-GB"/>
              </w:rPr>
              <w:t>article</w:t>
            </w:r>
            <w:r w:rsidRPr="00F0337F">
              <w:rPr>
                <w:rFonts w:eastAsia="Times New Roman"/>
                <w:sz w:val="18"/>
                <w:szCs w:val="18"/>
                <w:lang w:val="en-GB" w:eastAsia="en-GB"/>
              </w:rPr>
              <w:t xml:space="preserve">. Provide the statistical code needed to </w:t>
            </w:r>
            <w:r>
              <w:rPr>
                <w:rFonts w:eastAsia="Times New Roman"/>
                <w:sz w:val="18"/>
                <w:szCs w:val="18"/>
                <w:lang w:val="en-GB" w:eastAsia="en-GB"/>
              </w:rPr>
              <w:t>reproduce the results</w:t>
            </w:r>
            <w:r w:rsidRPr="00F0337F">
              <w:rPr>
                <w:rFonts w:eastAsia="Times New Roman"/>
                <w:sz w:val="18"/>
                <w:szCs w:val="18"/>
                <w:lang w:val="en-GB" w:eastAsia="en-GB"/>
              </w:rPr>
              <w:t xml:space="preserve"> in the </w:t>
            </w:r>
            <w:r>
              <w:rPr>
                <w:rFonts w:eastAsia="Times New Roman"/>
                <w:sz w:val="18"/>
                <w:szCs w:val="18"/>
                <w:lang w:val="en-GB" w:eastAsia="en-GB"/>
              </w:rPr>
              <w:t>article</w:t>
            </w:r>
            <w:r w:rsidRPr="00F0337F">
              <w:rPr>
                <w:rFonts w:eastAsia="Times New Roman"/>
                <w:sz w:val="18"/>
                <w:szCs w:val="18"/>
                <w:lang w:val="en-GB" w:eastAsia="en-GB"/>
              </w:rPr>
              <w:t>, or report whether the code is publicly accessible and if so, where</w:t>
            </w:r>
          </w:p>
        </w:tc>
        <w:tc>
          <w:tcPr>
            <w:tcW w:w="1077" w:type="dxa"/>
          </w:tcPr>
          <w:p w14:paraId="5725EE6D" w14:textId="68C92024" w:rsidR="008E0600" w:rsidRPr="00F37064" w:rsidRDefault="008E0600" w:rsidP="008E0600">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17</w:t>
            </w:r>
          </w:p>
        </w:tc>
        <w:tc>
          <w:tcPr>
            <w:tcW w:w="4304" w:type="dxa"/>
          </w:tcPr>
          <w:p w14:paraId="6C2477AD" w14:textId="77777777" w:rsidR="008E0600" w:rsidRPr="008E0600" w:rsidRDefault="008E0600" w:rsidP="008E0600">
            <w:pPr>
              <w:spacing w:beforeLines="40" w:before="96" w:afterLines="40" w:after="96" w:line="24" w:lineRule="atLeast"/>
              <w:rPr>
                <w:rFonts w:eastAsia="Times New Roman"/>
                <w:sz w:val="18"/>
                <w:szCs w:val="18"/>
                <w:lang w:val="en-GB" w:eastAsia="en-GB"/>
              </w:rPr>
            </w:pPr>
            <w:r w:rsidRPr="008E0600">
              <w:rPr>
                <w:rFonts w:eastAsia="Times New Roman"/>
                <w:sz w:val="18"/>
                <w:szCs w:val="18"/>
                <w:lang w:val="en-GB" w:eastAsia="en-GB"/>
              </w:rPr>
              <w:t>All data sourced from the FinnGen consortium (R9) (https://www.finngen.fi/en), Psychiatric Genomics Consortium (PGC, http://www.med.unc.edu/pgc), and UK Biobank (http://www.ukbiobank.ac.uk/about-biobank-uk/).</w:t>
            </w:r>
          </w:p>
          <w:p w14:paraId="38DE3AA7" w14:textId="4E1025BA" w:rsidR="008E0600" w:rsidRDefault="008E0600" w:rsidP="008E0600">
            <w:pPr>
              <w:spacing w:beforeLines="40" w:before="96" w:afterLines="40" w:after="96" w:line="24" w:lineRule="atLeast"/>
              <w:rPr>
                <w:rFonts w:eastAsia="Times New Roman"/>
                <w:sz w:val="18"/>
                <w:szCs w:val="18"/>
                <w:lang w:val="en-GB" w:eastAsia="en-GB"/>
              </w:rPr>
            </w:pPr>
            <w:r w:rsidRPr="008E0600">
              <w:rPr>
                <w:rFonts w:eastAsia="Times New Roman"/>
                <w:sz w:val="18"/>
                <w:szCs w:val="18"/>
                <w:lang w:val="en-GB" w:eastAsia="en-GB"/>
              </w:rPr>
              <w:t>All codes are available from the corresponding author through reasonable request.</w:t>
            </w:r>
          </w:p>
        </w:tc>
      </w:tr>
      <w:tr w:rsidR="008E0600" w:rsidRPr="00B853C6" w14:paraId="1BFE6A86" w14:textId="26747AA0" w:rsidTr="00600578">
        <w:tc>
          <w:tcPr>
            <w:tcW w:w="587" w:type="dxa"/>
            <w:tcBorders>
              <w:bottom w:val="single" w:sz="6" w:space="0" w:color="7F7F7F"/>
            </w:tcBorders>
            <w:shd w:val="clear" w:color="auto" w:fill="EEEEEE"/>
          </w:tcPr>
          <w:p w14:paraId="20DC2C92" w14:textId="77777777" w:rsidR="008E0600" w:rsidRPr="00F0337F" w:rsidRDefault="008E0600" w:rsidP="008E0600">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20</w:t>
            </w:r>
          </w:p>
        </w:tc>
        <w:tc>
          <w:tcPr>
            <w:tcW w:w="1815" w:type="dxa"/>
            <w:tcBorders>
              <w:bottom w:val="single" w:sz="6" w:space="0" w:color="7F7F7F"/>
            </w:tcBorders>
            <w:shd w:val="clear" w:color="auto" w:fill="EEEEEE"/>
          </w:tcPr>
          <w:p w14:paraId="39A69A1B" w14:textId="77777777" w:rsidR="008E0600" w:rsidRPr="00F0337F" w:rsidRDefault="008E0600" w:rsidP="008E0600">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Conflicts of Interest  </w:t>
            </w:r>
          </w:p>
        </w:tc>
        <w:tc>
          <w:tcPr>
            <w:tcW w:w="6707" w:type="dxa"/>
            <w:tcBorders>
              <w:bottom w:val="single" w:sz="6" w:space="0" w:color="7F7F7F"/>
            </w:tcBorders>
            <w:shd w:val="clear" w:color="auto" w:fill="EEEEEE"/>
          </w:tcPr>
          <w:p w14:paraId="4772D912" w14:textId="77777777" w:rsidR="008E0600" w:rsidRPr="00F0337F" w:rsidRDefault="008E0600" w:rsidP="008E0600">
            <w:pPr>
              <w:spacing w:beforeLines="40" w:before="96" w:afterLines="40" w:after="96" w:line="24" w:lineRule="atLeast"/>
              <w:rPr>
                <w:rFonts w:eastAsia="Times New Roman"/>
                <w:sz w:val="18"/>
                <w:szCs w:val="18"/>
                <w:lang w:val="en-GB" w:eastAsia="en-GB"/>
              </w:rPr>
            </w:pPr>
            <w:r w:rsidRPr="00F0337F">
              <w:rPr>
                <w:rFonts w:eastAsia="Times New Roman"/>
                <w:sz w:val="18"/>
                <w:szCs w:val="18"/>
                <w:lang w:val="en-GB" w:eastAsia="en-GB"/>
              </w:rPr>
              <w:t>All authors should declare all potential conflicts of interest</w:t>
            </w:r>
          </w:p>
        </w:tc>
        <w:tc>
          <w:tcPr>
            <w:tcW w:w="1077" w:type="dxa"/>
            <w:tcBorders>
              <w:bottom w:val="single" w:sz="6" w:space="0" w:color="7F7F7F"/>
            </w:tcBorders>
            <w:shd w:val="clear" w:color="auto" w:fill="EEEEEE"/>
          </w:tcPr>
          <w:p w14:paraId="1B63BC8B" w14:textId="4E4827DF" w:rsidR="008E0600" w:rsidRPr="00F37064" w:rsidRDefault="008E0600" w:rsidP="008E0600">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16-17</w:t>
            </w:r>
          </w:p>
        </w:tc>
        <w:tc>
          <w:tcPr>
            <w:tcW w:w="4304" w:type="dxa"/>
            <w:tcBorders>
              <w:bottom w:val="single" w:sz="6" w:space="0" w:color="7F7F7F"/>
            </w:tcBorders>
            <w:shd w:val="clear" w:color="auto" w:fill="EEEEEE"/>
          </w:tcPr>
          <w:p w14:paraId="5D9123A4" w14:textId="216A7341" w:rsidR="008E0600" w:rsidRPr="008E0600" w:rsidRDefault="008E0600" w:rsidP="008E0600">
            <w:pPr>
              <w:spacing w:beforeLines="40" w:before="96" w:afterLines="40" w:after="96" w:line="24" w:lineRule="atLeast"/>
              <w:rPr>
                <w:rFonts w:eastAsia="Times New Roman"/>
                <w:sz w:val="18"/>
                <w:szCs w:val="18"/>
                <w:lang w:eastAsia="en-GB"/>
              </w:rPr>
            </w:pPr>
            <w:r w:rsidRPr="008E0600">
              <w:rPr>
                <w:rFonts w:eastAsia="Times New Roman"/>
                <w:sz w:val="18"/>
                <w:szCs w:val="18"/>
                <w:lang w:eastAsia="en-GB"/>
              </w:rPr>
              <w:t>The authors declare that they have no competing interests.</w:t>
            </w:r>
          </w:p>
        </w:tc>
      </w:tr>
    </w:tbl>
    <w:p w14:paraId="386115B2" w14:textId="17D6D8D3" w:rsidR="00605EE8" w:rsidRPr="009854A9" w:rsidRDefault="00D65199" w:rsidP="005520ED">
      <w:pPr>
        <w:spacing w:before="240" w:after="240"/>
        <w:rPr>
          <w:sz w:val="19"/>
          <w:szCs w:val="19"/>
        </w:rPr>
      </w:pPr>
      <w:r w:rsidRPr="009854A9">
        <w:rPr>
          <w:sz w:val="19"/>
          <w:szCs w:val="19"/>
        </w:rPr>
        <w:t>This checklist is copyrighted by the Equator Network under the Creative Commons Attribution 3.0 Unported (CC BY 3.0) license.</w:t>
      </w:r>
    </w:p>
    <w:p w14:paraId="5DDF8A06" w14:textId="73FE4A93" w:rsidR="009854A9" w:rsidRPr="009854A9" w:rsidRDefault="00804498" w:rsidP="009854A9">
      <w:pPr>
        <w:widowControl w:val="0"/>
        <w:autoSpaceDE w:val="0"/>
        <w:autoSpaceDN w:val="0"/>
        <w:adjustRightInd w:val="0"/>
        <w:spacing w:before="240" w:after="240" w:line="240" w:lineRule="auto"/>
        <w:ind w:left="640" w:hanging="640"/>
        <w:rPr>
          <w:noProof/>
          <w:sz w:val="19"/>
          <w:szCs w:val="19"/>
        </w:rPr>
      </w:pPr>
      <w:r w:rsidRPr="009854A9">
        <w:rPr>
          <w:sz w:val="19"/>
          <w:szCs w:val="19"/>
        </w:rPr>
        <w:fldChar w:fldCharType="begin" w:fldLock="1"/>
      </w:r>
      <w:r w:rsidRPr="009854A9">
        <w:rPr>
          <w:sz w:val="19"/>
          <w:szCs w:val="19"/>
        </w:rPr>
        <w:instrText xml:space="preserve">ADDIN Mendeley Bibliography CSL_BIBLIOGRAPHY </w:instrText>
      </w:r>
      <w:r w:rsidRPr="009854A9">
        <w:rPr>
          <w:sz w:val="19"/>
          <w:szCs w:val="19"/>
        </w:rPr>
        <w:fldChar w:fldCharType="separate"/>
      </w:r>
      <w:r w:rsidR="009854A9" w:rsidRPr="009854A9">
        <w:rPr>
          <w:noProof/>
          <w:sz w:val="19"/>
          <w:szCs w:val="19"/>
        </w:rPr>
        <w:t xml:space="preserve">1. </w:t>
      </w:r>
      <w:r w:rsidR="009854A9" w:rsidRPr="009854A9">
        <w:rPr>
          <w:noProof/>
          <w:sz w:val="19"/>
          <w:szCs w:val="19"/>
        </w:rPr>
        <w:tab/>
        <w:t xml:space="preserve">Skrivankova VW, Richmond RC, Woolf BAR, Yarmolinsky J, Davies NM, Swanson SA, et al. Strengthening the Reporting of Observational Studies in Epidemiology using Mendelian Randomization (STROBE-MR) Statement. JAMA. 2021;under review. </w:t>
      </w:r>
    </w:p>
    <w:p w14:paraId="63BF03A9" w14:textId="77777777" w:rsidR="009854A9" w:rsidRPr="009854A9" w:rsidRDefault="009854A9" w:rsidP="009854A9">
      <w:pPr>
        <w:widowControl w:val="0"/>
        <w:autoSpaceDE w:val="0"/>
        <w:autoSpaceDN w:val="0"/>
        <w:adjustRightInd w:val="0"/>
        <w:spacing w:before="240" w:after="240" w:line="240" w:lineRule="auto"/>
        <w:ind w:left="640" w:hanging="640"/>
        <w:rPr>
          <w:noProof/>
          <w:sz w:val="19"/>
          <w:szCs w:val="19"/>
        </w:rPr>
      </w:pPr>
      <w:r w:rsidRPr="009854A9">
        <w:rPr>
          <w:noProof/>
          <w:sz w:val="19"/>
          <w:szCs w:val="19"/>
        </w:rPr>
        <w:t xml:space="preserve">2. </w:t>
      </w:r>
      <w:r w:rsidRPr="009854A9">
        <w:rPr>
          <w:noProof/>
          <w:sz w:val="19"/>
          <w:szCs w:val="19"/>
        </w:rPr>
        <w:tab/>
        <w:t xml:space="preserve">Skrivankova VW, Richmond RC, Woolf BAR, Davies NM, Swanson SA, VanderWeele TJ, et al. Strengthening the Reporting of Observational Studies in Epidemiology using Mendelian Randomisation (STROBE-MR): Explanation and Elaboration. BMJ. 2021;375:n2233. </w:t>
      </w:r>
    </w:p>
    <w:p w14:paraId="25DB435D" w14:textId="164414FA" w:rsidR="00804498" w:rsidRDefault="00804498" w:rsidP="005520ED">
      <w:pPr>
        <w:spacing w:before="240" w:after="240"/>
      </w:pPr>
      <w:r w:rsidRPr="009854A9">
        <w:rPr>
          <w:sz w:val="19"/>
          <w:szCs w:val="19"/>
        </w:rPr>
        <w:fldChar w:fldCharType="end"/>
      </w:r>
    </w:p>
    <w:sectPr w:rsidR="00804498" w:rsidSect="003D447D">
      <w:footerReference w:type="even" r:id="rId10"/>
      <w:footerReference w:type="default" r:id="rId11"/>
      <w:pgSz w:w="15840" w:h="12240" w:orient="landscape"/>
      <w:pgMar w:top="1008" w:right="720" w:bottom="1008"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C58E51" w14:textId="77777777" w:rsidR="00C401B5" w:rsidRDefault="00C401B5">
      <w:pPr>
        <w:spacing w:line="240" w:lineRule="auto"/>
      </w:pPr>
      <w:r>
        <w:separator/>
      </w:r>
    </w:p>
  </w:endnote>
  <w:endnote w:type="continuationSeparator" w:id="0">
    <w:p w14:paraId="4D6E5E33" w14:textId="77777777" w:rsidR="00C401B5" w:rsidRDefault="00C401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B4A166" w14:textId="77777777" w:rsidR="00605EE8" w:rsidRDefault="00605EE8" w:rsidP="00A365E5">
    <w:pPr>
      <w:pStyle w:val="a3"/>
      <w:framePr w:wrap="none" w:vAnchor="text" w:hAnchor="margin" w:xAlign="right" w:y="1"/>
      <w:rPr>
        <w:rStyle w:val="a5"/>
      </w:rPr>
    </w:pPr>
  </w:p>
  <w:p w14:paraId="40A0897E" w14:textId="77777777" w:rsidR="00605EE8" w:rsidRDefault="00605EE8" w:rsidP="00C141F7">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9B7B5E" w14:textId="0AA16358" w:rsidR="00605EE8" w:rsidRDefault="003D447D">
    <w:pPr>
      <w:pStyle w:val="a3"/>
      <w:jc w:val="right"/>
    </w:pPr>
    <w:r>
      <w:fldChar w:fldCharType="begin"/>
    </w:r>
    <w:r>
      <w:instrText xml:space="preserve"> PAGE   \* MERGEFORMAT </w:instrText>
    </w:r>
    <w:r>
      <w:fldChar w:fldCharType="separate"/>
    </w:r>
    <w:r w:rsidR="00BB6328">
      <w:rPr>
        <w:noProof/>
      </w:rPr>
      <w:t>1</w:t>
    </w:r>
    <w:r>
      <w:rPr>
        <w:noProof/>
      </w:rPr>
      <w:fldChar w:fldCharType="end"/>
    </w:r>
  </w:p>
  <w:p w14:paraId="41D89672" w14:textId="77777777" w:rsidR="00605EE8" w:rsidRDefault="00605EE8" w:rsidP="00C141F7">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639B1E" w14:textId="77777777" w:rsidR="00C401B5" w:rsidRDefault="00C401B5">
      <w:pPr>
        <w:spacing w:line="240" w:lineRule="auto"/>
      </w:pPr>
      <w:r>
        <w:separator/>
      </w:r>
    </w:p>
  </w:footnote>
  <w:footnote w:type="continuationSeparator" w:id="0">
    <w:p w14:paraId="3E449EB9" w14:textId="77777777" w:rsidR="00C401B5" w:rsidRDefault="00C401B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C56"/>
    <w:rsid w:val="000A4CE8"/>
    <w:rsid w:val="001765C2"/>
    <w:rsid w:val="0019757C"/>
    <w:rsid w:val="002663E6"/>
    <w:rsid w:val="003D447D"/>
    <w:rsid w:val="003D47DD"/>
    <w:rsid w:val="004522E2"/>
    <w:rsid w:val="00490928"/>
    <w:rsid w:val="004B5CBB"/>
    <w:rsid w:val="004E11D4"/>
    <w:rsid w:val="00514462"/>
    <w:rsid w:val="005520ED"/>
    <w:rsid w:val="005A0D0D"/>
    <w:rsid w:val="005F5AF1"/>
    <w:rsid w:val="00600578"/>
    <w:rsid w:val="00605EE8"/>
    <w:rsid w:val="0067765C"/>
    <w:rsid w:val="00685D31"/>
    <w:rsid w:val="006912BF"/>
    <w:rsid w:val="006A41D0"/>
    <w:rsid w:val="006B08D5"/>
    <w:rsid w:val="00754C3D"/>
    <w:rsid w:val="00772017"/>
    <w:rsid w:val="00804498"/>
    <w:rsid w:val="008C44B5"/>
    <w:rsid w:val="008E0600"/>
    <w:rsid w:val="00914C56"/>
    <w:rsid w:val="00933842"/>
    <w:rsid w:val="00934591"/>
    <w:rsid w:val="00950729"/>
    <w:rsid w:val="009854A9"/>
    <w:rsid w:val="009E033F"/>
    <w:rsid w:val="00AC016B"/>
    <w:rsid w:val="00B87FF0"/>
    <w:rsid w:val="00BB6328"/>
    <w:rsid w:val="00C401B5"/>
    <w:rsid w:val="00D65199"/>
    <w:rsid w:val="00D8098C"/>
    <w:rsid w:val="00DE7C29"/>
    <w:rsid w:val="00E646DE"/>
    <w:rsid w:val="00E77392"/>
    <w:rsid w:val="00ED48A3"/>
    <w:rsid w:val="00EF4B94"/>
    <w:rsid w:val="00F37064"/>
    <w:rsid w:val="00FC636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6E999F"/>
  <w15:chartTrackingRefBased/>
  <w15:docId w15:val="{3C23E9FF-C4EB-475A-AABF-DB561B80E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914C56"/>
    <w:pPr>
      <w:spacing w:after="0" w:line="276" w:lineRule="auto"/>
    </w:pPr>
    <w:rPr>
      <w:rFonts w:ascii="Arial" w:eastAsia="Arial" w:hAnsi="Arial" w:cs="Arial"/>
      <w:lang w:val="en" w:eastAsia="de-CH"/>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914C56"/>
    <w:pPr>
      <w:tabs>
        <w:tab w:val="center" w:pos="4680"/>
        <w:tab w:val="right" w:pos="9360"/>
      </w:tabs>
      <w:spacing w:line="240" w:lineRule="auto"/>
    </w:pPr>
  </w:style>
  <w:style w:type="character" w:customStyle="1" w:styleId="a4">
    <w:name w:val="页脚 字符"/>
    <w:basedOn w:val="a0"/>
    <w:link w:val="a3"/>
    <w:uiPriority w:val="99"/>
    <w:rsid w:val="00914C56"/>
    <w:rPr>
      <w:rFonts w:ascii="Arial" w:eastAsia="Arial" w:hAnsi="Arial" w:cs="Arial"/>
      <w:lang w:val="en" w:eastAsia="de-CH"/>
    </w:rPr>
  </w:style>
  <w:style w:type="character" w:styleId="a5">
    <w:name w:val="page number"/>
    <w:basedOn w:val="a0"/>
    <w:uiPriority w:val="99"/>
    <w:semiHidden/>
    <w:unhideWhenUsed/>
    <w:rsid w:val="00914C56"/>
  </w:style>
  <w:style w:type="character" w:styleId="a6">
    <w:name w:val="line number"/>
    <w:basedOn w:val="a0"/>
    <w:uiPriority w:val="99"/>
    <w:semiHidden/>
    <w:unhideWhenUsed/>
    <w:rsid w:val="00914C56"/>
  </w:style>
  <w:style w:type="paragraph" w:styleId="a7">
    <w:name w:val="header"/>
    <w:basedOn w:val="a"/>
    <w:link w:val="a8"/>
    <w:uiPriority w:val="99"/>
    <w:unhideWhenUsed/>
    <w:rsid w:val="00E77392"/>
    <w:pPr>
      <w:tabs>
        <w:tab w:val="center" w:pos="4153"/>
        <w:tab w:val="right" w:pos="8306"/>
      </w:tabs>
      <w:snapToGrid w:val="0"/>
      <w:spacing w:line="240" w:lineRule="auto"/>
      <w:jc w:val="center"/>
    </w:pPr>
    <w:rPr>
      <w:sz w:val="18"/>
      <w:szCs w:val="18"/>
    </w:rPr>
  </w:style>
  <w:style w:type="character" w:customStyle="1" w:styleId="a8">
    <w:name w:val="页眉 字符"/>
    <w:basedOn w:val="a0"/>
    <w:link w:val="a7"/>
    <w:uiPriority w:val="99"/>
    <w:rsid w:val="00E77392"/>
    <w:rPr>
      <w:rFonts w:ascii="Arial" w:eastAsia="Arial" w:hAnsi="Arial" w:cs="Arial"/>
      <w:sz w:val="18"/>
      <w:szCs w:val="18"/>
      <w:lang w:val="en"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D76252F6EC97BD48BFC15397CDF87BCA" ma:contentTypeVersion="14" ma:contentTypeDescription="Ein neues Dokument erstellen." ma:contentTypeScope="" ma:versionID="99bba3a2774fdba6befc8d470ad041a8">
  <xsd:schema xmlns:xsd="http://www.w3.org/2001/XMLSchema" xmlns:xs="http://www.w3.org/2001/XMLSchema" xmlns:p="http://schemas.microsoft.com/office/2006/metadata/properties" xmlns:ns3="892d8916-a04a-483c-b38c-baf9957a1c5f" xmlns:ns4="697eed72-5420-4f01-93c1-7c9f4310e871" targetNamespace="http://schemas.microsoft.com/office/2006/metadata/properties" ma:root="true" ma:fieldsID="08b8b0ba8c484102a3bbe13611225d97" ns3:_="" ns4:_="">
    <xsd:import namespace="892d8916-a04a-483c-b38c-baf9957a1c5f"/>
    <xsd:import namespace="697eed72-5420-4f01-93c1-7c9f4310e87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2d8916-a04a-483c-b38c-baf9957a1c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97eed72-5420-4f01-93c1-7c9f4310e871"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SharingHintHash" ma:index="20"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F20111-77FD-4F18-8E31-D737874646AB}">
  <ds:schemaRefs>
    <ds:schemaRef ds:uri="http://schemas.microsoft.com/sharepoint/v3/contenttype/forms"/>
  </ds:schemaRefs>
</ds:datastoreItem>
</file>

<file path=customXml/itemProps2.xml><?xml version="1.0" encoding="utf-8"?>
<ds:datastoreItem xmlns:ds="http://schemas.openxmlformats.org/officeDocument/2006/customXml" ds:itemID="{9FB0931C-FCE2-4CC4-80DE-15614B41F1F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DA32DB-E5B8-4E32-AD11-08F2E668867B}">
  <ds:schemaRefs>
    <ds:schemaRef ds:uri="http://schemas.openxmlformats.org/officeDocument/2006/bibliography"/>
  </ds:schemaRefs>
</ds:datastoreItem>
</file>

<file path=customXml/itemProps4.xml><?xml version="1.0" encoding="utf-8"?>
<ds:datastoreItem xmlns:ds="http://schemas.openxmlformats.org/officeDocument/2006/customXml" ds:itemID="{A9898B61-61B7-44F1-9388-8B27875B1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2d8916-a04a-483c-b38c-baf9957a1c5f"/>
    <ds:schemaRef ds:uri="697eed72-5420-4f01-93c1-7c9f4310e8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5798</Words>
  <Characters>33049</Characters>
  <Application>Microsoft Office Word</Application>
  <DocSecurity>4</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University of Bern</Company>
  <LinksUpToDate>false</LinksUpToDate>
  <CharactersWithSpaces>38770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Whitesell, Veronika (ISPM)</dc:creator>
  <cp:keywords/>
  <dc:description/>
  <cp:lastModifiedBy>Lingfeng Zhang</cp:lastModifiedBy>
  <cp:revision>2</cp:revision>
  <cp:lastPrinted>2021-09-28T07:08:00Z</cp:lastPrinted>
  <dcterms:created xsi:type="dcterms:W3CDTF">2024-11-13T19:51:00Z</dcterms:created>
  <dcterms:modified xsi:type="dcterms:W3CDTF">2024-11-13T19:51:00Z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0x010100D76252F6EC97BD48BFC15397CDF87BCA</vt:lpwstr>
  </property>
  <property fmtid="{D5CDD505-2E9C-101B-9397-08002B2CF9AE}" pid="3" name="Mendeley Document_1">
    <vt:lpwstr>True</vt:lpwstr>
  </property>
  <property fmtid="{D5CDD505-2E9C-101B-9397-08002B2CF9AE}" pid="4" name="Mendeley Unique User Id_1">
    <vt:lpwstr>54eed440-5ecd-3ecc-9960-859334ccb0da</vt:lpwstr>
  </property>
  <property fmtid="{D5CDD505-2E9C-101B-9397-08002B2CF9AE}" pid="5" name="Mendeley Citation Style_1">
    <vt:lpwstr>http://www.zotero.org/styles/vancouver-superscript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6th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http://www.zotero.org/styles/vancouver-imperial-college-london</vt:lpwstr>
  </property>
  <property fmtid="{D5CDD505-2E9C-101B-9397-08002B2CF9AE}" pid="21" name="Mendeley Recent Style Name 7_1">
    <vt:lpwstr>Imperial College London - Vancouver</vt:lpwstr>
  </property>
  <property fmtid="{D5CDD505-2E9C-101B-9397-08002B2CF9AE}" pid="22" name="Mendeley Recent Style Id 8_1">
    <vt:lpwstr>http://www.zotero.org/styles/vancouver</vt:lpwstr>
  </property>
  <property fmtid="{D5CDD505-2E9C-101B-9397-08002B2CF9AE}" pid="23" name="Mendeley Recent Style Name 8_1">
    <vt:lpwstr>Vancouver</vt:lpwstr>
  </property>
  <property fmtid="{D5CDD505-2E9C-101B-9397-08002B2CF9AE}" pid="24" name="Mendeley Recent Style Id 9_1">
    <vt:lpwstr>http://www.zotero.org/styles/vancouver-superscript</vt:lpwstr>
  </property>
  <property fmtid="{D5CDD505-2E9C-101B-9397-08002B2CF9AE}" pid="25" name="Mendeley Recent Style Name 9_1">
    <vt:lpwstr>Vancouver (superscript)</vt:lpwstr>
  </property>
</Properties>
</file>