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1C0C7">
      <w:pPr>
        <w:rPr>
          <w:rStyle w:val="5"/>
          <w:rFonts w:hint="default" w:ascii="Times New Roman Bold" w:hAnsi="Times New Roman Bold" w:cs="Times New Roman Bold"/>
          <w:b/>
          <w:bCs w:val="0"/>
          <w:i w:val="0"/>
          <w:sz w:val="24"/>
          <w:szCs w:val="24"/>
        </w:rPr>
      </w:pPr>
      <w:r>
        <w:rPr>
          <w:rStyle w:val="5"/>
          <w:rFonts w:hint="default" w:ascii="Times New Roman Bold" w:hAnsi="Times New Roman Bold" w:cs="Times New Roman Bold"/>
          <w:b/>
          <w:bCs w:val="0"/>
          <w:i w:val="0"/>
          <w:sz w:val="24"/>
          <w:szCs w:val="24"/>
          <w:lang w:val="en-US"/>
        </w:rPr>
        <w:t xml:space="preserve">Extended Data </w:t>
      </w:r>
      <w:r>
        <w:rPr>
          <w:rStyle w:val="5"/>
          <w:rFonts w:hint="default" w:ascii="Times New Roman Bold" w:hAnsi="Times New Roman Bold" w:cs="Times New Roman Bold"/>
          <w:b/>
          <w:bCs w:val="0"/>
          <w:i w:val="0"/>
          <w:sz w:val="24"/>
          <w:szCs w:val="24"/>
        </w:rPr>
        <w:t xml:space="preserve">Figure 1. Baseline cognitive impairment </w:t>
      </w:r>
    </w:p>
    <w:p w14:paraId="0728B1B6">
      <w:pPr>
        <w:rPr>
          <w:rStyle w:val="5"/>
          <w:rFonts w:hint="default" w:ascii="Times New Roman Bold" w:hAnsi="Times New Roman Bold" w:cs="Times New Roman Bold"/>
          <w:b/>
          <w:bCs w:val="0"/>
          <w:i w:val="0"/>
          <w:sz w:val="24"/>
          <w:szCs w:val="24"/>
          <w:lang w:val="en-US"/>
        </w:rPr>
      </w:pPr>
      <w:r>
        <w:rPr>
          <w:rStyle w:val="5"/>
          <w:rFonts w:hint="default" w:ascii="Times New Roman Bold" w:hAnsi="Times New Roman Bold" w:cs="Times New Roman Bold"/>
          <w:b/>
          <w:bCs w:val="0"/>
          <w:i w:val="0"/>
          <w:sz w:val="24"/>
          <w:szCs w:val="24"/>
          <w:lang w:val="en-US"/>
        </w:rPr>
        <w:drawing>
          <wp:inline distT="0" distB="0" distL="114300" distR="114300">
            <wp:extent cx="5272405" cy="3145155"/>
            <wp:effectExtent l="0" t="0" r="10795" b="4445"/>
            <wp:docPr id="1" name="图片 1" descr="degree of cognition impair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egree of cognition impairment"/>
                    <pic:cNvPicPr>
                      <a:picLocks noChangeAspect="1"/>
                    </pic:cNvPicPr>
                  </pic:nvPicPr>
                  <pic:blipFill>
                    <a:blip r:embed="rId4"/>
                    <a:stretch>
                      <a:fillRect/>
                    </a:stretch>
                  </pic:blipFill>
                  <pic:spPr>
                    <a:xfrm>
                      <a:off x="0" y="0"/>
                      <a:ext cx="5272405" cy="3145155"/>
                    </a:xfrm>
                    <a:prstGeom prst="rect">
                      <a:avLst/>
                    </a:prstGeom>
                  </pic:spPr>
                </pic:pic>
              </a:graphicData>
            </a:graphic>
          </wp:inline>
        </w:drawing>
      </w:r>
    </w:p>
    <w:p w14:paraId="257305C4">
      <w:pPr>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t>Degree of cognitive impairment across neuropsychological tests. Bar plots represent effect sizes of cognitive test performance relative to normative data, categorized by magnitude (small, medium, large). The red dashed lines indicate conventional thresholds for effect size interpretation. Asterisks denote significant deviations (</w:t>
      </w:r>
      <w:r>
        <w:rPr>
          <w:rStyle w:val="6"/>
          <w:rFonts w:hint="default" w:ascii="Times New Roman Regular" w:hAnsi="Times New Roman Regular" w:cs="Times New Roman Regular"/>
          <w:b w:val="0"/>
          <w:i w:val="0"/>
          <w:sz w:val="24"/>
          <w:szCs w:val="24"/>
        </w:rPr>
        <w:t>p</w:t>
      </w:r>
      <w:r>
        <w:rPr>
          <w:rFonts w:hint="default" w:ascii="Times New Roman Regular" w:hAnsi="Times New Roman Regular" w:cs="Times New Roman Regular"/>
          <w:b w:val="0"/>
          <w:i w:val="0"/>
          <w:sz w:val="24"/>
          <w:szCs w:val="24"/>
        </w:rPr>
        <w:t xml:space="preserve"> &lt; 0.05, FDR-corrected).</w:t>
      </w:r>
    </w:p>
    <w:p w14:paraId="3C8073E3">
      <w:pPr>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b w:val="0"/>
          <w:i w:val="0"/>
          <w:sz w:val="24"/>
          <w:szCs w:val="24"/>
        </w:rPr>
        <w:br w:type="page"/>
      </w:r>
    </w:p>
    <w:p w14:paraId="27851DB4">
      <w:pPr>
        <w:keepNext w:val="0"/>
        <w:keepLines w:val="0"/>
        <w:widowControl/>
        <w:suppressLineNumbers w:val="0"/>
        <w:jc w:val="left"/>
        <w:rPr>
          <w:rFonts w:hint="default" w:ascii="Times New Roman Bold" w:hAnsi="Times New Roman Bold" w:cs="Times New Roman Bold"/>
          <w:b/>
          <w:bCs/>
          <w:sz w:val="24"/>
          <w:lang w:val="en-US" w:eastAsia="zh-CN"/>
        </w:rPr>
      </w:pPr>
      <w:r>
        <w:rPr>
          <w:rFonts w:hint="default" w:ascii="Times New Roman Bold" w:hAnsi="Times New Roman Bold" w:cs="Times New Roman Bold"/>
          <w:b/>
          <w:bCs/>
          <w:sz w:val="24"/>
          <w:lang w:val="en-US" w:eastAsia="zh-CN"/>
        </w:rPr>
        <w:t>Extended Data Table 1</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64"/>
        <w:gridCol w:w="4858"/>
      </w:tblGrid>
      <w:tr w14:paraId="5C4AAB5A">
        <w:tc>
          <w:tcPr>
            <w:tcW w:w="4261" w:type="dxa"/>
            <w:tcBorders>
              <w:top w:val="single" w:color="000000" w:sz="4" w:space="0"/>
              <w:left w:val="nil"/>
              <w:right w:val="nil"/>
              <w:tl2br w:val="nil"/>
            </w:tcBorders>
            <w:shd w:val="clear" w:color="auto" w:fill="FFFFFF"/>
          </w:tcPr>
          <w:p w14:paraId="26D25F0F">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p>
        </w:tc>
        <w:tc>
          <w:tcPr>
            <w:tcW w:w="4261" w:type="dxa"/>
            <w:tcBorders>
              <w:top w:val="single" w:color="000000" w:sz="4" w:space="0"/>
              <w:left w:val="nil"/>
              <w:right w:val="nil"/>
            </w:tcBorders>
            <w:shd w:val="clear" w:color="auto" w:fill="FFFFFF"/>
          </w:tcPr>
          <w:p w14:paraId="2F5DDC0D">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 xml:space="preserve">Stable Features </w:t>
            </w:r>
          </w:p>
        </w:tc>
      </w:tr>
      <w:tr w14:paraId="31B9DEDB">
        <w:tc>
          <w:tcPr>
            <w:tcW w:w="4261" w:type="dxa"/>
            <w:tcBorders>
              <w:left w:val="nil"/>
              <w:right w:val="nil"/>
            </w:tcBorders>
            <w:shd w:val="clear" w:color="auto" w:fill="FFFFFF"/>
          </w:tcPr>
          <w:p w14:paraId="357C5875">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 xml:space="preserve">TMT-related </w:t>
            </w:r>
          </w:p>
        </w:tc>
        <w:tc>
          <w:tcPr>
            <w:tcW w:w="4261" w:type="dxa"/>
            <w:tcBorders>
              <w:left w:val="nil"/>
              <w:right w:val="nil"/>
            </w:tcBorders>
            <w:shd w:val="clear" w:color="auto" w:fill="FFFFFF"/>
          </w:tcPr>
          <w:p w14:paraId="7B306EA6">
            <w:pPr>
              <w:keepNext w:val="0"/>
              <w:keepLines w:val="0"/>
              <w:widowControl/>
              <w:suppressLineNumbers w:val="0"/>
              <w:jc w:val="left"/>
              <w:rPr>
                <w:rFonts w:hint="default" w:ascii="Times New Roman Regular" w:hAnsi="Times New Roman Regular" w:cs="Times New Roman Regular"/>
                <w:b w:val="0"/>
                <w:color w:val="000000"/>
                <w:lang w:val="en-US" w:eastAsia="zh-CN"/>
              </w:rPr>
            </w:pPr>
            <w:r>
              <w:rPr>
                <w:rFonts w:hint="default" w:ascii="Times New Roman Regular" w:hAnsi="Times New Roman Regular" w:cs="Times New Roman Regular"/>
                <w:b w:val="0"/>
                <w:color w:val="000000"/>
                <w:lang w:val="en-US" w:eastAsia="zh-CN"/>
              </w:rPr>
              <w:t>logHNR_sma_de_flatness</w:t>
            </w:r>
          </w:p>
          <w:p w14:paraId="71A6DD6B">
            <w:pPr>
              <w:keepNext w:val="0"/>
              <w:keepLines w:val="0"/>
              <w:widowControl/>
              <w:suppressLineNumbers w:val="0"/>
              <w:jc w:val="left"/>
              <w:rPr>
                <w:rFonts w:hint="default" w:ascii="Times New Roman Regular" w:hAnsi="Times New Roman Regular" w:cs="Times New Roman Regular"/>
                <w:b w:val="0"/>
                <w:color w:val="000000"/>
                <w:lang w:val="en-US" w:eastAsia="zh-CN"/>
              </w:rPr>
            </w:pPr>
            <w:r>
              <w:rPr>
                <w:rFonts w:hint="default" w:ascii="Times New Roman Regular" w:hAnsi="Times New Roman Regular" w:cs="Times New Roman Regular"/>
                <w:b w:val="0"/>
                <w:color w:val="000000"/>
                <w:lang w:val="en-US" w:eastAsia="zh-CN"/>
              </w:rPr>
              <w:t>pcm_fftMag_spectralVariance_sma_upleveltime75</w:t>
            </w:r>
          </w:p>
          <w:p w14:paraId="77B2092D">
            <w:pPr>
              <w:keepNext w:val="0"/>
              <w:keepLines w:val="0"/>
              <w:widowControl/>
              <w:suppressLineNumbers w:val="0"/>
              <w:jc w:val="left"/>
              <w:rPr>
                <w:rFonts w:hint="default" w:ascii="Times New Roman Regular" w:hAnsi="Times New Roman Regular" w:cs="Times New Roman Regular"/>
                <w:b w:val="0"/>
                <w:color w:val="000000"/>
                <w:lang w:val="en-US" w:eastAsia="zh-CN"/>
              </w:rPr>
            </w:pPr>
            <w:r>
              <w:rPr>
                <w:rFonts w:hint="default" w:ascii="Times New Roman Regular" w:hAnsi="Times New Roman Regular" w:cs="Times New Roman Regular"/>
                <w:b w:val="0"/>
                <w:color w:val="000000"/>
                <w:lang w:val="en-US" w:eastAsia="zh-CN"/>
              </w:rPr>
              <w:t>pcm_fftMag_spectralHarmonicity_sma_de_leftctime pcm_fftMag_spectralVariance_sma_qregerr</w:t>
            </w:r>
          </w:p>
          <w:p w14:paraId="432AC80A">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lang w:val="en-US" w:eastAsia="zh-CN"/>
              </w:rPr>
              <w:t>pcm_fftMag_spectralVariance_sma_linregerrQ</w:t>
            </w:r>
          </w:p>
        </w:tc>
      </w:tr>
      <w:tr w14:paraId="5A571BA6">
        <w:tc>
          <w:tcPr>
            <w:tcW w:w="4261" w:type="dxa"/>
            <w:tcBorders>
              <w:left w:val="nil"/>
              <w:right w:val="nil"/>
            </w:tcBorders>
            <w:shd w:val="clear" w:color="auto" w:fill="FFFFFF"/>
          </w:tcPr>
          <w:p w14:paraId="7E4583E6">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DS-related</w:t>
            </w:r>
          </w:p>
        </w:tc>
        <w:tc>
          <w:tcPr>
            <w:tcW w:w="4261" w:type="dxa"/>
            <w:tcBorders>
              <w:left w:val="nil"/>
              <w:right w:val="nil"/>
            </w:tcBorders>
            <w:shd w:val="clear" w:color="auto" w:fill="FFFFFF"/>
          </w:tcPr>
          <w:p w14:paraId="10B49E8E">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audSpec_Rfilt_sma[21]_maxSegLen</w:t>
            </w:r>
          </w:p>
          <w:p w14:paraId="31827DEA">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audSpec_Rfilt_sma[21]_segLenStddev</w:t>
            </w:r>
          </w:p>
          <w:p w14:paraId="40A8BC51">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mfcc_sma[14]_lpc2</w:t>
            </w:r>
          </w:p>
          <w:p w14:paraId="50C108F6">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audspec_lengthL1norm_sma_peakDistStddev</w:t>
            </w:r>
          </w:p>
          <w:p w14:paraId="2D905EDF">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audspec_lengthL1norm_sma_de_meanPeakDist</w:t>
            </w:r>
          </w:p>
          <w:p w14:paraId="6C9EFCB8">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mfcc_sma_de[4]_minRangeRel</w:t>
            </w:r>
          </w:p>
        </w:tc>
      </w:tr>
      <w:tr w14:paraId="22123A41">
        <w:tc>
          <w:tcPr>
            <w:tcW w:w="4261" w:type="dxa"/>
            <w:tcBorders>
              <w:left w:val="nil"/>
              <w:right w:val="nil"/>
            </w:tcBorders>
            <w:shd w:val="clear" w:color="auto" w:fill="FFFFFF"/>
          </w:tcPr>
          <w:p w14:paraId="05BF6A36">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CP-related</w:t>
            </w:r>
          </w:p>
        </w:tc>
        <w:tc>
          <w:tcPr>
            <w:tcW w:w="4261" w:type="dxa"/>
            <w:tcBorders>
              <w:left w:val="nil"/>
              <w:right w:val="nil"/>
            </w:tcBorders>
            <w:shd w:val="clear" w:color="auto" w:fill="FFFFFF"/>
          </w:tcPr>
          <w:p w14:paraId="2CE6D67B">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mfcc_sma[3]_segLenStddev</w:t>
            </w:r>
          </w:p>
          <w:p w14:paraId="464643F3">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mfcc_sma[5]_upleveltime25</w:t>
            </w:r>
          </w:p>
          <w:p w14:paraId="7E3E713B">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mfcc_sma[10]_upleveltime50</w:t>
            </w:r>
          </w:p>
          <w:p w14:paraId="05722508">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mfcc_sma_de[2]_kurtosis</w:t>
            </w:r>
          </w:p>
          <w:p w14:paraId="59719990">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mfcc_sma[3]_peakDistStddev</w:t>
            </w:r>
          </w:p>
          <w:p w14:paraId="2BA94BE5">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mfcc_sma[10]_linregc2</w:t>
            </w:r>
          </w:p>
          <w:p w14:paraId="4A3AC5F4">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pcm_fftMag_spectralVariance_sma_de_peakRangeRel</w:t>
            </w:r>
          </w:p>
        </w:tc>
      </w:tr>
      <w:tr w14:paraId="77011357">
        <w:tc>
          <w:tcPr>
            <w:tcW w:w="4261" w:type="dxa"/>
            <w:tcBorders>
              <w:left w:val="nil"/>
              <w:bottom w:val="single" w:color="000000" w:sz="4" w:space="0"/>
              <w:right w:val="nil"/>
            </w:tcBorders>
            <w:shd w:val="clear" w:color="auto" w:fill="FFFFFF"/>
          </w:tcPr>
          <w:p w14:paraId="6AC56318">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SC-related</w:t>
            </w:r>
          </w:p>
        </w:tc>
        <w:tc>
          <w:tcPr>
            <w:tcW w:w="4261" w:type="dxa"/>
            <w:tcBorders>
              <w:left w:val="nil"/>
              <w:bottom w:val="single" w:color="000000" w:sz="4" w:space="0"/>
              <w:right w:val="nil"/>
            </w:tcBorders>
            <w:shd w:val="clear" w:color="auto" w:fill="FFFFFF"/>
          </w:tcPr>
          <w:p w14:paraId="354B5AB0">
            <w:pPr>
              <w:keepNext w:val="0"/>
              <w:keepLines w:val="0"/>
              <w:widowControl/>
              <w:suppressLineNumbers w:val="0"/>
              <w:jc w:val="left"/>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none</w:t>
            </w:r>
          </w:p>
        </w:tc>
      </w:tr>
    </w:tbl>
    <w:p w14:paraId="2D6C75A5">
      <w:pPr>
        <w:keepNext w:val="0"/>
        <w:keepLines w:val="0"/>
        <w:widowControl/>
        <w:suppressLineNumbers w:val="0"/>
        <w:jc w:val="left"/>
        <w:rPr>
          <w:rFonts w:hint="default" w:ascii="Times New Roman Regular" w:hAnsi="Times New Roman Regular" w:cs="Times New Roman Regular"/>
          <w:b w:val="0"/>
          <w:i w:val="0"/>
          <w:sz w:val="24"/>
          <w:szCs w:val="24"/>
        </w:rPr>
      </w:pPr>
      <w:r>
        <w:rPr>
          <w:rFonts w:hint="default" w:ascii="Times New Roman Regular" w:hAnsi="Times New Roman Regular" w:cs="Times New Roman Regular"/>
          <w:sz w:val="24"/>
          <w:lang w:val="en-US" w:eastAsia="zh-CN"/>
        </w:rPr>
        <w:t xml:space="preserve">This table </w:t>
      </w:r>
      <w:bookmarkStart w:id="0" w:name="_GoBack"/>
      <w:bookmarkEnd w:id="0"/>
      <w:r>
        <w:rPr>
          <w:rFonts w:hint="default" w:ascii="Times New Roman Regular" w:hAnsi="Times New Roman Regular" w:cs="Times New Roman Regular"/>
          <w:b w:val="0"/>
          <w:i w:val="0"/>
          <w:sz w:val="24"/>
          <w:szCs w:val="24"/>
        </w:rPr>
        <w:t>lists the stable speech features identified through Elastic Net-Bootstrap co-screening that are associated with specific cognitive domains: Trail Making Test (TMT), Digit Span (DS), Continuous Performance Test (CP), and Symbol Coding (SC). These features were selected based on their stable associations with cognitive performance and minimal multicollinearity (VIF &lt; 5). The features are categorized according to the cognitive domain in which they were most strongly associated.</w:t>
      </w:r>
    </w:p>
    <w:p w14:paraId="34799BFA">
      <w:pPr>
        <w:rPr>
          <w:rFonts w:hint="default" w:ascii="Times New Roman Bold" w:hAnsi="Times New Roman Bold" w:cs="Times New Roman Bold"/>
          <w:b/>
          <w:bCs/>
          <w:sz w:val="24"/>
          <w:lang w:val="en-US" w:eastAsia="zh-CN"/>
        </w:rPr>
      </w:pPr>
      <w:r>
        <w:rPr>
          <w:rFonts w:hint="default" w:ascii="Times New Roman Bold" w:hAnsi="Times New Roman Bold" w:cs="Times New Roman Bold"/>
          <w:b/>
          <w:bCs/>
          <w:sz w:val="24"/>
          <w:lang w:val="en-US" w:eastAsia="zh-CN"/>
        </w:rPr>
        <w:br w:type="page"/>
      </w:r>
    </w:p>
    <w:p w14:paraId="62821165">
      <w:pPr>
        <w:rPr>
          <w:rFonts w:hint="default" w:ascii="Times New Roman Bold" w:hAnsi="Times New Roman Bold" w:cs="Times New Roman Bold"/>
          <w:b/>
          <w:bCs/>
          <w:sz w:val="24"/>
          <w:lang w:val="en-US" w:eastAsia="zh-CN"/>
        </w:rPr>
      </w:pPr>
      <w:r>
        <w:rPr>
          <w:rFonts w:hint="default" w:ascii="Times New Roman Bold" w:hAnsi="Times New Roman Bold" w:cs="Times New Roman Bold"/>
          <w:b/>
          <w:bCs/>
          <w:sz w:val="24"/>
          <w:lang w:val="en-US" w:eastAsia="zh-CN"/>
        </w:rPr>
        <w:t>Extended Data Table 2. PCA of Cognitive Test: Top 5 Features and Their Contributions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712"/>
        <w:gridCol w:w="710"/>
        <w:gridCol w:w="6100"/>
      </w:tblGrid>
      <w:tr w14:paraId="4C1BE276">
        <w:tc>
          <w:tcPr>
            <w:tcW w:w="1712" w:type="dxa"/>
            <w:tcBorders>
              <w:top w:val="single" w:color="000000" w:sz="4" w:space="0"/>
              <w:left w:val="nil"/>
              <w:bottom w:val="single" w:color="auto" w:sz="4" w:space="0"/>
              <w:right w:val="nil"/>
              <w:tl2br w:val="nil"/>
            </w:tcBorders>
            <w:shd w:val="clear" w:color="auto" w:fill="FFFFFF"/>
            <w:vAlign w:val="center"/>
          </w:tcPr>
          <w:p w14:paraId="7FF02EB7">
            <w:pPr>
              <w:jc w:val="cente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Cognitive Test</w:t>
            </w:r>
          </w:p>
        </w:tc>
        <w:tc>
          <w:tcPr>
            <w:tcW w:w="710" w:type="dxa"/>
            <w:tcBorders>
              <w:top w:val="single" w:color="000000" w:sz="4" w:space="0"/>
              <w:left w:val="nil"/>
              <w:bottom w:val="single" w:color="auto" w:sz="4" w:space="0"/>
              <w:right w:val="nil"/>
            </w:tcBorders>
            <w:shd w:val="clear" w:color="auto" w:fill="FFFFFF"/>
            <w:vAlign w:val="center"/>
          </w:tcPr>
          <w:p w14:paraId="22420F06">
            <w:pPr>
              <w:jc w:val="center"/>
              <w:rPr>
                <w:rFonts w:hint="default" w:ascii="Times New Roman Regular" w:hAnsi="Times New Roman Regular" w:cs="Times New Roman Regular"/>
                <w:b w:val="0"/>
                <w:color w:val="000000"/>
              </w:rPr>
            </w:pPr>
          </w:p>
        </w:tc>
        <w:tc>
          <w:tcPr>
            <w:tcW w:w="6100" w:type="dxa"/>
            <w:tcBorders>
              <w:top w:val="single" w:color="000000" w:sz="4" w:space="0"/>
              <w:left w:val="nil"/>
              <w:bottom w:val="single" w:color="auto" w:sz="4" w:space="0"/>
              <w:right w:val="nil"/>
            </w:tcBorders>
            <w:shd w:val="clear" w:color="auto" w:fill="FFFFFF"/>
            <w:vAlign w:val="top"/>
          </w:tcPr>
          <w:p w14:paraId="12A95184">
            <w:pPr>
              <w:jc w:val="cente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Feature Name</w:t>
            </w:r>
          </w:p>
        </w:tc>
      </w:tr>
      <w:tr w14:paraId="7E1AD322">
        <w:tc>
          <w:tcPr>
            <w:tcW w:w="1712" w:type="dxa"/>
            <w:vMerge w:val="restart"/>
            <w:tcBorders>
              <w:top w:val="single" w:color="auto" w:sz="4" w:space="0"/>
              <w:left w:val="nil"/>
              <w:bottom w:val="nil"/>
              <w:right w:val="nil"/>
            </w:tcBorders>
            <w:shd w:val="clear" w:color="auto" w:fill="FFFFFF"/>
            <w:vAlign w:val="center"/>
          </w:tcPr>
          <w:p w14:paraId="1CB93AC2">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lang w:val="en-US"/>
              </w:rPr>
              <w:t>PCA of TMT</w:t>
            </w:r>
          </w:p>
        </w:tc>
        <w:tc>
          <w:tcPr>
            <w:tcW w:w="710" w:type="dxa"/>
            <w:tcBorders>
              <w:top w:val="single" w:color="auto" w:sz="4" w:space="0"/>
              <w:left w:val="nil"/>
              <w:bottom w:val="nil"/>
              <w:right w:val="nil"/>
            </w:tcBorders>
            <w:shd w:val="clear" w:color="auto" w:fill="FFFFFF"/>
            <w:vAlign w:val="center"/>
          </w:tcPr>
          <w:p w14:paraId="4613F09C">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PC1</w:t>
            </w:r>
          </w:p>
        </w:tc>
        <w:tc>
          <w:tcPr>
            <w:tcW w:w="6100" w:type="dxa"/>
            <w:tcBorders>
              <w:top w:val="single" w:color="auto" w:sz="4" w:space="0"/>
              <w:left w:val="nil"/>
              <w:bottom w:val="nil"/>
              <w:right w:val="nil"/>
            </w:tcBorders>
            <w:shd w:val="clear" w:color="auto" w:fill="FFFFFF"/>
          </w:tcPr>
          <w:p w14:paraId="17C9AD84">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pcm_fftMag_spectralVariance_sma_qregerrQ: 0.57</w:t>
            </w:r>
          </w:p>
          <w:p w14:paraId="4602C476">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pcm_fftMag_spectralVariance_sma_linregerrQ: 0.57</w:t>
            </w:r>
          </w:p>
          <w:p w14:paraId="15631F68">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pcm_fftMag_spectralVariance_sma_upleveltime75: 0.55</w:t>
            </w:r>
          </w:p>
          <w:p w14:paraId="211BBDCD">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logHNR_sma_de_flatness: 0.18</w:t>
            </w:r>
          </w:p>
          <w:p w14:paraId="625FFD8B">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pcm_fftMag_spectralHarmonicity_sma_de_leftctime: 0.14</w:t>
            </w:r>
          </w:p>
        </w:tc>
      </w:tr>
      <w:tr w14:paraId="165E0A62">
        <w:tc>
          <w:tcPr>
            <w:tcW w:w="1712" w:type="dxa"/>
            <w:vMerge w:val="continue"/>
            <w:tcBorders>
              <w:top w:val="nil"/>
              <w:left w:val="nil"/>
              <w:bottom w:val="nil"/>
              <w:right w:val="nil"/>
            </w:tcBorders>
            <w:shd w:val="clear" w:color="auto" w:fill="FFFFFF"/>
            <w:vAlign w:val="center"/>
          </w:tcPr>
          <w:p w14:paraId="26E04007">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nil"/>
              <w:right w:val="nil"/>
            </w:tcBorders>
            <w:shd w:val="clear" w:color="auto" w:fill="FFFFFF"/>
            <w:vAlign w:val="center"/>
          </w:tcPr>
          <w:p w14:paraId="6D101D06">
            <w:pPr>
              <w:jc w:val="center"/>
              <w:rPr>
                <w:rFonts w:hint="default" w:ascii="Times New Roman Regular" w:hAnsi="Times New Roman Regular" w:cs="Times New Roman Regular" w:eastAsiaTheme="minorEastAsia"/>
                <w:b w:val="0"/>
                <w:bCs/>
                <w:color w:val="000000"/>
                <w:sz w:val="24"/>
                <w:vertAlign w:val="baseline"/>
                <w:lang w:val="en-US" w:eastAsia="zh-CN"/>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eastAsia="zh-CN"/>
              </w:rPr>
              <w:t>2</w:t>
            </w:r>
          </w:p>
        </w:tc>
        <w:tc>
          <w:tcPr>
            <w:tcW w:w="6100" w:type="dxa"/>
            <w:tcBorders>
              <w:top w:val="nil"/>
              <w:left w:val="nil"/>
              <w:bottom w:val="nil"/>
              <w:right w:val="nil"/>
            </w:tcBorders>
            <w:shd w:val="clear" w:color="auto" w:fill="FFFFFF"/>
          </w:tcPr>
          <w:p w14:paraId="309CC6C9">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pcm_fftMag_spectralHarmonicity_sma_de_leftctime: 0.71</w:t>
            </w:r>
          </w:p>
          <w:p w14:paraId="1250594F">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logHNR_sma_de_flatness: 0.65</w:t>
            </w:r>
          </w:p>
          <w:p w14:paraId="0EA85AD3">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pcm_fftMag_spectralVariance_sma_linregerrQ: 0.19</w:t>
            </w:r>
          </w:p>
          <w:p w14:paraId="485A31D7">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pcm_fftMag_spectralVariance_sma_qregerrQ: 0.19</w:t>
            </w:r>
          </w:p>
        </w:tc>
      </w:tr>
      <w:tr w14:paraId="1778FC19">
        <w:tc>
          <w:tcPr>
            <w:tcW w:w="1712" w:type="dxa"/>
            <w:vMerge w:val="continue"/>
            <w:tcBorders>
              <w:top w:val="nil"/>
              <w:left w:val="nil"/>
              <w:bottom w:val="single" w:color="auto" w:sz="4" w:space="0"/>
              <w:right w:val="nil"/>
            </w:tcBorders>
            <w:shd w:val="clear" w:color="auto" w:fill="FFFFFF"/>
            <w:vAlign w:val="center"/>
          </w:tcPr>
          <w:p w14:paraId="6447897D">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single" w:color="auto" w:sz="4" w:space="0"/>
              <w:right w:val="nil"/>
            </w:tcBorders>
            <w:shd w:val="clear" w:color="auto" w:fill="FFFFFF"/>
            <w:vAlign w:val="center"/>
          </w:tcPr>
          <w:p w14:paraId="3E8608FD">
            <w:pPr>
              <w:jc w:val="center"/>
              <w:rPr>
                <w:rFonts w:hint="default" w:ascii="Times New Roman Regular" w:hAnsi="Times New Roman Regular" w:cs="Times New Roman Regular" w:eastAsiaTheme="minorEastAsia"/>
                <w:b w:val="0"/>
                <w:bCs/>
                <w:color w:val="000000"/>
                <w:sz w:val="24"/>
                <w:vertAlign w:val="baseline"/>
                <w:lang w:val="en-US" w:eastAsia="zh-CN"/>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eastAsia="zh-CN"/>
              </w:rPr>
              <w:t>3</w:t>
            </w:r>
          </w:p>
        </w:tc>
        <w:tc>
          <w:tcPr>
            <w:tcW w:w="6100" w:type="dxa"/>
            <w:tcBorders>
              <w:top w:val="nil"/>
              <w:left w:val="nil"/>
              <w:bottom w:val="single" w:color="auto" w:sz="4" w:space="0"/>
              <w:right w:val="nil"/>
            </w:tcBorders>
            <w:shd w:val="clear" w:color="auto" w:fill="FFFFFF"/>
          </w:tcPr>
          <w:p w14:paraId="18CCB18C">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logHNR_sma_de_flatness: 0.74</w:t>
            </w:r>
          </w:p>
          <w:p w14:paraId="64CD4D4A">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pcm_fftMag_spectralHarmonicity_sma_de_leftctime: 0.66</w:t>
            </w:r>
          </w:p>
          <w:p w14:paraId="2BA22D6F">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pcm_fftMag_spectralVariance_sma_upleveltime75: 0.12</w:t>
            </w:r>
          </w:p>
          <w:p w14:paraId="03B62087">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pcm_fftMag_spectralVariance_sma_qregerrQ: 0.03</w:t>
            </w:r>
          </w:p>
          <w:p w14:paraId="7F1C8906">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pcm_fftMag_spectralVariance_sma_linregerrQ: 0.02</w:t>
            </w:r>
          </w:p>
        </w:tc>
      </w:tr>
      <w:tr w14:paraId="6B65EEC4">
        <w:tc>
          <w:tcPr>
            <w:tcW w:w="1712" w:type="dxa"/>
            <w:vMerge w:val="restart"/>
            <w:tcBorders>
              <w:top w:val="single" w:color="auto" w:sz="4" w:space="0"/>
              <w:left w:val="nil"/>
              <w:bottom w:val="nil"/>
              <w:right w:val="nil"/>
            </w:tcBorders>
            <w:shd w:val="clear" w:color="auto" w:fill="FFFFFF"/>
            <w:vAlign w:val="center"/>
          </w:tcPr>
          <w:p w14:paraId="387AF36C">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lang w:val="en-US"/>
              </w:rPr>
              <w:t>PCA of CP</w:t>
            </w:r>
          </w:p>
        </w:tc>
        <w:tc>
          <w:tcPr>
            <w:tcW w:w="710" w:type="dxa"/>
            <w:tcBorders>
              <w:top w:val="single" w:color="auto" w:sz="4" w:space="0"/>
              <w:left w:val="nil"/>
              <w:bottom w:val="nil"/>
              <w:right w:val="nil"/>
            </w:tcBorders>
            <w:shd w:val="clear" w:color="auto" w:fill="FFFFFF"/>
            <w:vAlign w:val="center"/>
          </w:tcPr>
          <w:p w14:paraId="3606DB97">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PC1</w:t>
            </w:r>
          </w:p>
        </w:tc>
        <w:tc>
          <w:tcPr>
            <w:tcW w:w="6100" w:type="dxa"/>
            <w:tcBorders>
              <w:top w:val="single" w:color="auto" w:sz="4" w:space="0"/>
              <w:left w:val="nil"/>
              <w:bottom w:val="nil"/>
              <w:right w:val="nil"/>
            </w:tcBorders>
            <w:shd w:val="clear" w:color="auto" w:fill="FFFFFF"/>
          </w:tcPr>
          <w:p w14:paraId="53658DD4">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mfcc_sma[10]_linregc2: 0.53</w:t>
            </w:r>
          </w:p>
          <w:p w14:paraId="14D11402">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mfcc_sma[10]_upleveltime50: 0.52</w:t>
            </w:r>
          </w:p>
          <w:p w14:paraId="2CC25B8C">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mfcc_sma_de[2]_kurtosis: 0.47</w:t>
            </w:r>
          </w:p>
          <w:p w14:paraId="75296C5E">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mfcc_sma[3]_peakDistStddev: 0.39</w:t>
            </w:r>
          </w:p>
          <w:p w14:paraId="041B8E83">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mfcc_sma[3]_segLenStddev: 0.20</w:t>
            </w:r>
          </w:p>
        </w:tc>
      </w:tr>
      <w:tr w14:paraId="6375D01B">
        <w:tc>
          <w:tcPr>
            <w:tcW w:w="1712" w:type="dxa"/>
            <w:vMerge w:val="continue"/>
            <w:tcBorders>
              <w:top w:val="nil"/>
              <w:left w:val="nil"/>
              <w:bottom w:val="nil"/>
              <w:right w:val="nil"/>
            </w:tcBorders>
            <w:shd w:val="clear" w:color="auto" w:fill="FFFFFF"/>
            <w:vAlign w:val="center"/>
          </w:tcPr>
          <w:p w14:paraId="5B613C6C">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nil"/>
              <w:right w:val="nil"/>
            </w:tcBorders>
            <w:shd w:val="clear" w:color="auto" w:fill="FFFFFF"/>
            <w:vAlign w:val="center"/>
          </w:tcPr>
          <w:p w14:paraId="141B647A">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2</w:t>
            </w:r>
          </w:p>
        </w:tc>
        <w:tc>
          <w:tcPr>
            <w:tcW w:w="6100" w:type="dxa"/>
            <w:tcBorders>
              <w:top w:val="nil"/>
              <w:left w:val="nil"/>
              <w:bottom w:val="nil"/>
              <w:right w:val="nil"/>
            </w:tcBorders>
            <w:shd w:val="clear" w:color="auto" w:fill="FFFFFF"/>
          </w:tcPr>
          <w:p w14:paraId="5A5C302E">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mfcc_sma[3]_segLenStddev: 0.62</w:t>
            </w:r>
          </w:p>
          <w:p w14:paraId="317FC0CD">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mfcc_sma[5]_upleveltime25: 0.44</w:t>
            </w:r>
          </w:p>
          <w:p w14:paraId="6622EF27">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mfcc_sma[10]_upleveltime50: 0.40</w:t>
            </w:r>
          </w:p>
          <w:p w14:paraId="65BF4FF2">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mfcc_sma[10]_linregc2: 0.38</w:t>
            </w:r>
          </w:p>
          <w:p w14:paraId="3A9693DB">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mfcc_sma_de[2]_kurtosis: 0.29</w:t>
            </w:r>
          </w:p>
        </w:tc>
      </w:tr>
      <w:tr w14:paraId="23B92C32">
        <w:tc>
          <w:tcPr>
            <w:tcW w:w="1712" w:type="dxa"/>
            <w:vMerge w:val="continue"/>
            <w:tcBorders>
              <w:top w:val="nil"/>
              <w:left w:val="nil"/>
              <w:bottom w:val="nil"/>
              <w:right w:val="nil"/>
            </w:tcBorders>
            <w:shd w:val="clear" w:color="auto" w:fill="FFFFFF"/>
            <w:vAlign w:val="center"/>
          </w:tcPr>
          <w:p w14:paraId="2B6323DC">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nil"/>
              <w:right w:val="nil"/>
            </w:tcBorders>
            <w:shd w:val="clear" w:color="auto" w:fill="FFFFFF"/>
            <w:vAlign w:val="center"/>
          </w:tcPr>
          <w:p w14:paraId="468E0C3C">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3</w:t>
            </w:r>
          </w:p>
        </w:tc>
        <w:tc>
          <w:tcPr>
            <w:tcW w:w="6100" w:type="dxa"/>
            <w:tcBorders>
              <w:top w:val="nil"/>
              <w:left w:val="nil"/>
              <w:bottom w:val="nil"/>
              <w:right w:val="nil"/>
            </w:tcBorders>
            <w:shd w:val="clear" w:color="auto" w:fill="FFFFFF"/>
          </w:tcPr>
          <w:p w14:paraId="1D148C88">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pcm_fftMag_spectralVariance_sma_de_peakRangeRel: 0.87</w:t>
            </w:r>
          </w:p>
          <w:p w14:paraId="130973F5">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mfcc_sma[3]_peakDistStddev: 0.37</w:t>
            </w:r>
          </w:p>
          <w:p w14:paraId="379230D8">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mfcc_sma[5]_upleveltime25: 0.28</w:t>
            </w:r>
          </w:p>
          <w:p w14:paraId="644FCDFD">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mfcc_sma[10]_upleveltime50: 0.14</w:t>
            </w:r>
          </w:p>
          <w:p w14:paraId="27D98F1C">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mfcc_sma_de[2]_kurtosis: 0.07</w:t>
            </w:r>
          </w:p>
        </w:tc>
      </w:tr>
      <w:tr w14:paraId="6AD4D81A">
        <w:tc>
          <w:tcPr>
            <w:tcW w:w="1712" w:type="dxa"/>
            <w:vMerge w:val="continue"/>
            <w:tcBorders>
              <w:top w:val="nil"/>
              <w:left w:val="nil"/>
              <w:bottom w:val="nil"/>
              <w:right w:val="nil"/>
            </w:tcBorders>
            <w:shd w:val="clear" w:color="auto" w:fill="FFFFFF"/>
            <w:vAlign w:val="center"/>
          </w:tcPr>
          <w:p w14:paraId="37479EDA">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nil"/>
              <w:right w:val="nil"/>
            </w:tcBorders>
            <w:shd w:val="clear" w:color="auto" w:fill="FFFFFF"/>
            <w:vAlign w:val="center"/>
          </w:tcPr>
          <w:p w14:paraId="6544DF9D">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4</w:t>
            </w:r>
          </w:p>
        </w:tc>
        <w:tc>
          <w:tcPr>
            <w:tcW w:w="6100" w:type="dxa"/>
            <w:tcBorders>
              <w:top w:val="nil"/>
              <w:left w:val="nil"/>
              <w:bottom w:val="nil"/>
              <w:right w:val="nil"/>
            </w:tcBorders>
            <w:shd w:val="clear" w:color="auto" w:fill="FFFFFF"/>
          </w:tcPr>
          <w:p w14:paraId="188F2646">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mfcc_sma[5]_upleveltime25: 0.66</w:t>
            </w:r>
          </w:p>
          <w:p w14:paraId="74A84922">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mfcc_sma[3]_peakDistStddev: 0.48</w:t>
            </w:r>
          </w:p>
          <w:p w14:paraId="456477A1">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pcm_fftMag_spectralVariance_sma_de_peakRangeRel: 0.47</w:t>
            </w:r>
          </w:p>
          <w:p w14:paraId="69A7FC6E">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mfcc_sma_de[2]_kurtosis: 0.22</w:t>
            </w:r>
          </w:p>
          <w:p w14:paraId="65AF783C">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mfcc_sma[10]_linregc2: 0.21</w:t>
            </w:r>
          </w:p>
        </w:tc>
      </w:tr>
      <w:tr w14:paraId="7289F752">
        <w:tc>
          <w:tcPr>
            <w:tcW w:w="1712" w:type="dxa"/>
            <w:vMerge w:val="continue"/>
            <w:tcBorders>
              <w:top w:val="nil"/>
              <w:left w:val="nil"/>
              <w:bottom w:val="single" w:color="auto" w:sz="4" w:space="0"/>
              <w:right w:val="nil"/>
            </w:tcBorders>
            <w:shd w:val="clear" w:color="auto" w:fill="FFFFFF"/>
            <w:vAlign w:val="center"/>
          </w:tcPr>
          <w:p w14:paraId="7F90CB0F">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single" w:color="auto" w:sz="4" w:space="0"/>
              <w:right w:val="nil"/>
            </w:tcBorders>
            <w:shd w:val="clear" w:color="auto" w:fill="FFFFFF"/>
            <w:vAlign w:val="center"/>
          </w:tcPr>
          <w:p w14:paraId="75E8CF63">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5</w:t>
            </w:r>
          </w:p>
        </w:tc>
        <w:tc>
          <w:tcPr>
            <w:tcW w:w="6100" w:type="dxa"/>
            <w:tcBorders>
              <w:top w:val="nil"/>
              <w:left w:val="nil"/>
              <w:bottom w:val="single" w:color="auto" w:sz="4" w:space="0"/>
              <w:right w:val="nil"/>
            </w:tcBorders>
            <w:shd w:val="clear" w:color="auto" w:fill="FFFFFF"/>
          </w:tcPr>
          <w:p w14:paraId="219B9372">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mfcc_sma[3]_peakDistStddev: 0.67</w:t>
            </w:r>
          </w:p>
          <w:p w14:paraId="221DF865">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mfcc_sma_de[2]_kurtosis: 0.51</w:t>
            </w:r>
          </w:p>
          <w:p w14:paraId="1D217E01">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mfcc_sma[5]_upleveltime25: 0.42</w:t>
            </w:r>
          </w:p>
          <w:p w14:paraId="2F229916">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rPr>
              <w:t>- mfcc_sma[3]_segLenStddev: 0.31</w:t>
            </w:r>
          </w:p>
          <w:p w14:paraId="525BC344">
            <w:pP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rPr>
              <w:t>- pcm_fftMag_spectralVariance_sma_de_peakRangeRel: 0.11</w:t>
            </w:r>
          </w:p>
        </w:tc>
      </w:tr>
      <w:tr w14:paraId="0C0D84A8">
        <w:tc>
          <w:tcPr>
            <w:tcW w:w="1712" w:type="dxa"/>
            <w:vMerge w:val="restart"/>
            <w:tcBorders>
              <w:top w:val="single" w:color="auto" w:sz="4" w:space="0"/>
              <w:left w:val="nil"/>
              <w:bottom w:val="nil"/>
              <w:right w:val="nil"/>
            </w:tcBorders>
            <w:shd w:val="clear" w:color="auto" w:fill="FFFFFF"/>
            <w:vAlign w:val="center"/>
          </w:tcPr>
          <w:p w14:paraId="7B3D90B6">
            <w:pPr>
              <w:jc w:val="center"/>
              <w:rPr>
                <w:rFonts w:hint="default" w:ascii="Times New Roman Regular" w:hAnsi="Times New Roman Regular" w:cs="Times New Roman Regular"/>
                <w:b w:val="0"/>
                <w:bCs/>
                <w:color w:val="000000"/>
                <w:sz w:val="24"/>
                <w:vertAlign w:val="baseline"/>
                <w:lang w:val="en-US" w:eastAsia="zh-CN"/>
              </w:rPr>
            </w:pPr>
            <w:r>
              <w:rPr>
                <w:rFonts w:hint="default" w:ascii="Times New Roman Regular" w:hAnsi="Times New Roman Regular" w:cs="Times New Roman Regular"/>
                <w:b w:val="0"/>
                <w:color w:val="000000"/>
                <w:lang w:val="en-US"/>
              </w:rPr>
              <w:t>PCA of DS</w:t>
            </w:r>
          </w:p>
        </w:tc>
        <w:tc>
          <w:tcPr>
            <w:tcW w:w="710" w:type="dxa"/>
            <w:tcBorders>
              <w:top w:val="single" w:color="auto" w:sz="4" w:space="0"/>
              <w:left w:val="nil"/>
              <w:bottom w:val="nil"/>
              <w:right w:val="nil"/>
            </w:tcBorders>
            <w:shd w:val="clear" w:color="auto" w:fill="FFFFFF"/>
            <w:vAlign w:val="center"/>
          </w:tcPr>
          <w:p w14:paraId="27196EC6">
            <w:pPr>
              <w:jc w:val="cente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1</w:t>
            </w:r>
          </w:p>
        </w:tc>
        <w:tc>
          <w:tcPr>
            <w:tcW w:w="6100" w:type="dxa"/>
            <w:tcBorders>
              <w:top w:val="single" w:color="auto" w:sz="4" w:space="0"/>
              <w:left w:val="nil"/>
              <w:bottom w:val="nil"/>
              <w:right w:val="nil"/>
            </w:tcBorders>
            <w:shd w:val="clear" w:color="auto" w:fill="FFFFFF"/>
          </w:tcPr>
          <w:p w14:paraId="43FA3CE2">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audSpec_Rfilt_sma[21]_maxSegLen: 0.50</w:t>
            </w:r>
          </w:p>
          <w:p w14:paraId="1AC7E4B0">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audSpec_Rfilt_sma[21]_segLenStddev: 0.45</w:t>
            </w:r>
          </w:p>
          <w:p w14:paraId="4B4E82C4">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audspec_lengthL1norm_sma_de_meanPeakDist: 0.44</w:t>
            </w:r>
          </w:p>
          <w:p w14:paraId="7AB1E81C">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audspec_lengthL1norm_sma_peakDistStddev: 0.43</w:t>
            </w:r>
          </w:p>
          <w:p w14:paraId="7F535ECB">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lang w:val="en-US"/>
              </w:rPr>
              <w:t>+ mfcc_sma_de[4]_minRangeRel: 0.34</w:t>
            </w:r>
          </w:p>
        </w:tc>
      </w:tr>
      <w:tr w14:paraId="3EADA28F">
        <w:tc>
          <w:tcPr>
            <w:tcW w:w="1712" w:type="dxa"/>
            <w:vMerge w:val="continue"/>
            <w:tcBorders>
              <w:top w:val="nil"/>
              <w:left w:val="nil"/>
              <w:bottom w:val="nil"/>
              <w:right w:val="nil"/>
            </w:tcBorders>
            <w:shd w:val="clear" w:color="auto" w:fill="FFFFFF"/>
            <w:vAlign w:val="center"/>
          </w:tcPr>
          <w:p w14:paraId="46AB8442">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nil"/>
              <w:right w:val="nil"/>
            </w:tcBorders>
            <w:shd w:val="clear" w:color="auto" w:fill="FFFFFF"/>
            <w:vAlign w:val="center"/>
          </w:tcPr>
          <w:p w14:paraId="16514B43">
            <w:pPr>
              <w:jc w:val="cente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2</w:t>
            </w:r>
          </w:p>
        </w:tc>
        <w:tc>
          <w:tcPr>
            <w:tcW w:w="6100" w:type="dxa"/>
            <w:tcBorders>
              <w:top w:val="nil"/>
              <w:left w:val="nil"/>
              <w:bottom w:val="nil"/>
              <w:right w:val="nil"/>
            </w:tcBorders>
            <w:shd w:val="clear" w:color="auto" w:fill="FFFFFF"/>
          </w:tcPr>
          <w:p w14:paraId="6EB83CE1">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audspec_lengthL1norm_sma_peakDistStddev: 0.56</w:t>
            </w:r>
          </w:p>
          <w:p w14:paraId="026F328A">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audspec_lengthL1norm_sma_de_meanPeakDist: 0.54</w:t>
            </w:r>
          </w:p>
          <w:p w14:paraId="7F2019DB">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audSpec_Rfilt_sma[21]_segLenStddev: 0.38</w:t>
            </w:r>
          </w:p>
          <w:p w14:paraId="253B6923">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mfcc_sma_de[4]_minRangeRel: 0.29</w:t>
            </w:r>
          </w:p>
          <w:p w14:paraId="6CF7A78E">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lang w:val="en-US"/>
              </w:rPr>
              <w:t>- mfcc_sma[14]_lpc2: 0.29</w:t>
            </w:r>
          </w:p>
        </w:tc>
      </w:tr>
      <w:tr w14:paraId="469991AB">
        <w:tc>
          <w:tcPr>
            <w:tcW w:w="1712" w:type="dxa"/>
            <w:vMerge w:val="continue"/>
            <w:tcBorders>
              <w:top w:val="nil"/>
              <w:left w:val="nil"/>
              <w:bottom w:val="nil"/>
              <w:right w:val="nil"/>
            </w:tcBorders>
            <w:shd w:val="clear" w:color="auto" w:fill="FFFFFF"/>
            <w:vAlign w:val="center"/>
          </w:tcPr>
          <w:p w14:paraId="7E416478">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nil"/>
              <w:right w:val="nil"/>
            </w:tcBorders>
            <w:shd w:val="clear" w:color="auto" w:fill="FFFFFF"/>
            <w:vAlign w:val="center"/>
          </w:tcPr>
          <w:p w14:paraId="44394B43">
            <w:pPr>
              <w:jc w:val="cente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3</w:t>
            </w:r>
          </w:p>
        </w:tc>
        <w:tc>
          <w:tcPr>
            <w:tcW w:w="6100" w:type="dxa"/>
            <w:tcBorders>
              <w:top w:val="nil"/>
              <w:left w:val="nil"/>
              <w:bottom w:val="nil"/>
              <w:right w:val="nil"/>
            </w:tcBorders>
            <w:shd w:val="clear" w:color="auto" w:fill="FFFFFF"/>
          </w:tcPr>
          <w:p w14:paraId="48B6F5C4">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mfcc_sma[14]_lpc2: 0.79</w:t>
            </w:r>
          </w:p>
          <w:p w14:paraId="517412D5">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audSpec_Rfilt_sma[21]_segLenStddev: 0.40</w:t>
            </w:r>
          </w:p>
          <w:p w14:paraId="44FF93B0">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audSpec_Rfilt_sma[21]_maxSegLen: 0.32</w:t>
            </w:r>
          </w:p>
          <w:p w14:paraId="5601125B">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mfcc_sma_de[4]_minRangeRel: 0.32</w:t>
            </w:r>
          </w:p>
          <w:p w14:paraId="4101D10B">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lang w:val="en-US"/>
              </w:rPr>
              <w:t>+ audspec_lengthL1norm_sma_peakDistStddev: 0.08</w:t>
            </w:r>
          </w:p>
        </w:tc>
      </w:tr>
      <w:tr w14:paraId="17850B55">
        <w:tc>
          <w:tcPr>
            <w:tcW w:w="1712" w:type="dxa"/>
            <w:vMerge w:val="continue"/>
            <w:tcBorders>
              <w:top w:val="nil"/>
              <w:left w:val="nil"/>
              <w:bottom w:val="single" w:color="000000" w:sz="4" w:space="0"/>
              <w:right w:val="nil"/>
            </w:tcBorders>
            <w:shd w:val="clear" w:color="auto" w:fill="FFFFFF"/>
            <w:vAlign w:val="center"/>
          </w:tcPr>
          <w:p w14:paraId="33A2FC82">
            <w:pPr>
              <w:jc w:val="center"/>
              <w:rPr>
                <w:rFonts w:hint="default" w:ascii="Times New Roman Regular" w:hAnsi="Times New Roman Regular" w:cs="Times New Roman Regular"/>
                <w:b w:val="0"/>
                <w:bCs/>
                <w:color w:val="000000"/>
                <w:sz w:val="24"/>
                <w:vertAlign w:val="baseline"/>
                <w:lang w:val="en-US" w:eastAsia="zh-CN"/>
              </w:rPr>
            </w:pPr>
          </w:p>
        </w:tc>
        <w:tc>
          <w:tcPr>
            <w:tcW w:w="710" w:type="dxa"/>
            <w:tcBorders>
              <w:top w:val="nil"/>
              <w:left w:val="nil"/>
              <w:bottom w:val="single" w:color="000000" w:sz="4" w:space="0"/>
              <w:right w:val="nil"/>
            </w:tcBorders>
            <w:shd w:val="clear" w:color="auto" w:fill="FFFFFF"/>
            <w:vAlign w:val="center"/>
          </w:tcPr>
          <w:p w14:paraId="494F3684">
            <w:pPr>
              <w:jc w:val="cente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rPr>
              <w:t>PC</w:t>
            </w:r>
            <w:r>
              <w:rPr>
                <w:rFonts w:hint="default" w:ascii="Times New Roman Regular" w:hAnsi="Times New Roman Regular" w:cs="Times New Roman Regular"/>
                <w:b w:val="0"/>
                <w:color w:val="000000"/>
                <w:lang w:val="en-US"/>
              </w:rPr>
              <w:t>4</w:t>
            </w:r>
          </w:p>
        </w:tc>
        <w:tc>
          <w:tcPr>
            <w:tcW w:w="6100" w:type="dxa"/>
            <w:tcBorders>
              <w:top w:val="nil"/>
              <w:left w:val="nil"/>
              <w:bottom w:val="single" w:color="000000" w:sz="4" w:space="0"/>
              <w:right w:val="nil"/>
            </w:tcBorders>
            <w:shd w:val="clear" w:color="auto" w:fill="FFFFFF"/>
          </w:tcPr>
          <w:p w14:paraId="2278ACC3">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mfcc_sma_de[4]_minRangeRel: 0.83</w:t>
            </w:r>
          </w:p>
          <w:p w14:paraId="41FE69E2">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mfcc_sma[14]_lpc2: 0.49</w:t>
            </w:r>
          </w:p>
          <w:p w14:paraId="6AF181F7">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audSpec_Rfilt_sma[21]_segLenStddev: 0.19</w:t>
            </w:r>
          </w:p>
          <w:p w14:paraId="21E80116">
            <w:pPr>
              <w:rPr>
                <w:rFonts w:hint="default" w:ascii="Times New Roman Regular" w:hAnsi="Times New Roman Regular" w:cs="Times New Roman Regular"/>
                <w:b w:val="0"/>
                <w:color w:val="000000"/>
                <w:lang w:val="en-US"/>
              </w:rPr>
            </w:pPr>
            <w:r>
              <w:rPr>
                <w:rFonts w:hint="default" w:ascii="Times New Roman Regular" w:hAnsi="Times New Roman Regular" w:cs="Times New Roman Regular"/>
                <w:b w:val="0"/>
                <w:color w:val="000000"/>
                <w:lang w:val="en-US"/>
              </w:rPr>
              <w:t>- audSpec_Rfilt_sma[21]_maxSegLen: 0.15</w:t>
            </w:r>
          </w:p>
          <w:p w14:paraId="74676692">
            <w:pPr>
              <w:rPr>
                <w:rFonts w:hint="default" w:ascii="Times New Roman Regular" w:hAnsi="Times New Roman Regular" w:cs="Times New Roman Regular"/>
                <w:b w:val="0"/>
                <w:color w:val="000000"/>
              </w:rPr>
            </w:pPr>
            <w:r>
              <w:rPr>
                <w:rFonts w:hint="default" w:ascii="Times New Roman Regular" w:hAnsi="Times New Roman Regular" w:cs="Times New Roman Regular"/>
                <w:b w:val="0"/>
                <w:color w:val="000000"/>
                <w:lang w:val="en-US"/>
              </w:rPr>
              <w:t>- audspec_lengthL1norm_sma_peakDistStddev: 0.10</w:t>
            </w:r>
          </w:p>
        </w:tc>
      </w:tr>
    </w:tbl>
    <w:p w14:paraId="6780D74C">
      <w:pPr>
        <w:rPr>
          <w:rFonts w:hint="default" w:ascii="Times New Roman Bold" w:hAnsi="Times New Roman Bold" w:cs="Times New Roman Bold"/>
          <w:b/>
          <w:bCs/>
          <w:sz w:val="24"/>
          <w:lang w:val="en-US" w:eastAsia="zh-CN"/>
        </w:rPr>
      </w:pPr>
      <w:r>
        <w:rPr>
          <w:rFonts w:hint="default" w:ascii="Times New Roman" w:hAnsi="Times New Roman" w:cs="Times New Roman"/>
          <w:b w:val="0"/>
          <w:bCs w:val="0"/>
          <w:sz w:val="24"/>
          <w:lang w:val="en-US" w:eastAsia="zh-CN"/>
        </w:rPr>
        <w:t>This table displays the top five features contributing to each principal component (PC) in the principal component analysis (PCA) of the cognitive tests. The signs (+ and -) indicate whether the feature has a positive or negative contribution to the respective principal component, with the numerical values representing the absolute contribution strength.</w:t>
      </w:r>
      <w:r>
        <w:rPr>
          <w:rFonts w:hint="default" w:ascii="Times New Roman Bold" w:hAnsi="Times New Roman Bold" w:cs="Times New Roman Bold"/>
          <w:b/>
          <w:bCs/>
          <w:sz w:val="24"/>
          <w:lang w:val="en-US" w:eastAsia="zh-CN"/>
        </w:rPr>
        <w:br w:type="page"/>
      </w:r>
    </w:p>
    <w:p w14:paraId="1FB0DDA8">
      <w:pPr>
        <w:keepNext w:val="0"/>
        <w:keepLines w:val="0"/>
        <w:widowControl/>
        <w:suppressLineNumbers w:val="0"/>
        <w:jc w:val="left"/>
        <w:rPr>
          <w:rFonts w:hint="default" w:ascii="Times New Roman Bold" w:hAnsi="Times New Roman Bold" w:cs="Times New Roman Bold"/>
          <w:b/>
          <w:bCs/>
          <w:lang w:val="en-US" w:eastAsia="zh-CN"/>
        </w:rPr>
      </w:pPr>
      <w:r>
        <w:rPr>
          <w:rFonts w:hint="default" w:ascii="Times New Roman Bold" w:hAnsi="Times New Roman Bold" w:cs="Times New Roman Bold"/>
          <w:b/>
          <w:bCs/>
          <w:sz w:val="24"/>
          <w:lang w:val="en-US" w:eastAsia="zh-CN"/>
        </w:rPr>
        <w:t xml:space="preserve">Extended Data Table </w:t>
      </w:r>
      <w:r>
        <w:rPr>
          <w:rFonts w:hint="eastAsia" w:ascii="Times New Roman Bold" w:hAnsi="Times New Roman Bold" w:cs="Times New Roman Bold"/>
          <w:b/>
          <w:bCs/>
          <w:sz w:val="24"/>
          <w:lang w:val="en-US" w:eastAsia="zh-CN"/>
        </w:rPr>
        <w:t>3</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20"/>
        <w:gridCol w:w="1420"/>
        <w:gridCol w:w="1420"/>
        <w:gridCol w:w="1420"/>
      </w:tblGrid>
      <w:tr w14:paraId="33915C50">
        <w:tc>
          <w:tcPr>
            <w:tcW w:w="1419" w:type="dxa"/>
            <w:tcBorders>
              <w:top w:val="single" w:color="000000" w:sz="4" w:space="0"/>
              <w:left w:val="nil"/>
              <w:bottom w:val="single" w:color="auto" w:sz="4" w:space="0"/>
              <w:right w:val="nil"/>
              <w:tl2br w:val="nil"/>
            </w:tcBorders>
            <w:shd w:val="clear" w:color="auto" w:fill="FFFFFF"/>
            <w:vAlign w:val="top"/>
          </w:tcPr>
          <w:p w14:paraId="1D34F1B7">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p>
        </w:tc>
        <w:tc>
          <w:tcPr>
            <w:tcW w:w="1419" w:type="dxa"/>
            <w:tcBorders>
              <w:top w:val="single" w:color="000000" w:sz="4" w:space="0"/>
              <w:left w:val="nil"/>
              <w:bottom w:val="single" w:color="auto" w:sz="4" w:space="0"/>
              <w:right w:val="nil"/>
            </w:tcBorders>
            <w:shd w:val="clear" w:color="auto" w:fill="FFFFFF"/>
            <w:vAlign w:val="top"/>
          </w:tcPr>
          <w:p w14:paraId="4487282D">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AIC without HAMD</w:t>
            </w:r>
            <w:r>
              <w:rPr>
                <w:rFonts w:hint="eastAsia" w:ascii="Times New Roman Regular" w:hAnsi="Times New Roman Regular" w:cs="Times New Roman Regular"/>
                <w:b w:val="0"/>
                <w:color w:val="000000"/>
                <w:vertAlign w:val="baseline"/>
                <w:lang w:val="en-US" w:eastAsia="zh-CN"/>
              </w:rPr>
              <w:t xml:space="preserve">          </w:t>
            </w:r>
            <w:r>
              <w:rPr>
                <w:rFonts w:hint="default" w:ascii="Times New Roman Regular" w:hAnsi="Times New Roman Regular" w:cs="Times New Roman Regular"/>
                <w:b w:val="0"/>
                <w:color w:val="000000"/>
                <w:vertAlign w:val="baseline"/>
                <w:lang w:val="en-US" w:eastAsia="zh-CN"/>
              </w:rPr>
              <w:t xml:space="preserve"> </w:t>
            </w:r>
          </w:p>
        </w:tc>
        <w:tc>
          <w:tcPr>
            <w:tcW w:w="1420" w:type="dxa"/>
            <w:tcBorders>
              <w:top w:val="single" w:color="000000" w:sz="4" w:space="0"/>
              <w:left w:val="nil"/>
              <w:bottom w:val="single" w:color="auto" w:sz="4" w:space="0"/>
              <w:right w:val="nil"/>
            </w:tcBorders>
            <w:shd w:val="clear" w:color="auto" w:fill="FFFFFF"/>
            <w:vAlign w:val="top"/>
          </w:tcPr>
          <w:p w14:paraId="54985F0B">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AIC with HAMD</w:t>
            </w:r>
          </w:p>
        </w:tc>
        <w:tc>
          <w:tcPr>
            <w:tcW w:w="1420" w:type="dxa"/>
            <w:tcBorders>
              <w:top w:val="single" w:color="000000" w:sz="4" w:space="0"/>
              <w:left w:val="nil"/>
              <w:bottom w:val="single" w:color="auto" w:sz="4" w:space="0"/>
              <w:right w:val="nil"/>
            </w:tcBorders>
            <w:shd w:val="clear" w:color="auto" w:fill="FFFFFF"/>
            <w:vAlign w:val="center"/>
          </w:tcPr>
          <w:p w14:paraId="4299FC8D">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ΔAIC</w:t>
            </w:r>
          </w:p>
        </w:tc>
        <w:tc>
          <w:tcPr>
            <w:tcW w:w="1420" w:type="dxa"/>
            <w:tcBorders>
              <w:top w:val="single" w:color="000000" w:sz="4" w:space="0"/>
              <w:left w:val="nil"/>
              <w:bottom w:val="single" w:color="auto" w:sz="4" w:space="0"/>
              <w:right w:val="nil"/>
            </w:tcBorders>
            <w:shd w:val="clear" w:color="auto" w:fill="FFFFFF"/>
            <w:vAlign w:val="center"/>
          </w:tcPr>
          <w:p w14:paraId="7A953CAF">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 xml:space="preserve">HAMD </w:t>
            </w:r>
            <w:r>
              <w:rPr>
                <w:rFonts w:hint="default" w:ascii="Times New Roman Regular" w:hAnsi="Times New Roman Regular" w:cs="Times New Roman Regular"/>
                <w:b w:val="0"/>
                <w:sz w:val="24"/>
                <w:szCs w:val="24"/>
                <w:lang w:val="en-US" w:eastAsia="zh-CN"/>
              </w:rPr>
              <w:t>β</w:t>
            </w:r>
          </w:p>
        </w:tc>
        <w:tc>
          <w:tcPr>
            <w:tcW w:w="1420" w:type="dxa"/>
            <w:tcBorders>
              <w:top w:val="single" w:color="000000" w:sz="4" w:space="0"/>
              <w:left w:val="nil"/>
              <w:bottom w:val="single" w:color="auto" w:sz="4" w:space="0"/>
              <w:right w:val="nil"/>
            </w:tcBorders>
            <w:shd w:val="clear" w:color="auto" w:fill="FFFFFF"/>
            <w:vAlign w:val="center"/>
          </w:tcPr>
          <w:p w14:paraId="6659DC26">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p</w:t>
            </w:r>
            <w:r>
              <w:rPr>
                <w:rFonts w:hint="eastAsia" w:ascii="Times New Roman Regular" w:hAnsi="Times New Roman Regular" w:cs="Times New Roman Regular"/>
                <w:b w:val="0"/>
                <w:color w:val="000000"/>
                <w:vertAlign w:val="baseline"/>
                <w:lang w:val="en-US" w:eastAsia="zh-CN"/>
              </w:rPr>
              <w:t>-value</w:t>
            </w:r>
          </w:p>
        </w:tc>
      </w:tr>
      <w:tr w14:paraId="3D149FFB">
        <w:tc>
          <w:tcPr>
            <w:tcW w:w="1419" w:type="dxa"/>
            <w:tcBorders>
              <w:top w:val="single" w:color="auto" w:sz="4" w:space="0"/>
              <w:left w:val="nil"/>
              <w:bottom w:val="nil"/>
              <w:right w:val="nil"/>
            </w:tcBorders>
            <w:shd w:val="clear" w:color="auto" w:fill="FFFFFF"/>
            <w:vAlign w:val="top"/>
          </w:tcPr>
          <w:p w14:paraId="3C9914EA">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TMT</w:t>
            </w:r>
          </w:p>
        </w:tc>
        <w:tc>
          <w:tcPr>
            <w:tcW w:w="1419" w:type="dxa"/>
            <w:tcBorders>
              <w:top w:val="single" w:color="auto" w:sz="4" w:space="0"/>
              <w:left w:val="nil"/>
              <w:bottom w:val="nil"/>
              <w:right w:val="nil"/>
            </w:tcBorders>
            <w:shd w:val="clear" w:color="auto" w:fill="FFFFFF"/>
            <w:vAlign w:val="top"/>
          </w:tcPr>
          <w:p w14:paraId="507F5F94">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625.9</w:t>
            </w:r>
          </w:p>
        </w:tc>
        <w:tc>
          <w:tcPr>
            <w:tcW w:w="1420" w:type="dxa"/>
            <w:tcBorders>
              <w:top w:val="single" w:color="auto" w:sz="4" w:space="0"/>
              <w:left w:val="nil"/>
              <w:bottom w:val="nil"/>
              <w:right w:val="nil"/>
            </w:tcBorders>
            <w:shd w:val="clear" w:color="auto" w:fill="FFFFFF"/>
            <w:vAlign w:val="top"/>
          </w:tcPr>
          <w:p w14:paraId="2900809A">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625.1</w:t>
            </w:r>
          </w:p>
        </w:tc>
        <w:tc>
          <w:tcPr>
            <w:tcW w:w="1420" w:type="dxa"/>
            <w:tcBorders>
              <w:top w:val="single" w:color="auto" w:sz="4" w:space="0"/>
              <w:left w:val="nil"/>
              <w:bottom w:val="nil"/>
              <w:right w:val="nil"/>
            </w:tcBorders>
            <w:shd w:val="clear" w:color="auto" w:fill="FFFFFF"/>
            <w:vAlign w:val="top"/>
          </w:tcPr>
          <w:p w14:paraId="63A195B8">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-0.8</w:t>
            </w:r>
          </w:p>
        </w:tc>
        <w:tc>
          <w:tcPr>
            <w:tcW w:w="1420" w:type="dxa"/>
            <w:tcBorders>
              <w:top w:val="single" w:color="auto" w:sz="4" w:space="0"/>
              <w:left w:val="nil"/>
              <w:bottom w:val="nil"/>
              <w:right w:val="nil"/>
            </w:tcBorders>
            <w:shd w:val="clear" w:color="auto" w:fill="FFFFFF"/>
            <w:vAlign w:val="top"/>
          </w:tcPr>
          <w:p w14:paraId="30886B8E">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-0.9</w:t>
            </w:r>
          </w:p>
        </w:tc>
        <w:tc>
          <w:tcPr>
            <w:tcW w:w="1420" w:type="dxa"/>
            <w:tcBorders>
              <w:top w:val="single" w:color="auto" w:sz="4" w:space="0"/>
              <w:left w:val="nil"/>
              <w:bottom w:val="nil"/>
              <w:right w:val="nil"/>
            </w:tcBorders>
            <w:shd w:val="clear" w:color="auto" w:fill="FFFFFF"/>
            <w:vAlign w:val="top"/>
          </w:tcPr>
          <w:p w14:paraId="1B162F09">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0.155</w:t>
            </w:r>
          </w:p>
        </w:tc>
      </w:tr>
      <w:tr w14:paraId="6725BCF5">
        <w:tc>
          <w:tcPr>
            <w:tcW w:w="1419" w:type="dxa"/>
            <w:tcBorders>
              <w:top w:val="nil"/>
              <w:left w:val="nil"/>
              <w:bottom w:val="nil"/>
              <w:right w:val="nil"/>
            </w:tcBorders>
            <w:shd w:val="clear" w:color="auto" w:fill="FFFFFF"/>
            <w:vAlign w:val="top"/>
          </w:tcPr>
          <w:p w14:paraId="72FED87A">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DS</w:t>
            </w:r>
          </w:p>
        </w:tc>
        <w:tc>
          <w:tcPr>
            <w:tcW w:w="1419" w:type="dxa"/>
            <w:tcBorders>
              <w:top w:val="nil"/>
              <w:left w:val="nil"/>
              <w:bottom w:val="nil"/>
              <w:right w:val="nil"/>
            </w:tcBorders>
            <w:shd w:val="clear" w:color="auto" w:fill="FFFFFF"/>
            <w:vAlign w:val="top"/>
          </w:tcPr>
          <w:p w14:paraId="7ED67A77">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705.3</w:t>
            </w:r>
          </w:p>
        </w:tc>
        <w:tc>
          <w:tcPr>
            <w:tcW w:w="1420" w:type="dxa"/>
            <w:tcBorders>
              <w:top w:val="nil"/>
              <w:left w:val="nil"/>
              <w:bottom w:val="nil"/>
              <w:right w:val="nil"/>
            </w:tcBorders>
            <w:shd w:val="clear" w:color="auto" w:fill="FFFFFF"/>
            <w:vAlign w:val="top"/>
          </w:tcPr>
          <w:p w14:paraId="59C80209">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705.7</w:t>
            </w:r>
          </w:p>
        </w:tc>
        <w:tc>
          <w:tcPr>
            <w:tcW w:w="1420" w:type="dxa"/>
            <w:tcBorders>
              <w:top w:val="nil"/>
              <w:left w:val="nil"/>
              <w:bottom w:val="nil"/>
              <w:right w:val="nil"/>
            </w:tcBorders>
            <w:shd w:val="clear" w:color="auto" w:fill="FFFFFF"/>
            <w:vAlign w:val="top"/>
          </w:tcPr>
          <w:p w14:paraId="29D11B80">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0.4</w:t>
            </w:r>
          </w:p>
        </w:tc>
        <w:tc>
          <w:tcPr>
            <w:tcW w:w="1420" w:type="dxa"/>
            <w:tcBorders>
              <w:top w:val="nil"/>
              <w:left w:val="nil"/>
              <w:bottom w:val="nil"/>
              <w:right w:val="nil"/>
            </w:tcBorders>
            <w:shd w:val="clear" w:color="auto" w:fill="FFFFFF"/>
            <w:vAlign w:val="top"/>
          </w:tcPr>
          <w:p w14:paraId="0689A1A1">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0.13</w:t>
            </w:r>
          </w:p>
        </w:tc>
        <w:tc>
          <w:tcPr>
            <w:tcW w:w="1420" w:type="dxa"/>
            <w:tcBorders>
              <w:top w:val="nil"/>
              <w:left w:val="nil"/>
              <w:bottom w:val="nil"/>
              <w:right w:val="nil"/>
            </w:tcBorders>
            <w:shd w:val="clear" w:color="auto" w:fill="FFFFFF"/>
            <w:vAlign w:val="top"/>
          </w:tcPr>
          <w:p w14:paraId="40AE835D">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0.890</w:t>
            </w:r>
          </w:p>
        </w:tc>
      </w:tr>
      <w:tr w14:paraId="5CEC88A5">
        <w:tc>
          <w:tcPr>
            <w:tcW w:w="1419" w:type="dxa"/>
            <w:tcBorders>
              <w:top w:val="nil"/>
              <w:left w:val="nil"/>
              <w:bottom w:val="single" w:color="000000" w:sz="4" w:space="0"/>
              <w:right w:val="nil"/>
            </w:tcBorders>
            <w:shd w:val="clear" w:color="auto" w:fill="FFFFFF"/>
            <w:vAlign w:val="top"/>
          </w:tcPr>
          <w:p w14:paraId="30477994">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CP</w:t>
            </w:r>
          </w:p>
        </w:tc>
        <w:tc>
          <w:tcPr>
            <w:tcW w:w="1419" w:type="dxa"/>
            <w:tcBorders>
              <w:top w:val="nil"/>
              <w:left w:val="nil"/>
              <w:bottom w:val="single" w:color="000000" w:sz="4" w:space="0"/>
              <w:right w:val="nil"/>
            </w:tcBorders>
            <w:shd w:val="clear" w:color="auto" w:fill="FFFFFF"/>
            <w:vAlign w:val="top"/>
          </w:tcPr>
          <w:p w14:paraId="23FE9BA6">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742.3</w:t>
            </w:r>
          </w:p>
        </w:tc>
        <w:tc>
          <w:tcPr>
            <w:tcW w:w="1420" w:type="dxa"/>
            <w:tcBorders>
              <w:top w:val="nil"/>
              <w:left w:val="nil"/>
              <w:bottom w:val="single" w:color="000000" w:sz="4" w:space="0"/>
              <w:right w:val="nil"/>
            </w:tcBorders>
            <w:shd w:val="clear" w:color="auto" w:fill="FFFFFF"/>
            <w:vAlign w:val="top"/>
          </w:tcPr>
          <w:p w14:paraId="505FC65A">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741.7</w:t>
            </w:r>
          </w:p>
        </w:tc>
        <w:tc>
          <w:tcPr>
            <w:tcW w:w="1420" w:type="dxa"/>
            <w:tcBorders>
              <w:top w:val="nil"/>
              <w:left w:val="nil"/>
              <w:bottom w:val="single" w:color="000000" w:sz="4" w:space="0"/>
              <w:right w:val="nil"/>
            </w:tcBorders>
            <w:shd w:val="clear" w:color="auto" w:fill="FFFFFF"/>
            <w:vAlign w:val="top"/>
          </w:tcPr>
          <w:p w14:paraId="7E96563A">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-0.7</w:t>
            </w:r>
          </w:p>
        </w:tc>
        <w:tc>
          <w:tcPr>
            <w:tcW w:w="1420" w:type="dxa"/>
            <w:tcBorders>
              <w:top w:val="nil"/>
              <w:left w:val="nil"/>
              <w:bottom w:val="single" w:color="000000" w:sz="4" w:space="0"/>
              <w:right w:val="nil"/>
            </w:tcBorders>
            <w:shd w:val="clear" w:color="auto" w:fill="FFFFFF"/>
            <w:vAlign w:val="top"/>
          </w:tcPr>
          <w:p w14:paraId="3935B67D">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-0.9</w:t>
            </w:r>
          </w:p>
        </w:tc>
        <w:tc>
          <w:tcPr>
            <w:tcW w:w="1420" w:type="dxa"/>
            <w:tcBorders>
              <w:top w:val="nil"/>
              <w:left w:val="nil"/>
              <w:bottom w:val="single" w:color="000000" w:sz="4" w:space="0"/>
              <w:right w:val="nil"/>
            </w:tcBorders>
            <w:shd w:val="clear" w:color="auto" w:fill="FFFFFF"/>
            <w:vAlign w:val="top"/>
          </w:tcPr>
          <w:p w14:paraId="77726384">
            <w:pPr>
              <w:keepNext w:val="0"/>
              <w:keepLines w:val="0"/>
              <w:widowControl/>
              <w:suppressLineNumbers w:val="0"/>
              <w:jc w:val="center"/>
              <w:rPr>
                <w:rFonts w:hint="default" w:ascii="Times New Roman Regular" w:hAnsi="Times New Roman Regular" w:cs="Times New Roman Regular"/>
                <w:b w:val="0"/>
                <w:color w:val="000000"/>
                <w:vertAlign w:val="baseline"/>
                <w:lang w:val="en-US" w:eastAsia="zh-CN"/>
              </w:rPr>
            </w:pPr>
            <w:r>
              <w:rPr>
                <w:rFonts w:hint="default" w:ascii="Times New Roman Regular" w:hAnsi="Times New Roman Regular" w:cs="Times New Roman Regular"/>
                <w:b w:val="0"/>
                <w:color w:val="000000"/>
                <w:vertAlign w:val="baseline"/>
                <w:lang w:val="en-US" w:eastAsia="zh-CN"/>
              </w:rPr>
              <w:t>0.401</w:t>
            </w:r>
          </w:p>
        </w:tc>
      </w:tr>
    </w:tbl>
    <w:p w14:paraId="6B2E924B">
      <w:pPr>
        <w:keepNext w:val="0"/>
        <w:keepLines w:val="0"/>
        <w:widowControl/>
        <w:suppressLineNumbers w:val="0"/>
        <w:jc w:val="left"/>
        <w:rPr>
          <w:rFonts w:hint="default"/>
          <w:lang w:val="en-US" w:eastAsia="zh-CN"/>
        </w:rPr>
      </w:pPr>
    </w:p>
    <w:p w14:paraId="33148C66">
      <w:pPr>
        <w:keepNext w:val="0"/>
        <w:keepLines w:val="0"/>
        <w:widowControl/>
        <w:suppressLineNumbers w:val="0"/>
        <w:jc w:val="left"/>
        <w:rPr>
          <w:rFonts w:hint="default" w:ascii="Times New Roman Regular" w:hAnsi="Times New Roman Regular" w:cs="Times New Roman Regular"/>
        </w:rPr>
      </w:pPr>
      <w:r>
        <w:rPr>
          <w:rFonts w:hint="default" w:ascii="Times New Roman Regular" w:hAnsi="Times New Roman Regular" w:eastAsia="宋体" w:cs="Times New Roman Regular"/>
          <w:kern w:val="0"/>
          <w:sz w:val="24"/>
          <w:szCs w:val="24"/>
          <w:lang w:val="en-US" w:eastAsia="zh-CN" w:bidi="ar"/>
        </w:rPr>
        <w:t xml:space="preserve">This table presents the comparison of model fit indices (AIC) for cognitive tasks (Trail Making Test, Digit Span, and Continuous Performance Test) with and without including the HAMD-17 (Hamilton Depression Rating Scale) covariate. The </w:t>
      </w:r>
      <w:r>
        <w:rPr>
          <w:rFonts w:hint="default" w:ascii="Times New Roman Regular" w:hAnsi="Times New Roman Regular" w:cs="Times New Roman Regular"/>
          <w:b w:val="0"/>
          <w:sz w:val="24"/>
          <w:szCs w:val="24"/>
          <w:lang w:val="en-US" w:eastAsia="zh-CN"/>
        </w:rPr>
        <w:t xml:space="preserve">β </w:t>
      </w:r>
      <w:r>
        <w:rPr>
          <w:rFonts w:hint="default" w:ascii="Times New Roman Regular" w:hAnsi="Times New Roman Regular" w:eastAsia="宋体" w:cs="Times New Roman Regular"/>
          <w:kern w:val="0"/>
          <w:sz w:val="24"/>
          <w:szCs w:val="24"/>
          <w:lang w:val="en-US" w:eastAsia="zh-CN" w:bidi="ar"/>
        </w:rPr>
        <w:t>coefficient for the HAMD variable, representing its effect size on cognitive task performance.</w:t>
      </w:r>
    </w:p>
    <w:p w14:paraId="44AD91D6">
      <w:pPr>
        <w:keepNext w:val="0"/>
        <w:keepLines w:val="0"/>
        <w:widowControl/>
        <w:suppressLineNumbers w:val="0"/>
        <w:jc w:val="left"/>
      </w:pPr>
    </w:p>
    <w:p w14:paraId="56C982DA">
      <w:pPr>
        <w:keepNext w:val="0"/>
        <w:keepLines w:val="0"/>
        <w:widowControl/>
        <w:suppressLineNumbers w:val="0"/>
        <w:jc w:val="left"/>
        <w:rPr>
          <w:rFonts w:hint="default" w:ascii="Times New Roman Regular" w:hAnsi="Times New Roman Regular" w:cs="Times New Roman Regular"/>
          <w:b w:val="0"/>
          <w:i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F3990"/>
    <w:rsid w:val="5DCF3990"/>
    <w:rsid w:val="63BF1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22"/>
    <w:rPr>
      <w:b/>
      <w:bCs/>
    </w:rPr>
  </w:style>
  <w:style w:type="character" w:styleId="6">
    <w:name w:val="Emphasis"/>
    <w:basedOn w:val="4"/>
    <w:qFormat/>
    <w:uiPriority w:val="20"/>
    <w:rPr>
      <w:i/>
      <w:i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7</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2025-03-30T16:46:00Z</dcterms:created>
  <dc:creator>菜菜子</dc:creator>
  <cp:lastModifiedBy>菜菜子</cp:lastModifiedBy>
  <dcterms:modified xsi:type="dcterms:W3CDTF">2025-03-30T16:41:57Z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4B8CFB67F60B3AFA6F94E8676BA62659_41</vt:lpwstr>
  </property>
</Properties>
</file>