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80" w:type="dxa"/>
        <w:tblLook w:val="04A0" w:firstRow="1" w:lastRow="0" w:firstColumn="1" w:lastColumn="0" w:noHBand="0" w:noVBand="1"/>
      </w:tblPr>
      <w:tblGrid>
        <w:gridCol w:w="1120"/>
        <w:gridCol w:w="1180"/>
        <w:gridCol w:w="2760"/>
        <w:gridCol w:w="1060"/>
        <w:gridCol w:w="2760"/>
        <w:gridCol w:w="1120"/>
        <w:gridCol w:w="2760"/>
        <w:gridCol w:w="1220"/>
      </w:tblGrid>
      <w:tr w:rsidR="00F84D50" w:rsidRPr="00F84D50" w14:paraId="728F5F95" w14:textId="77777777" w:rsidTr="00F84D50">
        <w:trPr>
          <w:trHeight w:val="180"/>
        </w:trPr>
        <w:tc>
          <w:tcPr>
            <w:tcW w:w="1120" w:type="dxa"/>
            <w:tcBorders>
              <w:top w:val="nil"/>
              <w:left w:val="nil"/>
              <w:bottom w:val="nil"/>
              <w:right w:val="nil"/>
            </w:tcBorders>
            <w:shd w:val="clear" w:color="auto" w:fill="auto"/>
            <w:noWrap/>
            <w:vAlign w:val="bottom"/>
            <w:hideMark/>
          </w:tcPr>
          <w:p w14:paraId="529FEE03" w14:textId="77777777" w:rsidR="00F84D50" w:rsidRPr="00F84D50" w:rsidRDefault="00F84D50" w:rsidP="00F84D50">
            <w:pPr>
              <w:spacing w:line="240" w:lineRule="auto"/>
              <w:rPr>
                <w:rFonts w:ascii="Times New Roman" w:eastAsia="Times New Roman" w:hAnsi="Times New Roman" w:cs="Times New Roman"/>
                <w:kern w:val="0"/>
                <w:sz w:val="24"/>
                <w:szCs w:val="24"/>
                <w14:ligatures w14:val="none"/>
              </w:rPr>
            </w:pPr>
          </w:p>
        </w:tc>
        <w:tc>
          <w:tcPr>
            <w:tcW w:w="1180" w:type="dxa"/>
            <w:tcBorders>
              <w:top w:val="nil"/>
              <w:left w:val="nil"/>
              <w:bottom w:val="nil"/>
              <w:right w:val="nil"/>
            </w:tcBorders>
            <w:shd w:val="clear" w:color="auto" w:fill="auto"/>
            <w:noWrap/>
            <w:vAlign w:val="bottom"/>
            <w:hideMark/>
          </w:tcPr>
          <w:p w14:paraId="5C7AD369"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c>
          <w:tcPr>
            <w:tcW w:w="2760" w:type="dxa"/>
            <w:tcBorders>
              <w:top w:val="nil"/>
              <w:left w:val="nil"/>
              <w:bottom w:val="nil"/>
              <w:right w:val="nil"/>
            </w:tcBorders>
            <w:shd w:val="clear" w:color="auto" w:fill="auto"/>
            <w:noWrap/>
            <w:vAlign w:val="bottom"/>
            <w:hideMark/>
          </w:tcPr>
          <w:p w14:paraId="6F0D59AE"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c>
          <w:tcPr>
            <w:tcW w:w="1060" w:type="dxa"/>
            <w:tcBorders>
              <w:top w:val="nil"/>
              <w:left w:val="nil"/>
              <w:bottom w:val="nil"/>
              <w:right w:val="nil"/>
            </w:tcBorders>
            <w:shd w:val="clear" w:color="auto" w:fill="auto"/>
            <w:noWrap/>
            <w:vAlign w:val="bottom"/>
            <w:hideMark/>
          </w:tcPr>
          <w:p w14:paraId="6E364FAF"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c>
          <w:tcPr>
            <w:tcW w:w="2760" w:type="dxa"/>
            <w:tcBorders>
              <w:top w:val="nil"/>
              <w:left w:val="nil"/>
              <w:bottom w:val="nil"/>
              <w:right w:val="nil"/>
            </w:tcBorders>
            <w:shd w:val="clear" w:color="auto" w:fill="auto"/>
            <w:noWrap/>
            <w:vAlign w:val="bottom"/>
            <w:hideMark/>
          </w:tcPr>
          <w:p w14:paraId="349BE6EF"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c>
          <w:tcPr>
            <w:tcW w:w="1120" w:type="dxa"/>
            <w:tcBorders>
              <w:top w:val="nil"/>
              <w:left w:val="nil"/>
              <w:bottom w:val="nil"/>
              <w:right w:val="nil"/>
            </w:tcBorders>
            <w:shd w:val="clear" w:color="auto" w:fill="auto"/>
            <w:noWrap/>
            <w:vAlign w:val="bottom"/>
            <w:hideMark/>
          </w:tcPr>
          <w:p w14:paraId="5BF72A20"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c>
          <w:tcPr>
            <w:tcW w:w="2760" w:type="dxa"/>
            <w:tcBorders>
              <w:top w:val="nil"/>
              <w:left w:val="nil"/>
              <w:bottom w:val="nil"/>
              <w:right w:val="nil"/>
            </w:tcBorders>
            <w:shd w:val="clear" w:color="auto" w:fill="auto"/>
            <w:noWrap/>
            <w:vAlign w:val="bottom"/>
            <w:hideMark/>
          </w:tcPr>
          <w:p w14:paraId="3417FC85"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c>
          <w:tcPr>
            <w:tcW w:w="1220" w:type="dxa"/>
            <w:tcBorders>
              <w:top w:val="nil"/>
              <w:left w:val="nil"/>
              <w:bottom w:val="nil"/>
              <w:right w:val="nil"/>
            </w:tcBorders>
            <w:shd w:val="clear" w:color="auto" w:fill="auto"/>
            <w:noWrap/>
            <w:vAlign w:val="bottom"/>
            <w:hideMark/>
          </w:tcPr>
          <w:p w14:paraId="173F4D91" w14:textId="77777777" w:rsidR="00F84D50" w:rsidRPr="00F84D50" w:rsidRDefault="00F84D50" w:rsidP="00F84D50">
            <w:pPr>
              <w:spacing w:line="240" w:lineRule="auto"/>
              <w:rPr>
                <w:rFonts w:ascii="Times New Roman" w:eastAsia="Times New Roman" w:hAnsi="Times New Roman" w:cs="Times New Roman"/>
                <w:kern w:val="0"/>
                <w:sz w:val="20"/>
                <w:szCs w:val="20"/>
                <w14:ligatures w14:val="none"/>
              </w:rPr>
            </w:pPr>
          </w:p>
        </w:tc>
      </w:tr>
      <w:tr w:rsidR="00F84D50" w:rsidRPr="00F84D50" w14:paraId="28C5D850" w14:textId="77777777" w:rsidTr="00F84D50">
        <w:trPr>
          <w:trHeight w:val="1095"/>
        </w:trPr>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52C1E8"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Article</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EE58E9C"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Bias due to confounding</w:t>
            </w:r>
          </w:p>
        </w:tc>
        <w:tc>
          <w:tcPr>
            <w:tcW w:w="2760" w:type="dxa"/>
            <w:tcBorders>
              <w:top w:val="single" w:sz="4" w:space="0" w:color="auto"/>
              <w:left w:val="nil"/>
              <w:bottom w:val="single" w:sz="4" w:space="0" w:color="auto"/>
              <w:right w:val="single" w:sz="4" w:space="0" w:color="auto"/>
            </w:tcBorders>
            <w:shd w:val="clear" w:color="auto" w:fill="auto"/>
            <w:vAlign w:val="bottom"/>
            <w:hideMark/>
          </w:tcPr>
          <w:p w14:paraId="279CF2C2"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Support for judgement</w:t>
            </w:r>
          </w:p>
        </w:tc>
        <w:tc>
          <w:tcPr>
            <w:tcW w:w="1060" w:type="dxa"/>
            <w:tcBorders>
              <w:top w:val="single" w:sz="4" w:space="0" w:color="auto"/>
              <w:left w:val="nil"/>
              <w:bottom w:val="single" w:sz="4" w:space="0" w:color="auto"/>
              <w:right w:val="single" w:sz="4" w:space="0" w:color="auto"/>
            </w:tcBorders>
            <w:shd w:val="clear" w:color="auto" w:fill="auto"/>
            <w:vAlign w:val="bottom"/>
            <w:hideMark/>
          </w:tcPr>
          <w:p w14:paraId="4B19B3A0"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Bias in selection of participants into the study</w:t>
            </w:r>
          </w:p>
        </w:tc>
        <w:tc>
          <w:tcPr>
            <w:tcW w:w="2760" w:type="dxa"/>
            <w:tcBorders>
              <w:top w:val="single" w:sz="4" w:space="0" w:color="auto"/>
              <w:left w:val="nil"/>
              <w:bottom w:val="single" w:sz="4" w:space="0" w:color="auto"/>
              <w:right w:val="single" w:sz="4" w:space="0" w:color="auto"/>
            </w:tcBorders>
            <w:shd w:val="clear" w:color="auto" w:fill="auto"/>
            <w:vAlign w:val="bottom"/>
            <w:hideMark/>
          </w:tcPr>
          <w:p w14:paraId="340CCEFA"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Support for judgement</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6A6D1C18"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Bias in classification of interventions</w:t>
            </w:r>
          </w:p>
        </w:tc>
        <w:tc>
          <w:tcPr>
            <w:tcW w:w="2760" w:type="dxa"/>
            <w:tcBorders>
              <w:top w:val="single" w:sz="4" w:space="0" w:color="auto"/>
              <w:left w:val="nil"/>
              <w:bottom w:val="single" w:sz="4" w:space="0" w:color="auto"/>
              <w:right w:val="single" w:sz="4" w:space="0" w:color="auto"/>
            </w:tcBorders>
            <w:shd w:val="clear" w:color="auto" w:fill="auto"/>
            <w:vAlign w:val="bottom"/>
            <w:hideMark/>
          </w:tcPr>
          <w:p w14:paraId="76DBA54C"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Support for judgement</w:t>
            </w:r>
          </w:p>
        </w:tc>
        <w:tc>
          <w:tcPr>
            <w:tcW w:w="1220" w:type="dxa"/>
            <w:tcBorders>
              <w:top w:val="single" w:sz="4" w:space="0" w:color="auto"/>
              <w:left w:val="nil"/>
              <w:bottom w:val="single" w:sz="4" w:space="0" w:color="auto"/>
              <w:right w:val="nil"/>
            </w:tcBorders>
            <w:shd w:val="clear" w:color="auto" w:fill="auto"/>
            <w:vAlign w:val="bottom"/>
            <w:hideMark/>
          </w:tcPr>
          <w:p w14:paraId="636159FB"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Bias due to deviations from intended interventions</w:t>
            </w:r>
          </w:p>
        </w:tc>
      </w:tr>
      <w:tr w:rsidR="00F84D50" w:rsidRPr="00F84D50" w14:paraId="0DB0CB56" w14:textId="77777777" w:rsidTr="00F84D50">
        <w:trPr>
          <w:trHeight w:val="1440"/>
        </w:trPr>
        <w:tc>
          <w:tcPr>
            <w:tcW w:w="1120" w:type="dxa"/>
            <w:tcBorders>
              <w:top w:val="nil"/>
              <w:left w:val="single" w:sz="4" w:space="0" w:color="auto"/>
              <w:bottom w:val="single" w:sz="4" w:space="0" w:color="auto"/>
              <w:right w:val="single" w:sz="4" w:space="0" w:color="auto"/>
            </w:tcBorders>
            <w:shd w:val="clear" w:color="auto" w:fill="auto"/>
            <w:vAlign w:val="bottom"/>
            <w:hideMark/>
          </w:tcPr>
          <w:p w14:paraId="49083EA4" w14:textId="2A39D4E3" w:rsidR="00F84D50" w:rsidRPr="00F84D50" w:rsidRDefault="00A85B8D"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Carrillo</w:t>
            </w:r>
            <w:r w:rsidR="00F84D50" w:rsidRPr="00F84D50">
              <w:rPr>
                <w:rFonts w:ascii="Aptos Narrow" w:eastAsia="Times New Roman" w:hAnsi="Aptos Narrow" w:cs="Times New Roman"/>
                <w:b/>
                <w:bCs/>
                <w:color w:val="000000"/>
                <w:kern w:val="0"/>
                <w:sz w:val="14"/>
                <w:szCs w:val="14"/>
                <w14:ligatures w14:val="none"/>
              </w:rPr>
              <w:t xml:space="preserve"> et al., 2016</w:t>
            </w:r>
          </w:p>
        </w:tc>
        <w:tc>
          <w:tcPr>
            <w:tcW w:w="1180" w:type="dxa"/>
            <w:tcBorders>
              <w:top w:val="nil"/>
              <w:left w:val="nil"/>
              <w:bottom w:val="single" w:sz="4" w:space="0" w:color="auto"/>
              <w:right w:val="single" w:sz="4" w:space="0" w:color="auto"/>
            </w:tcBorders>
            <w:shd w:val="clear" w:color="auto" w:fill="auto"/>
            <w:vAlign w:val="bottom"/>
            <w:hideMark/>
          </w:tcPr>
          <w:p w14:paraId="5C5801A7"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374448F9"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Confounding </w:t>
            </w:r>
            <w:proofErr w:type="gramStart"/>
            <w:r w:rsidRPr="00F84D50">
              <w:rPr>
                <w:rFonts w:ascii="Calibri" w:eastAsia="Times New Roman" w:hAnsi="Calibri" w:cs="Calibri"/>
                <w:color w:val="000000"/>
                <w:kern w:val="0"/>
                <w:sz w:val="14"/>
                <w:szCs w:val="14"/>
                <w14:ligatures w14:val="none"/>
              </w:rPr>
              <w:t>expected, but</w:t>
            </w:r>
            <w:proofErr w:type="gramEnd"/>
            <w:r w:rsidRPr="00F84D50">
              <w:rPr>
                <w:rFonts w:ascii="Calibri" w:eastAsia="Times New Roman" w:hAnsi="Calibri" w:cs="Calibri"/>
                <w:color w:val="000000"/>
                <w:kern w:val="0"/>
                <w:sz w:val="14"/>
                <w:szCs w:val="14"/>
                <w14:ligatures w14:val="none"/>
              </w:rPr>
              <w:t xml:space="preserve"> appropriately measured and controlled for. Reliability and validity of measurement of important domains were sufficient. Cochran-Mantel-Haenszel test evaluated outcome changes over time and controlled for psychiatric diagnosis. </w:t>
            </w:r>
          </w:p>
        </w:tc>
        <w:tc>
          <w:tcPr>
            <w:tcW w:w="1060" w:type="dxa"/>
            <w:tcBorders>
              <w:top w:val="nil"/>
              <w:left w:val="nil"/>
              <w:bottom w:val="single" w:sz="4" w:space="0" w:color="auto"/>
              <w:right w:val="single" w:sz="4" w:space="0" w:color="auto"/>
            </w:tcBorders>
            <w:shd w:val="clear" w:color="auto" w:fill="auto"/>
            <w:vAlign w:val="bottom"/>
            <w:hideMark/>
          </w:tcPr>
          <w:p w14:paraId="51B0421C"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71E51B36"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All eligible participants were </w:t>
            </w:r>
            <w:proofErr w:type="gramStart"/>
            <w:r w:rsidRPr="00F84D50">
              <w:rPr>
                <w:rFonts w:ascii="Aptos Narrow" w:eastAsia="Times New Roman" w:hAnsi="Aptos Narrow" w:cs="Times New Roman"/>
                <w:color w:val="000000"/>
                <w:kern w:val="0"/>
                <w:sz w:val="14"/>
                <w:szCs w:val="14"/>
                <w14:ligatures w14:val="none"/>
              </w:rPr>
              <w:t>included</w:t>
            </w:r>
            <w:proofErr w:type="gramEnd"/>
            <w:r w:rsidRPr="00F84D50">
              <w:rPr>
                <w:rFonts w:ascii="Aptos Narrow" w:eastAsia="Times New Roman" w:hAnsi="Aptos Narrow" w:cs="Times New Roman"/>
                <w:color w:val="000000"/>
                <w:kern w:val="0"/>
                <w:sz w:val="14"/>
                <w:szCs w:val="14"/>
                <w14:ligatures w14:val="none"/>
              </w:rPr>
              <w:t xml:space="preserve"> and all eligible participants had the same follow-up and implementation strategy start date.</w:t>
            </w:r>
          </w:p>
        </w:tc>
        <w:tc>
          <w:tcPr>
            <w:tcW w:w="1120" w:type="dxa"/>
            <w:tcBorders>
              <w:top w:val="nil"/>
              <w:left w:val="nil"/>
              <w:bottom w:val="single" w:sz="4" w:space="0" w:color="auto"/>
              <w:right w:val="single" w:sz="4" w:space="0" w:color="auto"/>
            </w:tcBorders>
            <w:shd w:val="clear" w:color="auto" w:fill="auto"/>
            <w:vAlign w:val="bottom"/>
            <w:hideMark/>
          </w:tcPr>
          <w:p w14:paraId="7D51EE29"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4B2A8B5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Exposure to implementation strategy was well defined and based exclusively on information collected at time of strategy. </w:t>
            </w:r>
            <w:proofErr w:type="gramStart"/>
            <w:r w:rsidRPr="00F84D50">
              <w:rPr>
                <w:rFonts w:ascii="Aptos Narrow" w:eastAsia="Times New Roman" w:hAnsi="Aptos Narrow" w:cs="Times New Roman"/>
                <w:color w:val="000000"/>
                <w:kern w:val="0"/>
                <w:sz w:val="14"/>
                <w:szCs w:val="14"/>
                <w14:ligatures w14:val="none"/>
              </w:rPr>
              <w:t>Center</w:t>
            </w:r>
            <w:proofErr w:type="gramEnd"/>
            <w:r w:rsidRPr="00F84D50">
              <w:rPr>
                <w:rFonts w:ascii="Aptos Narrow" w:eastAsia="Times New Roman" w:hAnsi="Aptos Narrow" w:cs="Times New Roman"/>
                <w:color w:val="000000"/>
                <w:kern w:val="0"/>
                <w:sz w:val="14"/>
                <w:szCs w:val="14"/>
                <w14:ligatures w14:val="none"/>
              </w:rPr>
              <w:t xml:space="preserve"> for Medicare and Medicaid Services (CMS) rule was implemented on a single day. </w:t>
            </w:r>
          </w:p>
        </w:tc>
        <w:tc>
          <w:tcPr>
            <w:tcW w:w="1220" w:type="dxa"/>
            <w:tcBorders>
              <w:top w:val="nil"/>
              <w:left w:val="nil"/>
              <w:bottom w:val="single" w:sz="4" w:space="0" w:color="auto"/>
              <w:right w:val="nil"/>
            </w:tcBorders>
            <w:shd w:val="clear" w:color="auto" w:fill="auto"/>
            <w:vAlign w:val="bottom"/>
            <w:hideMark/>
          </w:tcPr>
          <w:p w14:paraId="3A313AF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6BAEF053" w14:textId="77777777" w:rsidTr="00F84D50">
        <w:trPr>
          <w:trHeight w:val="1260"/>
        </w:trPr>
        <w:tc>
          <w:tcPr>
            <w:tcW w:w="1120" w:type="dxa"/>
            <w:tcBorders>
              <w:top w:val="nil"/>
              <w:left w:val="single" w:sz="4" w:space="0" w:color="auto"/>
              <w:bottom w:val="single" w:sz="4" w:space="0" w:color="auto"/>
              <w:right w:val="single" w:sz="4" w:space="0" w:color="auto"/>
            </w:tcBorders>
            <w:shd w:val="clear" w:color="auto" w:fill="auto"/>
            <w:vAlign w:val="bottom"/>
            <w:hideMark/>
          </w:tcPr>
          <w:p w14:paraId="52756A66" w14:textId="77777777" w:rsidR="00F84D50" w:rsidRPr="00F84D50" w:rsidRDefault="00F84D50" w:rsidP="00F84D50">
            <w:pPr>
              <w:spacing w:line="240" w:lineRule="auto"/>
              <w:rPr>
                <w:rFonts w:ascii="Aptos Narrow" w:eastAsia="Times New Roman" w:hAnsi="Aptos Narrow" w:cs="Times New Roman"/>
                <w:b/>
                <w:bCs/>
                <w:color w:val="000000"/>
                <w:kern w:val="0"/>
                <w:sz w:val="14"/>
                <w:szCs w:val="14"/>
                <w14:ligatures w14:val="none"/>
              </w:rPr>
            </w:pPr>
            <w:r w:rsidRPr="00F84D50">
              <w:rPr>
                <w:rFonts w:ascii="Aptos Narrow" w:eastAsia="Times New Roman" w:hAnsi="Aptos Narrow" w:cs="Times New Roman"/>
                <w:b/>
                <w:bCs/>
                <w:color w:val="000000"/>
                <w:kern w:val="0"/>
                <w:sz w:val="14"/>
                <w:szCs w:val="14"/>
                <w14:ligatures w14:val="none"/>
              </w:rPr>
              <w:t>Chen et al., 2018</w:t>
            </w:r>
          </w:p>
        </w:tc>
        <w:tc>
          <w:tcPr>
            <w:tcW w:w="1180" w:type="dxa"/>
            <w:tcBorders>
              <w:top w:val="nil"/>
              <w:left w:val="nil"/>
              <w:bottom w:val="single" w:sz="4" w:space="0" w:color="auto"/>
              <w:right w:val="single" w:sz="4" w:space="0" w:color="auto"/>
            </w:tcBorders>
            <w:shd w:val="clear" w:color="auto" w:fill="auto"/>
            <w:vAlign w:val="bottom"/>
            <w:hideMark/>
          </w:tcPr>
          <w:p w14:paraId="7D7FA1D1"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246FDC2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Confounds, including time, were not evaluated or controlled for. </w:t>
            </w:r>
          </w:p>
        </w:tc>
        <w:tc>
          <w:tcPr>
            <w:tcW w:w="1060" w:type="dxa"/>
            <w:tcBorders>
              <w:top w:val="nil"/>
              <w:left w:val="nil"/>
              <w:bottom w:val="single" w:sz="4" w:space="0" w:color="auto"/>
              <w:right w:val="single" w:sz="4" w:space="0" w:color="auto"/>
            </w:tcBorders>
            <w:shd w:val="clear" w:color="auto" w:fill="auto"/>
            <w:vAlign w:val="bottom"/>
            <w:hideMark/>
          </w:tcPr>
          <w:p w14:paraId="725E203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200763A2"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Psychiatric diagnosis may have influenced which clinicians had access to decision support and, thus, how clinicians provided treatment; all eligible participants had the same follow-up and implementation strategy start date, though it is unclear what this date was for all activities.   </w:t>
            </w:r>
          </w:p>
        </w:tc>
        <w:tc>
          <w:tcPr>
            <w:tcW w:w="1120" w:type="dxa"/>
            <w:tcBorders>
              <w:top w:val="nil"/>
              <w:left w:val="nil"/>
              <w:bottom w:val="single" w:sz="4" w:space="0" w:color="auto"/>
              <w:right w:val="single" w:sz="4" w:space="0" w:color="auto"/>
            </w:tcBorders>
            <w:shd w:val="clear" w:color="auto" w:fill="auto"/>
            <w:vAlign w:val="bottom"/>
            <w:hideMark/>
          </w:tcPr>
          <w:p w14:paraId="5685FC6A"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6D31620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Implementation period for different activities, as well as </w:t>
            </w:r>
            <w:proofErr w:type="gramStart"/>
            <w:r w:rsidRPr="00F84D50">
              <w:rPr>
                <w:rFonts w:ascii="Aptos Narrow" w:eastAsia="Times New Roman" w:hAnsi="Aptos Narrow" w:cs="Times New Roman"/>
                <w:color w:val="000000"/>
                <w:kern w:val="0"/>
                <w:sz w:val="14"/>
                <w:szCs w:val="14"/>
                <w14:ligatures w14:val="none"/>
              </w:rPr>
              <w:t>pre</w:t>
            </w:r>
            <w:proofErr w:type="gramEnd"/>
            <w:r w:rsidRPr="00F84D50">
              <w:rPr>
                <w:rFonts w:ascii="Aptos Narrow" w:eastAsia="Times New Roman" w:hAnsi="Aptos Narrow" w:cs="Times New Roman"/>
                <w:color w:val="000000"/>
                <w:kern w:val="0"/>
                <w:sz w:val="14"/>
                <w:szCs w:val="14"/>
                <w14:ligatures w14:val="none"/>
              </w:rPr>
              <w:t xml:space="preserve"> and post-implementation periods, are not well-defined: One implementation activity occurred for approximately 30 days </w:t>
            </w:r>
            <w:proofErr w:type="gramStart"/>
            <w:r w:rsidRPr="00F84D50">
              <w:rPr>
                <w:rFonts w:ascii="Aptos Narrow" w:eastAsia="Times New Roman" w:hAnsi="Aptos Narrow" w:cs="Times New Roman"/>
                <w:color w:val="000000"/>
                <w:kern w:val="0"/>
                <w:sz w:val="14"/>
                <w:szCs w:val="14"/>
                <w14:ligatures w14:val="none"/>
              </w:rPr>
              <w:t>during</w:t>
            </w:r>
            <w:proofErr w:type="gramEnd"/>
            <w:r w:rsidRPr="00F84D50">
              <w:rPr>
                <w:rFonts w:ascii="Aptos Narrow" w:eastAsia="Times New Roman" w:hAnsi="Aptos Narrow" w:cs="Times New Roman"/>
                <w:color w:val="000000"/>
                <w:kern w:val="0"/>
                <w:sz w:val="14"/>
                <w:szCs w:val="14"/>
                <w14:ligatures w14:val="none"/>
              </w:rPr>
              <w:t xml:space="preserve"> two years. It is unclear when the other activity was implemented.  </w:t>
            </w:r>
          </w:p>
        </w:tc>
        <w:tc>
          <w:tcPr>
            <w:tcW w:w="1220" w:type="dxa"/>
            <w:tcBorders>
              <w:top w:val="nil"/>
              <w:left w:val="nil"/>
              <w:bottom w:val="single" w:sz="4" w:space="0" w:color="auto"/>
              <w:right w:val="nil"/>
            </w:tcBorders>
            <w:shd w:val="clear" w:color="auto" w:fill="auto"/>
            <w:vAlign w:val="bottom"/>
            <w:hideMark/>
          </w:tcPr>
          <w:p w14:paraId="1A8B43A6"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No information</w:t>
            </w:r>
          </w:p>
        </w:tc>
      </w:tr>
      <w:tr w:rsidR="00F84D50" w:rsidRPr="00F84D50" w14:paraId="477C30B2" w14:textId="77777777" w:rsidTr="00F84D50">
        <w:trPr>
          <w:trHeight w:val="1980"/>
        </w:trPr>
        <w:tc>
          <w:tcPr>
            <w:tcW w:w="1120" w:type="dxa"/>
            <w:tcBorders>
              <w:top w:val="nil"/>
              <w:left w:val="single" w:sz="4" w:space="0" w:color="auto"/>
              <w:bottom w:val="single" w:sz="4" w:space="0" w:color="auto"/>
              <w:right w:val="single" w:sz="4" w:space="0" w:color="auto"/>
            </w:tcBorders>
            <w:shd w:val="clear" w:color="auto" w:fill="auto"/>
            <w:hideMark/>
          </w:tcPr>
          <w:p w14:paraId="314682C2"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Correa-Fern</w:t>
            </w:r>
            <w:r w:rsidRPr="00F84D50">
              <w:rPr>
                <w:rFonts w:ascii="Calibri" w:eastAsia="Times New Roman" w:hAnsi="Calibri" w:cs="Calibri"/>
                <w:b/>
                <w:bCs/>
                <w:kern w:val="0"/>
                <w:sz w:val="14"/>
                <w:szCs w:val="14"/>
                <w14:ligatures w14:val="none"/>
              </w:rPr>
              <w:t>á</w:t>
            </w:r>
            <w:r w:rsidRPr="00F84D50">
              <w:rPr>
                <w:rFonts w:ascii="Aptos Narrow" w:eastAsia="Times New Roman" w:hAnsi="Aptos Narrow" w:cs="Times New Roman"/>
                <w:b/>
                <w:bCs/>
                <w:kern w:val="0"/>
                <w:sz w:val="14"/>
                <w:szCs w:val="14"/>
                <w14:ligatures w14:val="none"/>
              </w:rPr>
              <w:t>ndez et al., 2019</w:t>
            </w:r>
          </w:p>
        </w:tc>
        <w:tc>
          <w:tcPr>
            <w:tcW w:w="1180" w:type="dxa"/>
            <w:tcBorders>
              <w:top w:val="nil"/>
              <w:left w:val="nil"/>
              <w:bottom w:val="single" w:sz="4" w:space="0" w:color="auto"/>
              <w:right w:val="single" w:sz="4" w:space="0" w:color="auto"/>
            </w:tcBorders>
            <w:shd w:val="clear" w:color="auto" w:fill="auto"/>
            <w:vAlign w:val="bottom"/>
            <w:hideMark/>
          </w:tcPr>
          <w:p w14:paraId="791327D0"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6EEB4082"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“Multilevel” models were used but levels were not specified; baseline organizational characteristics and employee access to training were “individually” controlled for.  </w:t>
            </w:r>
          </w:p>
        </w:tc>
        <w:tc>
          <w:tcPr>
            <w:tcW w:w="1060" w:type="dxa"/>
            <w:tcBorders>
              <w:top w:val="nil"/>
              <w:left w:val="nil"/>
              <w:bottom w:val="single" w:sz="4" w:space="0" w:color="auto"/>
              <w:right w:val="single" w:sz="4" w:space="0" w:color="auto"/>
            </w:tcBorders>
            <w:shd w:val="clear" w:color="auto" w:fill="auto"/>
            <w:vAlign w:val="bottom"/>
            <w:hideMark/>
          </w:tcPr>
          <w:p w14:paraId="5216B56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4C3B470E"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All eligible participants were given the opportunity to participate; start of follow-up and start of implementation strategy coincided for each participant. </w:t>
            </w:r>
          </w:p>
        </w:tc>
        <w:tc>
          <w:tcPr>
            <w:tcW w:w="1120" w:type="dxa"/>
            <w:tcBorders>
              <w:top w:val="nil"/>
              <w:left w:val="nil"/>
              <w:bottom w:val="single" w:sz="4" w:space="0" w:color="auto"/>
              <w:right w:val="single" w:sz="4" w:space="0" w:color="auto"/>
            </w:tcBorders>
            <w:shd w:val="clear" w:color="auto" w:fill="auto"/>
            <w:vAlign w:val="bottom"/>
            <w:hideMark/>
          </w:tcPr>
          <w:p w14:paraId="1921B4D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3D242E6B"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Implementation strategy status </w:t>
            </w:r>
            <w:proofErr w:type="gramStart"/>
            <w:r w:rsidRPr="00F84D50">
              <w:rPr>
                <w:rFonts w:ascii="Calibri" w:eastAsia="Times New Roman" w:hAnsi="Calibri" w:cs="Calibri"/>
                <w:color w:val="000000"/>
                <w:kern w:val="0"/>
                <w:sz w:val="14"/>
                <w:szCs w:val="14"/>
                <w14:ligatures w14:val="none"/>
              </w:rPr>
              <w:t>well</w:t>
            </w:r>
            <w:proofErr w:type="gramEnd"/>
            <w:r w:rsidRPr="00F84D50">
              <w:rPr>
                <w:rFonts w:ascii="Calibri" w:eastAsia="Times New Roman" w:hAnsi="Calibri" w:cs="Calibri"/>
                <w:color w:val="000000"/>
                <w:kern w:val="0"/>
                <w:sz w:val="14"/>
                <w:szCs w:val="14"/>
                <w14:ligatures w14:val="none"/>
              </w:rPr>
              <w:t>-defined and based on information collected at strategy initiation. </w:t>
            </w:r>
          </w:p>
        </w:tc>
        <w:tc>
          <w:tcPr>
            <w:tcW w:w="1220" w:type="dxa"/>
            <w:tcBorders>
              <w:top w:val="nil"/>
              <w:left w:val="nil"/>
              <w:bottom w:val="single" w:sz="4" w:space="0" w:color="auto"/>
              <w:right w:val="nil"/>
            </w:tcBorders>
            <w:shd w:val="clear" w:color="auto" w:fill="auto"/>
            <w:vAlign w:val="bottom"/>
            <w:hideMark/>
          </w:tcPr>
          <w:p w14:paraId="30159830"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526B2984" w14:textId="77777777" w:rsidTr="00F84D50">
        <w:trPr>
          <w:trHeight w:val="1080"/>
        </w:trPr>
        <w:tc>
          <w:tcPr>
            <w:tcW w:w="1120" w:type="dxa"/>
            <w:tcBorders>
              <w:top w:val="nil"/>
              <w:left w:val="single" w:sz="4" w:space="0" w:color="auto"/>
              <w:bottom w:val="single" w:sz="4" w:space="0" w:color="auto"/>
              <w:right w:val="single" w:sz="4" w:space="0" w:color="auto"/>
            </w:tcBorders>
            <w:shd w:val="clear" w:color="auto" w:fill="auto"/>
            <w:hideMark/>
          </w:tcPr>
          <w:p w14:paraId="0264EC8B"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Hollen et al., 2010</w:t>
            </w:r>
          </w:p>
        </w:tc>
        <w:tc>
          <w:tcPr>
            <w:tcW w:w="1180" w:type="dxa"/>
            <w:tcBorders>
              <w:top w:val="nil"/>
              <w:left w:val="nil"/>
              <w:bottom w:val="single" w:sz="4" w:space="0" w:color="auto"/>
              <w:right w:val="single" w:sz="4" w:space="0" w:color="auto"/>
            </w:tcBorders>
            <w:shd w:val="clear" w:color="auto" w:fill="auto"/>
            <w:vAlign w:val="bottom"/>
            <w:hideMark/>
          </w:tcPr>
          <w:p w14:paraId="74D335BC"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65C151B3"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At least one important domain was not appropriately controlled for: Hospitals that implemented smoking bans had fewer beds, but this was not accounted for statistically.   </w:t>
            </w:r>
          </w:p>
        </w:tc>
        <w:tc>
          <w:tcPr>
            <w:tcW w:w="1060" w:type="dxa"/>
            <w:tcBorders>
              <w:top w:val="nil"/>
              <w:left w:val="nil"/>
              <w:bottom w:val="single" w:sz="4" w:space="0" w:color="auto"/>
              <w:right w:val="single" w:sz="4" w:space="0" w:color="auto"/>
            </w:tcBorders>
            <w:shd w:val="clear" w:color="auto" w:fill="auto"/>
            <w:vAlign w:val="bottom"/>
            <w:hideMark/>
          </w:tcPr>
          <w:p w14:paraId="4468403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6E74E91A"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No indication of selection bias; follow-up consistent across participants. </w:t>
            </w:r>
          </w:p>
        </w:tc>
        <w:tc>
          <w:tcPr>
            <w:tcW w:w="1120" w:type="dxa"/>
            <w:tcBorders>
              <w:top w:val="nil"/>
              <w:left w:val="nil"/>
              <w:bottom w:val="single" w:sz="4" w:space="0" w:color="auto"/>
              <w:right w:val="single" w:sz="4" w:space="0" w:color="auto"/>
            </w:tcBorders>
            <w:shd w:val="clear" w:color="auto" w:fill="auto"/>
            <w:vAlign w:val="bottom"/>
            <w:hideMark/>
          </w:tcPr>
          <w:p w14:paraId="161F8A33"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530594D4"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Implementation status well-defined and determined </w:t>
            </w:r>
            <w:r w:rsidRPr="00F84D50">
              <w:rPr>
                <w:rFonts w:ascii="Calibri" w:eastAsia="Times New Roman" w:hAnsi="Calibri" w:cs="Calibri"/>
                <w:i/>
                <w:iCs/>
                <w:color w:val="000000"/>
                <w:kern w:val="0"/>
                <w:sz w:val="14"/>
                <w:szCs w:val="14"/>
                <w14:ligatures w14:val="none"/>
              </w:rPr>
              <w:t>a priori</w:t>
            </w:r>
            <w:r w:rsidRPr="00F84D50">
              <w:rPr>
                <w:rFonts w:ascii="Calibri" w:eastAsia="Times New Roman" w:hAnsi="Calibri" w:cs="Calibri"/>
                <w:color w:val="000000"/>
                <w:kern w:val="0"/>
                <w:sz w:val="14"/>
                <w:szCs w:val="14"/>
                <w14:ligatures w14:val="none"/>
              </w:rPr>
              <w:t>.  </w:t>
            </w:r>
          </w:p>
        </w:tc>
        <w:tc>
          <w:tcPr>
            <w:tcW w:w="1220" w:type="dxa"/>
            <w:tcBorders>
              <w:top w:val="nil"/>
              <w:left w:val="nil"/>
              <w:bottom w:val="single" w:sz="4" w:space="0" w:color="auto"/>
              <w:right w:val="nil"/>
            </w:tcBorders>
            <w:shd w:val="clear" w:color="auto" w:fill="auto"/>
            <w:vAlign w:val="bottom"/>
            <w:hideMark/>
          </w:tcPr>
          <w:p w14:paraId="182B5BB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2353703C" w14:textId="77777777" w:rsidTr="00F84D50">
        <w:trPr>
          <w:trHeight w:val="1800"/>
        </w:trPr>
        <w:tc>
          <w:tcPr>
            <w:tcW w:w="1120" w:type="dxa"/>
            <w:tcBorders>
              <w:top w:val="nil"/>
              <w:left w:val="single" w:sz="4" w:space="0" w:color="auto"/>
              <w:bottom w:val="single" w:sz="4" w:space="0" w:color="auto"/>
              <w:right w:val="single" w:sz="4" w:space="0" w:color="auto"/>
            </w:tcBorders>
            <w:shd w:val="clear" w:color="auto" w:fill="auto"/>
            <w:hideMark/>
          </w:tcPr>
          <w:p w14:paraId="74248E35"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Huddlestone et al., 2018</w:t>
            </w:r>
          </w:p>
        </w:tc>
        <w:tc>
          <w:tcPr>
            <w:tcW w:w="1180" w:type="dxa"/>
            <w:tcBorders>
              <w:top w:val="nil"/>
              <w:left w:val="nil"/>
              <w:bottom w:val="single" w:sz="4" w:space="0" w:color="auto"/>
              <w:right w:val="single" w:sz="4" w:space="0" w:color="auto"/>
            </w:tcBorders>
            <w:shd w:val="clear" w:color="auto" w:fill="auto"/>
            <w:vAlign w:val="bottom"/>
            <w:hideMark/>
          </w:tcPr>
          <w:p w14:paraId="39707E9E"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2BB63483"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Some confounds were not measured, like psychiatric diagnosis; secular trends were not explored.</w:t>
            </w:r>
          </w:p>
        </w:tc>
        <w:tc>
          <w:tcPr>
            <w:tcW w:w="1060" w:type="dxa"/>
            <w:tcBorders>
              <w:top w:val="nil"/>
              <w:left w:val="nil"/>
              <w:bottom w:val="single" w:sz="4" w:space="0" w:color="auto"/>
              <w:right w:val="single" w:sz="4" w:space="0" w:color="auto"/>
            </w:tcBorders>
            <w:shd w:val="clear" w:color="auto" w:fill="auto"/>
            <w:vAlign w:val="bottom"/>
            <w:hideMark/>
          </w:tcPr>
          <w:p w14:paraId="08095983"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69BBBAD9"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All eligible participants were included, and the start of the implementation strategy and follow-up coincided for all participants.</w:t>
            </w:r>
          </w:p>
        </w:tc>
        <w:tc>
          <w:tcPr>
            <w:tcW w:w="1120" w:type="dxa"/>
            <w:tcBorders>
              <w:top w:val="nil"/>
              <w:left w:val="nil"/>
              <w:bottom w:val="single" w:sz="4" w:space="0" w:color="auto"/>
              <w:right w:val="single" w:sz="4" w:space="0" w:color="auto"/>
            </w:tcBorders>
            <w:shd w:val="clear" w:color="auto" w:fill="auto"/>
            <w:vAlign w:val="bottom"/>
            <w:hideMark/>
          </w:tcPr>
          <w:p w14:paraId="61FC02E0"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1C0748BC"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Implementation status is well-defined and based on information collected at time of implementation. </w:t>
            </w:r>
          </w:p>
        </w:tc>
        <w:tc>
          <w:tcPr>
            <w:tcW w:w="1220" w:type="dxa"/>
            <w:tcBorders>
              <w:top w:val="nil"/>
              <w:left w:val="nil"/>
              <w:bottom w:val="single" w:sz="4" w:space="0" w:color="auto"/>
              <w:right w:val="nil"/>
            </w:tcBorders>
            <w:shd w:val="clear" w:color="auto" w:fill="auto"/>
            <w:vAlign w:val="bottom"/>
            <w:hideMark/>
          </w:tcPr>
          <w:p w14:paraId="5E7E035A"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r>
      <w:tr w:rsidR="00F84D50" w:rsidRPr="00F84D50" w14:paraId="5E6FE9AF" w14:textId="77777777" w:rsidTr="00F84D50">
        <w:trPr>
          <w:trHeight w:val="1800"/>
        </w:trPr>
        <w:tc>
          <w:tcPr>
            <w:tcW w:w="1120" w:type="dxa"/>
            <w:tcBorders>
              <w:top w:val="nil"/>
              <w:left w:val="single" w:sz="4" w:space="0" w:color="auto"/>
              <w:bottom w:val="single" w:sz="4" w:space="0" w:color="auto"/>
              <w:right w:val="single" w:sz="4" w:space="0" w:color="auto"/>
            </w:tcBorders>
            <w:shd w:val="clear" w:color="auto" w:fill="auto"/>
            <w:hideMark/>
          </w:tcPr>
          <w:p w14:paraId="53056DC9"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lastRenderedPageBreak/>
              <w:t>Kanter Bax et al., 2020</w:t>
            </w:r>
          </w:p>
        </w:tc>
        <w:tc>
          <w:tcPr>
            <w:tcW w:w="1180" w:type="dxa"/>
            <w:tcBorders>
              <w:top w:val="nil"/>
              <w:left w:val="nil"/>
              <w:bottom w:val="single" w:sz="4" w:space="0" w:color="auto"/>
              <w:right w:val="single" w:sz="4" w:space="0" w:color="auto"/>
            </w:tcBorders>
            <w:shd w:val="clear" w:color="auto" w:fill="auto"/>
            <w:vAlign w:val="bottom"/>
            <w:hideMark/>
          </w:tcPr>
          <w:p w14:paraId="12519682"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5F07AE93"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Secular trends and other potential </w:t>
            </w:r>
            <w:proofErr w:type="gramStart"/>
            <w:r w:rsidRPr="00F84D50">
              <w:rPr>
                <w:rFonts w:ascii="Calibri" w:eastAsia="Times New Roman" w:hAnsi="Calibri" w:cs="Calibri"/>
                <w:color w:val="000000"/>
                <w:kern w:val="0"/>
                <w:sz w:val="14"/>
                <w:szCs w:val="14"/>
                <w14:ligatures w14:val="none"/>
              </w:rPr>
              <w:t>confounds</w:t>
            </w:r>
            <w:proofErr w:type="gramEnd"/>
            <w:r w:rsidRPr="00F84D50">
              <w:rPr>
                <w:rFonts w:ascii="Calibri" w:eastAsia="Times New Roman" w:hAnsi="Calibri" w:cs="Calibri"/>
                <w:color w:val="000000"/>
                <w:kern w:val="0"/>
                <w:sz w:val="14"/>
                <w:szCs w:val="14"/>
                <w14:ligatures w14:val="none"/>
              </w:rPr>
              <w:t xml:space="preserve"> not were not measured or evaluated. </w:t>
            </w:r>
          </w:p>
        </w:tc>
        <w:tc>
          <w:tcPr>
            <w:tcW w:w="1060" w:type="dxa"/>
            <w:tcBorders>
              <w:top w:val="nil"/>
              <w:left w:val="nil"/>
              <w:bottom w:val="single" w:sz="4" w:space="0" w:color="auto"/>
              <w:right w:val="single" w:sz="4" w:space="0" w:color="auto"/>
            </w:tcBorders>
            <w:shd w:val="clear" w:color="auto" w:fill="auto"/>
            <w:vAlign w:val="bottom"/>
            <w:hideMark/>
          </w:tcPr>
          <w:p w14:paraId="44C123D4"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40886178"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All eligible participants appeared to be included and had the same follow-up period. </w:t>
            </w:r>
          </w:p>
        </w:tc>
        <w:tc>
          <w:tcPr>
            <w:tcW w:w="1120" w:type="dxa"/>
            <w:tcBorders>
              <w:top w:val="nil"/>
              <w:left w:val="nil"/>
              <w:bottom w:val="single" w:sz="4" w:space="0" w:color="auto"/>
              <w:right w:val="single" w:sz="4" w:space="0" w:color="auto"/>
            </w:tcBorders>
            <w:shd w:val="clear" w:color="auto" w:fill="auto"/>
            <w:vAlign w:val="bottom"/>
            <w:hideMark/>
          </w:tcPr>
          <w:p w14:paraId="4B10102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4249C1E0"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The start, end, and nature of each PSDA occurred is not clear.  </w:t>
            </w:r>
          </w:p>
        </w:tc>
        <w:tc>
          <w:tcPr>
            <w:tcW w:w="1220" w:type="dxa"/>
            <w:tcBorders>
              <w:top w:val="nil"/>
              <w:left w:val="nil"/>
              <w:bottom w:val="single" w:sz="4" w:space="0" w:color="auto"/>
              <w:right w:val="nil"/>
            </w:tcBorders>
            <w:shd w:val="clear" w:color="auto" w:fill="auto"/>
            <w:vAlign w:val="bottom"/>
            <w:hideMark/>
          </w:tcPr>
          <w:p w14:paraId="229F904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r>
      <w:tr w:rsidR="00F84D50" w:rsidRPr="00F84D50" w14:paraId="39AFF690" w14:textId="77777777" w:rsidTr="00F84D50">
        <w:trPr>
          <w:trHeight w:val="1080"/>
        </w:trPr>
        <w:tc>
          <w:tcPr>
            <w:tcW w:w="1120" w:type="dxa"/>
            <w:tcBorders>
              <w:top w:val="nil"/>
              <w:left w:val="single" w:sz="4" w:space="0" w:color="auto"/>
              <w:bottom w:val="single" w:sz="4" w:space="0" w:color="auto"/>
              <w:right w:val="single" w:sz="4" w:space="0" w:color="auto"/>
            </w:tcBorders>
            <w:shd w:val="clear" w:color="auto" w:fill="auto"/>
            <w:hideMark/>
          </w:tcPr>
          <w:p w14:paraId="0664C741"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Lappin et al., 2020</w:t>
            </w:r>
          </w:p>
        </w:tc>
        <w:tc>
          <w:tcPr>
            <w:tcW w:w="1180" w:type="dxa"/>
            <w:tcBorders>
              <w:top w:val="nil"/>
              <w:left w:val="nil"/>
              <w:bottom w:val="single" w:sz="4" w:space="0" w:color="auto"/>
              <w:right w:val="single" w:sz="4" w:space="0" w:color="auto"/>
            </w:tcBorders>
            <w:shd w:val="clear" w:color="auto" w:fill="auto"/>
            <w:vAlign w:val="bottom"/>
            <w:hideMark/>
          </w:tcPr>
          <w:p w14:paraId="633CB292"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2A9B8074"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The impact of time was not evaluated. </w:t>
            </w:r>
          </w:p>
        </w:tc>
        <w:tc>
          <w:tcPr>
            <w:tcW w:w="1060" w:type="dxa"/>
            <w:tcBorders>
              <w:top w:val="nil"/>
              <w:left w:val="nil"/>
              <w:bottom w:val="single" w:sz="4" w:space="0" w:color="auto"/>
              <w:right w:val="single" w:sz="4" w:space="0" w:color="auto"/>
            </w:tcBorders>
            <w:shd w:val="clear" w:color="auto" w:fill="auto"/>
            <w:vAlign w:val="bottom"/>
            <w:hideMark/>
          </w:tcPr>
          <w:p w14:paraId="2A9BADD2"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3168164D"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All eligible patients were included; start of follow-up coincided </w:t>
            </w:r>
            <w:proofErr w:type="gramStart"/>
            <w:r w:rsidRPr="00F84D50">
              <w:rPr>
                <w:rFonts w:ascii="Calibri" w:eastAsia="Times New Roman" w:hAnsi="Calibri" w:cs="Calibri"/>
                <w:color w:val="000000"/>
                <w:kern w:val="0"/>
                <w:sz w:val="14"/>
                <w:szCs w:val="14"/>
                <w14:ligatures w14:val="none"/>
              </w:rPr>
              <w:t>for</w:t>
            </w:r>
            <w:proofErr w:type="gramEnd"/>
            <w:r w:rsidRPr="00F84D50">
              <w:rPr>
                <w:rFonts w:ascii="Calibri" w:eastAsia="Times New Roman" w:hAnsi="Calibri" w:cs="Calibri"/>
                <w:color w:val="000000"/>
                <w:kern w:val="0"/>
                <w:sz w:val="14"/>
                <w:szCs w:val="14"/>
                <w14:ligatures w14:val="none"/>
              </w:rPr>
              <w:t xml:space="preserve"> providers and patients. </w:t>
            </w:r>
          </w:p>
        </w:tc>
        <w:tc>
          <w:tcPr>
            <w:tcW w:w="1120" w:type="dxa"/>
            <w:tcBorders>
              <w:top w:val="nil"/>
              <w:left w:val="nil"/>
              <w:bottom w:val="single" w:sz="4" w:space="0" w:color="auto"/>
              <w:right w:val="single" w:sz="4" w:space="0" w:color="auto"/>
            </w:tcBorders>
            <w:shd w:val="clear" w:color="auto" w:fill="auto"/>
            <w:vAlign w:val="bottom"/>
            <w:hideMark/>
          </w:tcPr>
          <w:p w14:paraId="012C469E"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1A9DC92F"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Intervention status is well defined and based on information collected at time of intervention. </w:t>
            </w:r>
          </w:p>
        </w:tc>
        <w:tc>
          <w:tcPr>
            <w:tcW w:w="1220" w:type="dxa"/>
            <w:tcBorders>
              <w:top w:val="nil"/>
              <w:left w:val="nil"/>
              <w:bottom w:val="single" w:sz="4" w:space="0" w:color="auto"/>
              <w:right w:val="nil"/>
            </w:tcBorders>
            <w:shd w:val="clear" w:color="auto" w:fill="auto"/>
            <w:vAlign w:val="bottom"/>
            <w:hideMark/>
          </w:tcPr>
          <w:p w14:paraId="323BC2E1"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No information</w:t>
            </w:r>
          </w:p>
        </w:tc>
      </w:tr>
      <w:tr w:rsidR="00F84D50" w:rsidRPr="00F84D50" w14:paraId="12755A00" w14:textId="77777777" w:rsidTr="00F84D50">
        <w:trPr>
          <w:trHeight w:val="1980"/>
        </w:trPr>
        <w:tc>
          <w:tcPr>
            <w:tcW w:w="1120" w:type="dxa"/>
            <w:tcBorders>
              <w:top w:val="nil"/>
              <w:left w:val="single" w:sz="4" w:space="0" w:color="auto"/>
              <w:bottom w:val="single" w:sz="4" w:space="0" w:color="auto"/>
              <w:right w:val="single" w:sz="4" w:space="0" w:color="auto"/>
            </w:tcBorders>
            <w:shd w:val="clear" w:color="auto" w:fill="auto"/>
            <w:hideMark/>
          </w:tcPr>
          <w:p w14:paraId="2E92B2B7"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Muladore et al., 2018</w:t>
            </w:r>
          </w:p>
        </w:tc>
        <w:tc>
          <w:tcPr>
            <w:tcW w:w="1180" w:type="dxa"/>
            <w:tcBorders>
              <w:top w:val="nil"/>
              <w:left w:val="nil"/>
              <w:bottom w:val="single" w:sz="4" w:space="0" w:color="auto"/>
              <w:right w:val="single" w:sz="4" w:space="0" w:color="auto"/>
            </w:tcBorders>
            <w:shd w:val="clear" w:color="auto" w:fill="auto"/>
            <w:vAlign w:val="bottom"/>
            <w:hideMark/>
          </w:tcPr>
          <w:p w14:paraId="4CDEE1B5"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1D85C4AF"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Secular trends </w:t>
            </w:r>
            <w:proofErr w:type="gramStart"/>
            <w:r w:rsidRPr="00F84D50">
              <w:rPr>
                <w:rFonts w:ascii="Calibri" w:eastAsia="Times New Roman" w:hAnsi="Calibri" w:cs="Calibri"/>
                <w:color w:val="000000"/>
                <w:kern w:val="0"/>
                <w:sz w:val="14"/>
                <w:szCs w:val="14"/>
                <w14:ligatures w14:val="none"/>
              </w:rPr>
              <w:t>not</w:t>
            </w:r>
            <w:proofErr w:type="gramEnd"/>
            <w:r w:rsidRPr="00F84D50">
              <w:rPr>
                <w:rFonts w:ascii="Calibri" w:eastAsia="Times New Roman" w:hAnsi="Calibri" w:cs="Calibri"/>
                <w:color w:val="000000"/>
                <w:kern w:val="0"/>
                <w:sz w:val="14"/>
                <w:szCs w:val="14"/>
                <w14:ligatures w14:val="none"/>
              </w:rPr>
              <w:t xml:space="preserve"> reported.  </w:t>
            </w:r>
          </w:p>
        </w:tc>
        <w:tc>
          <w:tcPr>
            <w:tcW w:w="1060" w:type="dxa"/>
            <w:tcBorders>
              <w:top w:val="nil"/>
              <w:left w:val="nil"/>
              <w:bottom w:val="single" w:sz="4" w:space="0" w:color="auto"/>
              <w:right w:val="single" w:sz="4" w:space="0" w:color="auto"/>
            </w:tcBorders>
            <w:shd w:val="clear" w:color="auto" w:fill="auto"/>
            <w:vAlign w:val="bottom"/>
            <w:hideMark/>
          </w:tcPr>
          <w:p w14:paraId="2FD71E94"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6ABCE5A9"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Selection into study based on tobacco use may have been related to implementation strategy and outcome. Unclear how past 30-day tobacco use was assessed to determine inclusion. Per authors, “Data about tobacco use were based on what was available for each patient. Of note, many of the tobacco use histories completed by nurses at admission were incomplete to varying degrees.” </w:t>
            </w:r>
          </w:p>
        </w:tc>
        <w:tc>
          <w:tcPr>
            <w:tcW w:w="1120" w:type="dxa"/>
            <w:tcBorders>
              <w:top w:val="nil"/>
              <w:left w:val="nil"/>
              <w:bottom w:val="single" w:sz="4" w:space="0" w:color="auto"/>
              <w:right w:val="single" w:sz="4" w:space="0" w:color="auto"/>
            </w:tcBorders>
            <w:shd w:val="clear" w:color="auto" w:fill="auto"/>
            <w:vAlign w:val="bottom"/>
            <w:hideMark/>
          </w:tcPr>
          <w:p w14:paraId="6BC372B0"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4413B22A"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Implementation period well-defined. </w:t>
            </w:r>
          </w:p>
        </w:tc>
        <w:tc>
          <w:tcPr>
            <w:tcW w:w="1220" w:type="dxa"/>
            <w:tcBorders>
              <w:top w:val="nil"/>
              <w:left w:val="nil"/>
              <w:bottom w:val="single" w:sz="4" w:space="0" w:color="auto"/>
              <w:right w:val="nil"/>
            </w:tcBorders>
            <w:shd w:val="clear" w:color="auto" w:fill="auto"/>
            <w:vAlign w:val="bottom"/>
            <w:hideMark/>
          </w:tcPr>
          <w:p w14:paraId="42A6C236"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163CD8C6" w14:textId="77777777" w:rsidTr="00F84D50">
        <w:trPr>
          <w:trHeight w:val="1800"/>
        </w:trPr>
        <w:tc>
          <w:tcPr>
            <w:tcW w:w="1120" w:type="dxa"/>
            <w:tcBorders>
              <w:top w:val="nil"/>
              <w:left w:val="single" w:sz="4" w:space="0" w:color="auto"/>
              <w:bottom w:val="single" w:sz="4" w:space="0" w:color="auto"/>
              <w:right w:val="single" w:sz="4" w:space="0" w:color="auto"/>
            </w:tcBorders>
            <w:shd w:val="clear" w:color="auto" w:fill="auto"/>
            <w:hideMark/>
          </w:tcPr>
          <w:p w14:paraId="3B0A774F"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proofErr w:type="spellStart"/>
            <w:r w:rsidRPr="00F84D50">
              <w:rPr>
                <w:rFonts w:ascii="Aptos Narrow" w:eastAsia="Times New Roman" w:hAnsi="Aptos Narrow" w:cs="Times New Roman"/>
                <w:b/>
                <w:bCs/>
                <w:kern w:val="0"/>
                <w:sz w:val="14"/>
                <w:szCs w:val="14"/>
                <w14:ligatures w14:val="none"/>
              </w:rPr>
              <w:t>Nitturi</w:t>
            </w:r>
            <w:proofErr w:type="spellEnd"/>
            <w:r w:rsidRPr="00F84D50">
              <w:rPr>
                <w:rFonts w:ascii="Aptos Narrow" w:eastAsia="Times New Roman" w:hAnsi="Aptos Narrow" w:cs="Times New Roman"/>
                <w:b/>
                <w:bCs/>
                <w:kern w:val="0"/>
                <w:sz w:val="14"/>
                <w:szCs w:val="14"/>
                <w14:ligatures w14:val="none"/>
              </w:rPr>
              <w:t xml:space="preserve"> et al., 2021</w:t>
            </w:r>
          </w:p>
        </w:tc>
        <w:tc>
          <w:tcPr>
            <w:tcW w:w="1180" w:type="dxa"/>
            <w:tcBorders>
              <w:top w:val="nil"/>
              <w:left w:val="nil"/>
              <w:bottom w:val="single" w:sz="4" w:space="0" w:color="auto"/>
              <w:right w:val="single" w:sz="4" w:space="0" w:color="auto"/>
            </w:tcBorders>
            <w:shd w:val="clear" w:color="auto" w:fill="auto"/>
            <w:vAlign w:val="bottom"/>
            <w:hideMark/>
          </w:tcPr>
          <w:p w14:paraId="1B8FEC37"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7B65BDA3"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Secular trend not evaluated. Other potential confounds, like length of involvement in train-the-trainer program and organizational characteristics, </w:t>
            </w:r>
            <w:proofErr w:type="gramStart"/>
            <w:r w:rsidRPr="00F84D50">
              <w:rPr>
                <w:rFonts w:ascii="Calibri" w:eastAsia="Times New Roman" w:hAnsi="Calibri" w:cs="Calibri"/>
                <w:color w:val="000000"/>
                <w:kern w:val="0"/>
                <w:sz w:val="14"/>
                <w:szCs w:val="14"/>
                <w14:ligatures w14:val="none"/>
              </w:rPr>
              <w:t>not</w:t>
            </w:r>
            <w:proofErr w:type="gramEnd"/>
            <w:r w:rsidRPr="00F84D50">
              <w:rPr>
                <w:rFonts w:ascii="Calibri" w:eastAsia="Times New Roman" w:hAnsi="Calibri" w:cs="Calibri"/>
                <w:color w:val="000000"/>
                <w:kern w:val="0"/>
                <w:sz w:val="14"/>
                <w:szCs w:val="14"/>
                <w14:ligatures w14:val="none"/>
              </w:rPr>
              <w:t xml:space="preserve"> evaluated.  “Program implementation spanned the fall of 2020 through the spring of 2021 with start and end dates varying by participating LMHA based on their preferences and progress [range = 4-6 months].</w:t>
            </w:r>
          </w:p>
        </w:tc>
        <w:tc>
          <w:tcPr>
            <w:tcW w:w="1060" w:type="dxa"/>
            <w:tcBorders>
              <w:top w:val="nil"/>
              <w:left w:val="nil"/>
              <w:bottom w:val="single" w:sz="4" w:space="0" w:color="auto"/>
              <w:right w:val="single" w:sz="4" w:space="0" w:color="auto"/>
            </w:tcBorders>
            <w:shd w:val="clear" w:color="auto" w:fill="auto"/>
            <w:vAlign w:val="bottom"/>
            <w:hideMark/>
          </w:tcPr>
          <w:p w14:paraId="0929173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086D7746"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All eligible sites were given the opportunity to participate; start of follow-up and implementation activity coincided. All LMHAs were included in earlier TTF efforts. </w:t>
            </w:r>
          </w:p>
        </w:tc>
        <w:tc>
          <w:tcPr>
            <w:tcW w:w="1120" w:type="dxa"/>
            <w:tcBorders>
              <w:top w:val="nil"/>
              <w:left w:val="nil"/>
              <w:bottom w:val="single" w:sz="4" w:space="0" w:color="auto"/>
              <w:right w:val="single" w:sz="4" w:space="0" w:color="auto"/>
            </w:tcBorders>
            <w:shd w:val="clear" w:color="auto" w:fill="auto"/>
            <w:vAlign w:val="bottom"/>
            <w:hideMark/>
          </w:tcPr>
          <w:p w14:paraId="6A85726C"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1C8389B4"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Implementation status was well-defined and based on information collected at initiation. </w:t>
            </w:r>
          </w:p>
        </w:tc>
        <w:tc>
          <w:tcPr>
            <w:tcW w:w="1220" w:type="dxa"/>
            <w:tcBorders>
              <w:top w:val="nil"/>
              <w:left w:val="nil"/>
              <w:bottom w:val="single" w:sz="4" w:space="0" w:color="auto"/>
              <w:right w:val="nil"/>
            </w:tcBorders>
            <w:shd w:val="clear" w:color="auto" w:fill="auto"/>
            <w:vAlign w:val="bottom"/>
            <w:hideMark/>
          </w:tcPr>
          <w:p w14:paraId="7D468A84"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63C801B5" w14:textId="77777777" w:rsidTr="00F84D50">
        <w:trPr>
          <w:trHeight w:val="1620"/>
        </w:trPr>
        <w:tc>
          <w:tcPr>
            <w:tcW w:w="1120" w:type="dxa"/>
            <w:tcBorders>
              <w:top w:val="nil"/>
              <w:left w:val="single" w:sz="4" w:space="0" w:color="auto"/>
              <w:bottom w:val="single" w:sz="4" w:space="0" w:color="auto"/>
              <w:right w:val="single" w:sz="4" w:space="0" w:color="auto"/>
            </w:tcBorders>
            <w:shd w:val="clear" w:color="auto" w:fill="auto"/>
            <w:hideMark/>
          </w:tcPr>
          <w:p w14:paraId="3754F048"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proofErr w:type="spellStart"/>
            <w:r w:rsidRPr="00F84D50">
              <w:rPr>
                <w:rFonts w:ascii="Aptos Narrow" w:eastAsia="Times New Roman" w:hAnsi="Aptos Narrow" w:cs="Times New Roman"/>
                <w:b/>
                <w:bCs/>
                <w:kern w:val="0"/>
                <w:sz w:val="14"/>
                <w:szCs w:val="14"/>
                <w14:ligatures w14:val="none"/>
              </w:rPr>
              <w:t>Nitturi</w:t>
            </w:r>
            <w:proofErr w:type="spellEnd"/>
            <w:r w:rsidRPr="00F84D50">
              <w:rPr>
                <w:rFonts w:ascii="Aptos Narrow" w:eastAsia="Times New Roman" w:hAnsi="Aptos Narrow" w:cs="Times New Roman"/>
                <w:b/>
                <w:bCs/>
                <w:kern w:val="0"/>
                <w:sz w:val="14"/>
                <w:szCs w:val="14"/>
                <w14:ligatures w14:val="none"/>
              </w:rPr>
              <w:t xml:space="preserve"> et al., 2021a</w:t>
            </w:r>
          </w:p>
        </w:tc>
        <w:tc>
          <w:tcPr>
            <w:tcW w:w="1180" w:type="dxa"/>
            <w:tcBorders>
              <w:top w:val="nil"/>
              <w:left w:val="nil"/>
              <w:bottom w:val="single" w:sz="4" w:space="0" w:color="auto"/>
              <w:right w:val="single" w:sz="4" w:space="0" w:color="auto"/>
            </w:tcBorders>
            <w:shd w:val="clear" w:color="auto" w:fill="auto"/>
            <w:vAlign w:val="bottom"/>
            <w:hideMark/>
          </w:tcPr>
          <w:p w14:paraId="5092D784"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2C62C93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Confounding expected but appropriately measured and </w:t>
            </w:r>
            <w:proofErr w:type="gramStart"/>
            <w:r w:rsidRPr="00F84D50">
              <w:rPr>
                <w:rFonts w:ascii="Aptos Narrow" w:eastAsia="Times New Roman" w:hAnsi="Aptos Narrow" w:cs="Times New Roman"/>
                <w:color w:val="000000"/>
                <w:kern w:val="0"/>
                <w:sz w:val="14"/>
                <w:szCs w:val="14"/>
                <w14:ligatures w14:val="none"/>
              </w:rPr>
              <w:t>controlled for</w:t>
            </w:r>
            <w:proofErr w:type="gramEnd"/>
            <w:r w:rsidRPr="00F84D50">
              <w:rPr>
                <w:rFonts w:ascii="Aptos Narrow" w:eastAsia="Times New Roman" w:hAnsi="Aptos Narrow" w:cs="Times New Roman"/>
                <w:color w:val="000000"/>
                <w:kern w:val="0"/>
                <w:sz w:val="14"/>
                <w:szCs w:val="14"/>
                <w14:ligatures w14:val="none"/>
              </w:rPr>
              <w:t xml:space="preserve"> with valid measures. Clustered by LMHA; models adjusted for baseline covariates (baseline LMHA size measures, ORIC score, or both, depending on outcome of model) that appeared to be validly measured. Moderators examined; time </w:t>
            </w:r>
            <w:proofErr w:type="gramStart"/>
            <w:r w:rsidRPr="00F84D50">
              <w:rPr>
                <w:rFonts w:ascii="Aptos Narrow" w:eastAsia="Times New Roman" w:hAnsi="Aptos Narrow" w:cs="Times New Roman"/>
                <w:color w:val="000000"/>
                <w:kern w:val="0"/>
                <w:sz w:val="14"/>
                <w:szCs w:val="14"/>
                <w14:ligatures w14:val="none"/>
              </w:rPr>
              <w:t>taken into account</w:t>
            </w:r>
            <w:proofErr w:type="gramEnd"/>
            <w:r w:rsidRPr="00F84D50">
              <w:rPr>
                <w:rFonts w:ascii="Aptos Narrow" w:eastAsia="Times New Roman" w:hAnsi="Aptos Narrow" w:cs="Times New Roman"/>
                <w:color w:val="000000"/>
                <w:kern w:val="0"/>
                <w:sz w:val="14"/>
                <w:szCs w:val="14"/>
                <w14:ligatures w14:val="none"/>
              </w:rPr>
              <w:t xml:space="preserve"> with matched variables. </w:t>
            </w:r>
          </w:p>
        </w:tc>
        <w:tc>
          <w:tcPr>
            <w:tcW w:w="1060" w:type="dxa"/>
            <w:tcBorders>
              <w:top w:val="nil"/>
              <w:left w:val="nil"/>
              <w:bottom w:val="single" w:sz="4" w:space="0" w:color="auto"/>
              <w:right w:val="single" w:sz="4" w:space="0" w:color="auto"/>
            </w:tcBorders>
            <w:shd w:val="clear" w:color="auto" w:fill="auto"/>
            <w:vAlign w:val="bottom"/>
            <w:hideMark/>
          </w:tcPr>
          <w:p w14:paraId="64CEB3F3"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68DA511C"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Selection into study was determined based on readiness to change and enrollment capacity and, thus, may have been related to receipt of implementation strategy and outcome. </w:t>
            </w:r>
          </w:p>
        </w:tc>
        <w:tc>
          <w:tcPr>
            <w:tcW w:w="1120" w:type="dxa"/>
            <w:tcBorders>
              <w:top w:val="nil"/>
              <w:left w:val="nil"/>
              <w:bottom w:val="single" w:sz="4" w:space="0" w:color="auto"/>
              <w:right w:val="single" w:sz="4" w:space="0" w:color="auto"/>
            </w:tcBorders>
            <w:shd w:val="clear" w:color="auto" w:fill="auto"/>
            <w:vAlign w:val="bottom"/>
            <w:hideMark/>
          </w:tcPr>
          <w:p w14:paraId="1A66853A"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6A11C4AE"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Implementation status is well-defined and appears to be based on information collected as baseline. </w:t>
            </w:r>
          </w:p>
        </w:tc>
        <w:tc>
          <w:tcPr>
            <w:tcW w:w="1220" w:type="dxa"/>
            <w:tcBorders>
              <w:top w:val="nil"/>
              <w:left w:val="nil"/>
              <w:bottom w:val="single" w:sz="4" w:space="0" w:color="auto"/>
              <w:right w:val="nil"/>
            </w:tcBorders>
            <w:shd w:val="clear" w:color="auto" w:fill="auto"/>
            <w:vAlign w:val="bottom"/>
            <w:hideMark/>
          </w:tcPr>
          <w:p w14:paraId="46B33368"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483668F8" w14:textId="77777777" w:rsidTr="00F84D50">
        <w:trPr>
          <w:trHeight w:val="900"/>
        </w:trPr>
        <w:tc>
          <w:tcPr>
            <w:tcW w:w="1120" w:type="dxa"/>
            <w:tcBorders>
              <w:top w:val="nil"/>
              <w:left w:val="single" w:sz="4" w:space="0" w:color="auto"/>
              <w:bottom w:val="single" w:sz="4" w:space="0" w:color="auto"/>
              <w:right w:val="single" w:sz="4" w:space="0" w:color="auto"/>
            </w:tcBorders>
            <w:shd w:val="clear" w:color="auto" w:fill="auto"/>
            <w:hideMark/>
          </w:tcPr>
          <w:p w14:paraId="0AF6704C"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Okoli et al., 2018</w:t>
            </w:r>
          </w:p>
        </w:tc>
        <w:tc>
          <w:tcPr>
            <w:tcW w:w="1180" w:type="dxa"/>
            <w:tcBorders>
              <w:top w:val="nil"/>
              <w:left w:val="nil"/>
              <w:bottom w:val="single" w:sz="4" w:space="0" w:color="auto"/>
              <w:right w:val="single" w:sz="4" w:space="0" w:color="auto"/>
            </w:tcBorders>
            <w:shd w:val="clear" w:color="auto" w:fill="auto"/>
            <w:vAlign w:val="bottom"/>
            <w:hideMark/>
          </w:tcPr>
          <w:p w14:paraId="2B3ECA89"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22ECA2B8"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Secular trends evaluated, but other confounds (like psychiatric diagnosis) </w:t>
            </w:r>
            <w:proofErr w:type="gramStart"/>
            <w:r w:rsidRPr="00F84D50">
              <w:rPr>
                <w:rFonts w:ascii="Calibri" w:eastAsia="Times New Roman" w:hAnsi="Calibri" w:cs="Calibri"/>
                <w:color w:val="000000"/>
                <w:kern w:val="0"/>
                <w:sz w:val="14"/>
                <w:szCs w:val="14"/>
                <w14:ligatures w14:val="none"/>
              </w:rPr>
              <w:t>not</w:t>
            </w:r>
            <w:proofErr w:type="gramEnd"/>
            <w:r w:rsidRPr="00F84D50">
              <w:rPr>
                <w:rFonts w:ascii="Calibri" w:eastAsia="Times New Roman" w:hAnsi="Calibri" w:cs="Calibri"/>
                <w:color w:val="000000"/>
                <w:kern w:val="0"/>
                <w:sz w:val="14"/>
                <w:szCs w:val="14"/>
                <w14:ligatures w14:val="none"/>
              </w:rPr>
              <w:t xml:space="preserve"> included in analyses. </w:t>
            </w:r>
          </w:p>
        </w:tc>
        <w:tc>
          <w:tcPr>
            <w:tcW w:w="1060" w:type="dxa"/>
            <w:tcBorders>
              <w:top w:val="nil"/>
              <w:left w:val="nil"/>
              <w:bottom w:val="single" w:sz="4" w:space="0" w:color="auto"/>
              <w:right w:val="single" w:sz="4" w:space="0" w:color="auto"/>
            </w:tcBorders>
            <w:shd w:val="clear" w:color="auto" w:fill="auto"/>
            <w:vAlign w:val="bottom"/>
            <w:hideMark/>
          </w:tcPr>
          <w:p w14:paraId="6B2B221E"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70C8B85B"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r w:rsidRPr="00F84D50">
              <w:rPr>
                <w:rFonts w:ascii="Calibri" w:eastAsia="Times New Roman" w:hAnsi="Calibri" w:cs="Calibri"/>
                <w:color w:val="000000"/>
                <w:kern w:val="0"/>
                <w:sz w:val="14"/>
                <w:szCs w:val="14"/>
                <w14:ligatures w14:val="none"/>
              </w:rPr>
              <w:t xml:space="preserve">All eligible participants </w:t>
            </w:r>
            <w:proofErr w:type="gramStart"/>
            <w:r w:rsidRPr="00F84D50">
              <w:rPr>
                <w:rFonts w:ascii="Calibri" w:eastAsia="Times New Roman" w:hAnsi="Calibri" w:cs="Calibri"/>
                <w:color w:val="000000"/>
                <w:kern w:val="0"/>
                <w:sz w:val="14"/>
                <w:szCs w:val="14"/>
                <w14:ligatures w14:val="none"/>
              </w:rPr>
              <w:t>included;</w:t>
            </w:r>
            <w:proofErr w:type="gramEnd"/>
            <w:r w:rsidRPr="00F84D50">
              <w:rPr>
                <w:rFonts w:ascii="Calibri" w:eastAsia="Times New Roman" w:hAnsi="Calibri" w:cs="Calibri"/>
                <w:color w:val="000000"/>
                <w:kern w:val="0"/>
                <w:sz w:val="14"/>
                <w:szCs w:val="14"/>
                <w14:ligatures w14:val="none"/>
              </w:rPr>
              <w:t xml:space="preserve"> start of follow-up and start of strategy aligned for all participants. </w:t>
            </w:r>
          </w:p>
        </w:tc>
        <w:tc>
          <w:tcPr>
            <w:tcW w:w="1120" w:type="dxa"/>
            <w:tcBorders>
              <w:top w:val="nil"/>
              <w:left w:val="nil"/>
              <w:bottom w:val="single" w:sz="4" w:space="0" w:color="auto"/>
              <w:right w:val="single" w:sz="4" w:space="0" w:color="auto"/>
            </w:tcBorders>
            <w:shd w:val="clear" w:color="auto" w:fill="auto"/>
            <w:vAlign w:val="bottom"/>
            <w:hideMark/>
          </w:tcPr>
          <w:p w14:paraId="5F5564C8"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6A0831E2" w14:textId="77777777" w:rsidR="00F84D50" w:rsidRPr="00F84D50" w:rsidRDefault="00F84D50" w:rsidP="00F84D50">
            <w:pPr>
              <w:spacing w:line="240" w:lineRule="auto"/>
              <w:rPr>
                <w:rFonts w:ascii="Calibri" w:eastAsia="Times New Roman" w:hAnsi="Calibri" w:cs="Calibri"/>
                <w:color w:val="000000"/>
                <w:kern w:val="0"/>
                <w:sz w:val="14"/>
                <w:szCs w:val="14"/>
                <w14:ligatures w14:val="none"/>
              </w:rPr>
            </w:pPr>
            <w:proofErr w:type="gramStart"/>
            <w:r w:rsidRPr="00F84D50">
              <w:rPr>
                <w:rFonts w:ascii="Calibri" w:eastAsia="Times New Roman" w:hAnsi="Calibri" w:cs="Calibri"/>
                <w:color w:val="000000"/>
                <w:kern w:val="0"/>
                <w:sz w:val="14"/>
                <w:szCs w:val="14"/>
                <w14:ligatures w14:val="none"/>
              </w:rPr>
              <w:t>Implementation</w:t>
            </w:r>
            <w:proofErr w:type="gramEnd"/>
            <w:r w:rsidRPr="00F84D50">
              <w:rPr>
                <w:rFonts w:ascii="Calibri" w:eastAsia="Times New Roman" w:hAnsi="Calibri" w:cs="Calibri"/>
                <w:color w:val="000000"/>
                <w:kern w:val="0"/>
                <w:sz w:val="14"/>
                <w:szCs w:val="14"/>
                <w14:ligatures w14:val="none"/>
              </w:rPr>
              <w:t xml:space="preserve"> status </w:t>
            </w:r>
            <w:proofErr w:type="gramStart"/>
            <w:r w:rsidRPr="00F84D50">
              <w:rPr>
                <w:rFonts w:ascii="Calibri" w:eastAsia="Times New Roman" w:hAnsi="Calibri" w:cs="Calibri"/>
                <w:color w:val="000000"/>
                <w:kern w:val="0"/>
                <w:sz w:val="14"/>
                <w:szCs w:val="14"/>
                <w14:ligatures w14:val="none"/>
              </w:rPr>
              <w:t>well</w:t>
            </w:r>
            <w:proofErr w:type="gramEnd"/>
            <w:r w:rsidRPr="00F84D50">
              <w:rPr>
                <w:rFonts w:ascii="Calibri" w:eastAsia="Times New Roman" w:hAnsi="Calibri" w:cs="Calibri"/>
                <w:color w:val="000000"/>
                <w:kern w:val="0"/>
                <w:sz w:val="14"/>
                <w:szCs w:val="14"/>
                <w14:ligatures w14:val="none"/>
              </w:rPr>
              <w:t>-defined and based solely on information collected at time of intervention. </w:t>
            </w:r>
          </w:p>
        </w:tc>
        <w:tc>
          <w:tcPr>
            <w:tcW w:w="1220" w:type="dxa"/>
            <w:tcBorders>
              <w:top w:val="nil"/>
              <w:left w:val="nil"/>
              <w:bottom w:val="single" w:sz="4" w:space="0" w:color="auto"/>
              <w:right w:val="nil"/>
            </w:tcBorders>
            <w:shd w:val="clear" w:color="auto" w:fill="auto"/>
            <w:vAlign w:val="bottom"/>
            <w:hideMark/>
          </w:tcPr>
          <w:p w14:paraId="576E9426"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6CF828EE" w14:textId="77777777" w:rsidTr="00F84D50">
        <w:trPr>
          <w:trHeight w:val="1620"/>
        </w:trPr>
        <w:tc>
          <w:tcPr>
            <w:tcW w:w="1120" w:type="dxa"/>
            <w:tcBorders>
              <w:top w:val="nil"/>
              <w:left w:val="single" w:sz="4" w:space="0" w:color="auto"/>
              <w:bottom w:val="single" w:sz="4" w:space="0" w:color="auto"/>
              <w:right w:val="single" w:sz="4" w:space="0" w:color="auto"/>
            </w:tcBorders>
            <w:shd w:val="clear" w:color="auto" w:fill="auto"/>
            <w:hideMark/>
          </w:tcPr>
          <w:p w14:paraId="6A65D2E6"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lastRenderedPageBreak/>
              <w:t>Parker et al., 2012</w:t>
            </w:r>
          </w:p>
        </w:tc>
        <w:tc>
          <w:tcPr>
            <w:tcW w:w="1180" w:type="dxa"/>
            <w:tcBorders>
              <w:top w:val="nil"/>
              <w:left w:val="nil"/>
              <w:bottom w:val="single" w:sz="4" w:space="0" w:color="auto"/>
              <w:right w:val="single" w:sz="4" w:space="0" w:color="auto"/>
            </w:tcBorders>
            <w:shd w:val="clear" w:color="auto" w:fill="auto"/>
            <w:vAlign w:val="bottom"/>
            <w:hideMark/>
          </w:tcPr>
          <w:p w14:paraId="5F58B578"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6936965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Confounds like diagnosis, number of counseling sessions, and treatment setting not accounted for in data analysis. </w:t>
            </w:r>
          </w:p>
        </w:tc>
        <w:tc>
          <w:tcPr>
            <w:tcW w:w="1060" w:type="dxa"/>
            <w:tcBorders>
              <w:top w:val="nil"/>
              <w:left w:val="nil"/>
              <w:bottom w:val="single" w:sz="4" w:space="0" w:color="auto"/>
              <w:right w:val="single" w:sz="4" w:space="0" w:color="auto"/>
            </w:tcBorders>
            <w:shd w:val="clear" w:color="auto" w:fill="auto"/>
            <w:vAlign w:val="bottom"/>
            <w:hideMark/>
          </w:tcPr>
          <w:p w14:paraId="6E33121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384B3323"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Start of follow-up and implementation activity did not align for all participating sites, so some patients had longer exposure to implementation activities than others. “Seven months into the study, two more acute wards (44 beds) were incorporated because the ward managers expressed an interest in participating (total of beds = 129).”  </w:t>
            </w:r>
          </w:p>
        </w:tc>
        <w:tc>
          <w:tcPr>
            <w:tcW w:w="1120" w:type="dxa"/>
            <w:tcBorders>
              <w:top w:val="nil"/>
              <w:left w:val="nil"/>
              <w:bottom w:val="single" w:sz="4" w:space="0" w:color="auto"/>
              <w:right w:val="single" w:sz="4" w:space="0" w:color="auto"/>
            </w:tcBorders>
            <w:shd w:val="clear" w:color="auto" w:fill="auto"/>
            <w:vAlign w:val="bottom"/>
            <w:hideMark/>
          </w:tcPr>
          <w:p w14:paraId="37F59391"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632AF0F3"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proofErr w:type="gramStart"/>
            <w:r w:rsidRPr="00F84D50">
              <w:rPr>
                <w:rFonts w:ascii="Aptos Narrow" w:eastAsia="Times New Roman" w:hAnsi="Aptos Narrow" w:cs="Times New Roman"/>
                <w:color w:val="000000"/>
                <w:kern w:val="0"/>
                <w:sz w:val="14"/>
                <w:szCs w:val="14"/>
                <w14:ligatures w14:val="none"/>
              </w:rPr>
              <w:t>9-</w:t>
            </w:r>
            <w:proofErr w:type="gramEnd"/>
            <w:r w:rsidRPr="00F84D50">
              <w:rPr>
                <w:rFonts w:ascii="Aptos Narrow" w:eastAsia="Times New Roman" w:hAnsi="Aptos Narrow" w:cs="Times New Roman"/>
                <w:color w:val="000000"/>
                <w:kern w:val="0"/>
                <w:sz w:val="14"/>
                <w:szCs w:val="14"/>
                <w14:ligatures w14:val="none"/>
              </w:rPr>
              <w:t xml:space="preserve">month project period, but it is unclear when exactly baseline data was collected, when the service was established, when follow-up data was collected, and what time periods were covered during baseline and follow-up data collection. </w:t>
            </w:r>
          </w:p>
        </w:tc>
        <w:tc>
          <w:tcPr>
            <w:tcW w:w="1220" w:type="dxa"/>
            <w:tcBorders>
              <w:top w:val="nil"/>
              <w:left w:val="nil"/>
              <w:bottom w:val="single" w:sz="4" w:space="0" w:color="auto"/>
              <w:right w:val="nil"/>
            </w:tcBorders>
            <w:shd w:val="clear" w:color="auto" w:fill="auto"/>
            <w:vAlign w:val="bottom"/>
            <w:hideMark/>
          </w:tcPr>
          <w:p w14:paraId="016A7AD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1BE062C7" w14:textId="77777777" w:rsidTr="00F84D50">
        <w:trPr>
          <w:trHeight w:val="1260"/>
        </w:trPr>
        <w:tc>
          <w:tcPr>
            <w:tcW w:w="1120" w:type="dxa"/>
            <w:tcBorders>
              <w:top w:val="nil"/>
              <w:left w:val="single" w:sz="4" w:space="0" w:color="auto"/>
              <w:bottom w:val="single" w:sz="4" w:space="0" w:color="auto"/>
              <w:right w:val="single" w:sz="4" w:space="0" w:color="auto"/>
            </w:tcBorders>
            <w:shd w:val="clear" w:color="auto" w:fill="auto"/>
            <w:hideMark/>
          </w:tcPr>
          <w:p w14:paraId="07471898"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Scharf et al., 2011</w:t>
            </w:r>
          </w:p>
        </w:tc>
        <w:tc>
          <w:tcPr>
            <w:tcW w:w="1180" w:type="dxa"/>
            <w:tcBorders>
              <w:top w:val="nil"/>
              <w:left w:val="nil"/>
              <w:bottom w:val="single" w:sz="4" w:space="0" w:color="auto"/>
              <w:right w:val="single" w:sz="4" w:space="0" w:color="auto"/>
            </w:tcBorders>
            <w:shd w:val="clear" w:color="auto" w:fill="auto"/>
            <w:vAlign w:val="bottom"/>
            <w:hideMark/>
          </w:tcPr>
          <w:p w14:paraId="4D872E0C"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55FE705A"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Secular trends evaluated and other confounds (e.g., hospital unit) evaluated and measured reliably. </w:t>
            </w:r>
          </w:p>
        </w:tc>
        <w:tc>
          <w:tcPr>
            <w:tcW w:w="1060" w:type="dxa"/>
            <w:tcBorders>
              <w:top w:val="nil"/>
              <w:left w:val="nil"/>
              <w:bottom w:val="single" w:sz="4" w:space="0" w:color="auto"/>
              <w:right w:val="single" w:sz="4" w:space="0" w:color="auto"/>
            </w:tcBorders>
            <w:shd w:val="clear" w:color="auto" w:fill="auto"/>
            <w:vAlign w:val="bottom"/>
            <w:hideMark/>
          </w:tcPr>
          <w:p w14:paraId="1D291F6A"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4DA6DC81"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All eligible participants included and </w:t>
            </w:r>
            <w:proofErr w:type="gramStart"/>
            <w:r w:rsidRPr="00F84D50">
              <w:rPr>
                <w:rFonts w:ascii="Aptos Narrow" w:eastAsia="Times New Roman" w:hAnsi="Aptos Narrow" w:cs="Times New Roman"/>
                <w:color w:val="000000"/>
                <w:kern w:val="0"/>
                <w:sz w:val="14"/>
                <w:szCs w:val="14"/>
                <w14:ligatures w14:val="none"/>
              </w:rPr>
              <w:t>start</w:t>
            </w:r>
            <w:proofErr w:type="gramEnd"/>
            <w:r w:rsidRPr="00F84D50">
              <w:rPr>
                <w:rFonts w:ascii="Aptos Narrow" w:eastAsia="Times New Roman" w:hAnsi="Aptos Narrow" w:cs="Times New Roman"/>
                <w:color w:val="000000"/>
                <w:kern w:val="0"/>
                <w:sz w:val="14"/>
                <w:szCs w:val="14"/>
                <w14:ligatures w14:val="none"/>
              </w:rPr>
              <w:t xml:space="preserve"> of follow-up and start of implementation activity coincided for all participants </w:t>
            </w:r>
          </w:p>
        </w:tc>
        <w:tc>
          <w:tcPr>
            <w:tcW w:w="1120" w:type="dxa"/>
            <w:tcBorders>
              <w:top w:val="nil"/>
              <w:left w:val="nil"/>
              <w:bottom w:val="single" w:sz="4" w:space="0" w:color="auto"/>
              <w:right w:val="single" w:sz="4" w:space="0" w:color="auto"/>
            </w:tcBorders>
            <w:shd w:val="clear" w:color="auto" w:fill="auto"/>
            <w:vAlign w:val="bottom"/>
            <w:hideMark/>
          </w:tcPr>
          <w:p w14:paraId="15662725"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0AF86799"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Implementation status well-defined. </w:t>
            </w:r>
            <w:proofErr w:type="gramStart"/>
            <w:r w:rsidRPr="00F84D50">
              <w:rPr>
                <w:rFonts w:ascii="Aptos Narrow" w:eastAsia="Times New Roman" w:hAnsi="Aptos Narrow" w:cs="Times New Roman"/>
                <w:color w:val="000000"/>
                <w:kern w:val="0"/>
                <w:sz w:val="14"/>
                <w:szCs w:val="14"/>
                <w14:ligatures w14:val="none"/>
              </w:rPr>
              <w:t>Ban</w:t>
            </w:r>
            <w:proofErr w:type="gramEnd"/>
            <w:r w:rsidRPr="00F84D50">
              <w:rPr>
                <w:rFonts w:ascii="Aptos Narrow" w:eastAsia="Times New Roman" w:hAnsi="Aptos Narrow" w:cs="Times New Roman"/>
                <w:color w:val="000000"/>
                <w:kern w:val="0"/>
                <w:sz w:val="14"/>
                <w:szCs w:val="14"/>
                <w14:ligatures w14:val="none"/>
              </w:rPr>
              <w:t xml:space="preserve"> implemented on one day and training occurred for one month prior to the ban and 4 months after.  </w:t>
            </w:r>
          </w:p>
        </w:tc>
        <w:tc>
          <w:tcPr>
            <w:tcW w:w="1220" w:type="dxa"/>
            <w:tcBorders>
              <w:top w:val="nil"/>
              <w:left w:val="nil"/>
              <w:bottom w:val="single" w:sz="4" w:space="0" w:color="auto"/>
              <w:right w:val="nil"/>
            </w:tcBorders>
            <w:shd w:val="clear" w:color="auto" w:fill="auto"/>
            <w:vAlign w:val="bottom"/>
            <w:hideMark/>
          </w:tcPr>
          <w:p w14:paraId="76AB120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6E97C305" w14:textId="77777777" w:rsidTr="00F84D50">
        <w:trPr>
          <w:trHeight w:val="1260"/>
        </w:trPr>
        <w:tc>
          <w:tcPr>
            <w:tcW w:w="1120" w:type="dxa"/>
            <w:tcBorders>
              <w:top w:val="nil"/>
              <w:left w:val="single" w:sz="4" w:space="0" w:color="auto"/>
              <w:bottom w:val="single" w:sz="4" w:space="0" w:color="auto"/>
              <w:right w:val="single" w:sz="4" w:space="0" w:color="auto"/>
            </w:tcBorders>
            <w:shd w:val="clear" w:color="auto" w:fill="auto"/>
            <w:hideMark/>
          </w:tcPr>
          <w:p w14:paraId="0A3A2F0F"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Scheeres et al., 2020</w:t>
            </w:r>
          </w:p>
        </w:tc>
        <w:tc>
          <w:tcPr>
            <w:tcW w:w="1180" w:type="dxa"/>
            <w:tcBorders>
              <w:top w:val="nil"/>
              <w:left w:val="nil"/>
              <w:bottom w:val="single" w:sz="4" w:space="0" w:color="auto"/>
              <w:right w:val="single" w:sz="4" w:space="0" w:color="auto"/>
            </w:tcBorders>
            <w:shd w:val="clear" w:color="auto" w:fill="auto"/>
            <w:vAlign w:val="bottom"/>
            <w:hideMark/>
          </w:tcPr>
          <w:p w14:paraId="752BFFDA"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Serious</w:t>
            </w:r>
          </w:p>
        </w:tc>
        <w:tc>
          <w:tcPr>
            <w:tcW w:w="2760" w:type="dxa"/>
            <w:tcBorders>
              <w:top w:val="nil"/>
              <w:left w:val="nil"/>
              <w:bottom w:val="single" w:sz="4" w:space="0" w:color="auto"/>
              <w:right w:val="single" w:sz="4" w:space="0" w:color="auto"/>
            </w:tcBorders>
            <w:shd w:val="clear" w:color="auto" w:fill="auto"/>
            <w:vAlign w:val="bottom"/>
            <w:hideMark/>
          </w:tcPr>
          <w:p w14:paraId="3403513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Repeated cross-sectional design. At least one important domain was not appropriately controlled for (facility) and differences in pre- and post-implementation groups were not explored. Secular trends </w:t>
            </w:r>
            <w:proofErr w:type="gramStart"/>
            <w:r w:rsidRPr="00F84D50">
              <w:rPr>
                <w:rFonts w:ascii="Aptos Narrow" w:eastAsia="Times New Roman" w:hAnsi="Aptos Narrow" w:cs="Times New Roman"/>
                <w:color w:val="000000"/>
                <w:kern w:val="0"/>
                <w:sz w:val="14"/>
                <w:szCs w:val="14"/>
                <w14:ligatures w14:val="none"/>
              </w:rPr>
              <w:t>not</w:t>
            </w:r>
            <w:proofErr w:type="gramEnd"/>
            <w:r w:rsidRPr="00F84D50">
              <w:rPr>
                <w:rFonts w:ascii="Aptos Narrow" w:eastAsia="Times New Roman" w:hAnsi="Aptos Narrow" w:cs="Times New Roman"/>
                <w:color w:val="000000"/>
                <w:kern w:val="0"/>
                <w:sz w:val="14"/>
                <w:szCs w:val="14"/>
                <w14:ligatures w14:val="none"/>
              </w:rPr>
              <w:t xml:space="preserve"> evaluated. </w:t>
            </w:r>
          </w:p>
        </w:tc>
        <w:tc>
          <w:tcPr>
            <w:tcW w:w="1060" w:type="dxa"/>
            <w:tcBorders>
              <w:top w:val="nil"/>
              <w:left w:val="nil"/>
              <w:bottom w:val="single" w:sz="4" w:space="0" w:color="auto"/>
              <w:right w:val="single" w:sz="4" w:space="0" w:color="auto"/>
            </w:tcBorders>
            <w:shd w:val="clear" w:color="auto" w:fill="auto"/>
            <w:vAlign w:val="bottom"/>
            <w:hideMark/>
          </w:tcPr>
          <w:p w14:paraId="7E50ABE2"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77DF00AC"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All eligible participants included, and the </w:t>
            </w:r>
            <w:proofErr w:type="gramStart"/>
            <w:r w:rsidRPr="00F84D50">
              <w:rPr>
                <w:rFonts w:ascii="Aptos Narrow" w:eastAsia="Times New Roman" w:hAnsi="Aptos Narrow" w:cs="Times New Roman"/>
                <w:color w:val="000000"/>
                <w:kern w:val="0"/>
                <w:sz w:val="14"/>
                <w:szCs w:val="14"/>
                <w14:ligatures w14:val="none"/>
              </w:rPr>
              <w:t>start of follow</w:t>
            </w:r>
            <w:proofErr w:type="gramEnd"/>
            <w:r w:rsidRPr="00F84D50">
              <w:rPr>
                <w:rFonts w:ascii="Aptos Narrow" w:eastAsia="Times New Roman" w:hAnsi="Aptos Narrow" w:cs="Times New Roman"/>
                <w:color w:val="000000"/>
                <w:kern w:val="0"/>
                <w:sz w:val="14"/>
                <w:szCs w:val="14"/>
                <w14:ligatures w14:val="none"/>
              </w:rPr>
              <w:t xml:space="preserve">-up and implementation strategy coincided </w:t>
            </w:r>
            <w:proofErr w:type="gramStart"/>
            <w:r w:rsidRPr="00F84D50">
              <w:rPr>
                <w:rFonts w:ascii="Aptos Narrow" w:eastAsia="Times New Roman" w:hAnsi="Aptos Narrow" w:cs="Times New Roman"/>
                <w:color w:val="000000"/>
                <w:kern w:val="0"/>
                <w:sz w:val="14"/>
                <w:szCs w:val="14"/>
                <w14:ligatures w14:val="none"/>
              </w:rPr>
              <w:t>for</w:t>
            </w:r>
            <w:proofErr w:type="gramEnd"/>
            <w:r w:rsidRPr="00F84D50">
              <w:rPr>
                <w:rFonts w:ascii="Aptos Narrow" w:eastAsia="Times New Roman" w:hAnsi="Aptos Narrow" w:cs="Times New Roman"/>
                <w:color w:val="000000"/>
                <w:kern w:val="0"/>
                <w:sz w:val="14"/>
                <w:szCs w:val="14"/>
                <w14:ligatures w14:val="none"/>
              </w:rPr>
              <w:t xml:space="preserve"> all participants. </w:t>
            </w:r>
          </w:p>
        </w:tc>
        <w:tc>
          <w:tcPr>
            <w:tcW w:w="1120" w:type="dxa"/>
            <w:tcBorders>
              <w:top w:val="nil"/>
              <w:left w:val="nil"/>
              <w:bottom w:val="single" w:sz="4" w:space="0" w:color="auto"/>
              <w:right w:val="single" w:sz="4" w:space="0" w:color="auto"/>
            </w:tcBorders>
            <w:shd w:val="clear" w:color="auto" w:fill="auto"/>
            <w:vAlign w:val="bottom"/>
            <w:hideMark/>
          </w:tcPr>
          <w:p w14:paraId="4129C530"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7A7EA244"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Implementation status well-defined and based on information collected at time of intervention.</w:t>
            </w:r>
          </w:p>
        </w:tc>
        <w:tc>
          <w:tcPr>
            <w:tcW w:w="1220" w:type="dxa"/>
            <w:tcBorders>
              <w:top w:val="nil"/>
              <w:left w:val="nil"/>
              <w:bottom w:val="single" w:sz="4" w:space="0" w:color="auto"/>
              <w:right w:val="nil"/>
            </w:tcBorders>
            <w:shd w:val="clear" w:color="auto" w:fill="auto"/>
            <w:vAlign w:val="bottom"/>
            <w:hideMark/>
          </w:tcPr>
          <w:p w14:paraId="6724171E"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r w:rsidR="00F84D50" w:rsidRPr="00F84D50" w14:paraId="060E9ACB" w14:textId="77777777" w:rsidTr="00F84D50">
        <w:trPr>
          <w:trHeight w:val="1080"/>
        </w:trPr>
        <w:tc>
          <w:tcPr>
            <w:tcW w:w="1120" w:type="dxa"/>
            <w:tcBorders>
              <w:top w:val="nil"/>
              <w:left w:val="single" w:sz="4" w:space="0" w:color="auto"/>
              <w:bottom w:val="single" w:sz="4" w:space="0" w:color="auto"/>
              <w:right w:val="single" w:sz="4" w:space="0" w:color="auto"/>
            </w:tcBorders>
            <w:shd w:val="clear" w:color="auto" w:fill="auto"/>
            <w:hideMark/>
          </w:tcPr>
          <w:p w14:paraId="4F2190F3" w14:textId="77777777" w:rsidR="00F84D50" w:rsidRPr="00F84D50" w:rsidRDefault="00F84D50" w:rsidP="00F84D50">
            <w:pPr>
              <w:spacing w:line="240" w:lineRule="auto"/>
              <w:rPr>
                <w:rFonts w:ascii="Aptos Narrow" w:eastAsia="Times New Roman" w:hAnsi="Aptos Narrow" w:cs="Times New Roman"/>
                <w:b/>
                <w:bCs/>
                <w:kern w:val="0"/>
                <w:sz w:val="14"/>
                <w:szCs w:val="14"/>
                <w14:ligatures w14:val="none"/>
              </w:rPr>
            </w:pPr>
            <w:r w:rsidRPr="00F84D50">
              <w:rPr>
                <w:rFonts w:ascii="Aptos Narrow" w:eastAsia="Times New Roman" w:hAnsi="Aptos Narrow" w:cs="Times New Roman"/>
                <w:b/>
                <w:bCs/>
                <w:kern w:val="0"/>
                <w:sz w:val="14"/>
                <w:szCs w:val="14"/>
                <w14:ligatures w14:val="none"/>
              </w:rPr>
              <w:t>Wye et al., 2017</w:t>
            </w:r>
          </w:p>
        </w:tc>
        <w:tc>
          <w:tcPr>
            <w:tcW w:w="1180" w:type="dxa"/>
            <w:tcBorders>
              <w:top w:val="nil"/>
              <w:left w:val="nil"/>
              <w:bottom w:val="single" w:sz="4" w:space="0" w:color="auto"/>
              <w:right w:val="single" w:sz="4" w:space="0" w:color="auto"/>
            </w:tcBorders>
            <w:shd w:val="clear" w:color="auto" w:fill="auto"/>
            <w:vAlign w:val="bottom"/>
            <w:hideMark/>
          </w:tcPr>
          <w:p w14:paraId="55C2971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Moderate</w:t>
            </w:r>
          </w:p>
        </w:tc>
        <w:tc>
          <w:tcPr>
            <w:tcW w:w="2760" w:type="dxa"/>
            <w:tcBorders>
              <w:top w:val="nil"/>
              <w:left w:val="nil"/>
              <w:bottom w:val="single" w:sz="4" w:space="0" w:color="auto"/>
              <w:right w:val="single" w:sz="4" w:space="0" w:color="auto"/>
            </w:tcBorders>
            <w:shd w:val="clear" w:color="auto" w:fill="auto"/>
            <w:vAlign w:val="bottom"/>
            <w:hideMark/>
          </w:tcPr>
          <w:p w14:paraId="252C0F66"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Repeated cross-sectional; confounds, including time, reliably assessed, evaluated, and controlled for in analyses. </w:t>
            </w:r>
          </w:p>
        </w:tc>
        <w:tc>
          <w:tcPr>
            <w:tcW w:w="1060" w:type="dxa"/>
            <w:tcBorders>
              <w:top w:val="nil"/>
              <w:left w:val="nil"/>
              <w:bottom w:val="single" w:sz="4" w:space="0" w:color="auto"/>
              <w:right w:val="single" w:sz="4" w:space="0" w:color="auto"/>
            </w:tcBorders>
            <w:shd w:val="clear" w:color="auto" w:fill="auto"/>
            <w:vAlign w:val="bottom"/>
            <w:hideMark/>
          </w:tcPr>
          <w:p w14:paraId="26578A0F"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0758184D"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All eligible participants included and </w:t>
            </w:r>
            <w:proofErr w:type="gramStart"/>
            <w:r w:rsidRPr="00F84D50">
              <w:rPr>
                <w:rFonts w:ascii="Aptos Narrow" w:eastAsia="Times New Roman" w:hAnsi="Aptos Narrow" w:cs="Times New Roman"/>
                <w:color w:val="000000"/>
                <w:kern w:val="0"/>
                <w:sz w:val="14"/>
                <w:szCs w:val="14"/>
                <w14:ligatures w14:val="none"/>
              </w:rPr>
              <w:t>start</w:t>
            </w:r>
            <w:proofErr w:type="gramEnd"/>
            <w:r w:rsidRPr="00F84D50">
              <w:rPr>
                <w:rFonts w:ascii="Aptos Narrow" w:eastAsia="Times New Roman" w:hAnsi="Aptos Narrow" w:cs="Times New Roman"/>
                <w:color w:val="000000"/>
                <w:kern w:val="0"/>
                <w:sz w:val="14"/>
                <w:szCs w:val="14"/>
                <w14:ligatures w14:val="none"/>
              </w:rPr>
              <w:t xml:space="preserve"> of follow-up and implementation strategy coincided </w:t>
            </w:r>
            <w:proofErr w:type="gramStart"/>
            <w:r w:rsidRPr="00F84D50">
              <w:rPr>
                <w:rFonts w:ascii="Aptos Narrow" w:eastAsia="Times New Roman" w:hAnsi="Aptos Narrow" w:cs="Times New Roman"/>
                <w:color w:val="000000"/>
                <w:kern w:val="0"/>
                <w:sz w:val="14"/>
                <w:szCs w:val="14"/>
                <w14:ligatures w14:val="none"/>
              </w:rPr>
              <w:t>for</w:t>
            </w:r>
            <w:proofErr w:type="gramEnd"/>
            <w:r w:rsidRPr="00F84D50">
              <w:rPr>
                <w:rFonts w:ascii="Aptos Narrow" w:eastAsia="Times New Roman" w:hAnsi="Aptos Narrow" w:cs="Times New Roman"/>
                <w:color w:val="000000"/>
                <w:kern w:val="0"/>
                <w:sz w:val="14"/>
                <w:szCs w:val="14"/>
                <w14:ligatures w14:val="none"/>
              </w:rPr>
              <w:t xml:space="preserve"> all participants. </w:t>
            </w:r>
          </w:p>
        </w:tc>
        <w:tc>
          <w:tcPr>
            <w:tcW w:w="1120" w:type="dxa"/>
            <w:tcBorders>
              <w:top w:val="nil"/>
              <w:left w:val="nil"/>
              <w:bottom w:val="single" w:sz="4" w:space="0" w:color="auto"/>
              <w:right w:val="single" w:sz="4" w:space="0" w:color="auto"/>
            </w:tcBorders>
            <w:shd w:val="clear" w:color="auto" w:fill="auto"/>
            <w:vAlign w:val="bottom"/>
            <w:hideMark/>
          </w:tcPr>
          <w:p w14:paraId="59A8F3F3"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c>
          <w:tcPr>
            <w:tcW w:w="2760" w:type="dxa"/>
            <w:tcBorders>
              <w:top w:val="nil"/>
              <w:left w:val="nil"/>
              <w:bottom w:val="single" w:sz="4" w:space="0" w:color="auto"/>
              <w:right w:val="single" w:sz="4" w:space="0" w:color="auto"/>
            </w:tcBorders>
            <w:shd w:val="clear" w:color="auto" w:fill="auto"/>
            <w:vAlign w:val="bottom"/>
            <w:hideMark/>
          </w:tcPr>
          <w:p w14:paraId="41A39109"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 xml:space="preserve">Implementation strategy </w:t>
            </w:r>
            <w:proofErr w:type="gramStart"/>
            <w:r w:rsidRPr="00F84D50">
              <w:rPr>
                <w:rFonts w:ascii="Aptos Narrow" w:eastAsia="Times New Roman" w:hAnsi="Aptos Narrow" w:cs="Times New Roman"/>
                <w:color w:val="000000"/>
                <w:kern w:val="0"/>
                <w:sz w:val="14"/>
                <w:szCs w:val="14"/>
                <w14:ligatures w14:val="none"/>
              </w:rPr>
              <w:t>well</w:t>
            </w:r>
            <w:proofErr w:type="gramEnd"/>
            <w:r w:rsidRPr="00F84D50">
              <w:rPr>
                <w:rFonts w:ascii="Aptos Narrow" w:eastAsia="Times New Roman" w:hAnsi="Aptos Narrow" w:cs="Times New Roman"/>
                <w:color w:val="000000"/>
                <w:kern w:val="0"/>
                <w:sz w:val="14"/>
                <w:szCs w:val="14"/>
                <w14:ligatures w14:val="none"/>
              </w:rPr>
              <w:t xml:space="preserve">-defined and based solely on information collected at time of implementation. </w:t>
            </w:r>
          </w:p>
        </w:tc>
        <w:tc>
          <w:tcPr>
            <w:tcW w:w="1220" w:type="dxa"/>
            <w:tcBorders>
              <w:top w:val="nil"/>
              <w:left w:val="nil"/>
              <w:bottom w:val="single" w:sz="4" w:space="0" w:color="auto"/>
              <w:right w:val="nil"/>
            </w:tcBorders>
            <w:shd w:val="clear" w:color="auto" w:fill="auto"/>
            <w:vAlign w:val="bottom"/>
            <w:hideMark/>
          </w:tcPr>
          <w:p w14:paraId="3AFFE55B" w14:textId="77777777" w:rsidR="00F84D50" w:rsidRPr="00F84D50" w:rsidRDefault="00F84D50" w:rsidP="00F84D50">
            <w:pPr>
              <w:spacing w:line="240" w:lineRule="auto"/>
              <w:rPr>
                <w:rFonts w:ascii="Aptos Narrow" w:eastAsia="Times New Roman" w:hAnsi="Aptos Narrow" w:cs="Times New Roman"/>
                <w:color w:val="000000"/>
                <w:kern w:val="0"/>
                <w:sz w:val="14"/>
                <w:szCs w:val="14"/>
                <w14:ligatures w14:val="none"/>
              </w:rPr>
            </w:pPr>
            <w:r w:rsidRPr="00F84D50">
              <w:rPr>
                <w:rFonts w:ascii="Aptos Narrow" w:eastAsia="Times New Roman" w:hAnsi="Aptos Narrow" w:cs="Times New Roman"/>
                <w:color w:val="000000"/>
                <w:kern w:val="0"/>
                <w:sz w:val="14"/>
                <w:szCs w:val="14"/>
                <w14:ligatures w14:val="none"/>
              </w:rPr>
              <w:t>Low</w:t>
            </w:r>
          </w:p>
        </w:tc>
      </w:tr>
    </w:tbl>
    <w:p w14:paraId="1FD70A1F" w14:textId="77777777" w:rsidR="00F84D50" w:rsidRDefault="00F84D50" w:rsidP="00F84D50">
      <w:pPr>
        <w:sectPr w:rsidR="00F84D50" w:rsidSect="00387F0A">
          <w:headerReference w:type="default" r:id="rId6"/>
          <w:pgSz w:w="15840" w:h="12240" w:orient="landscape"/>
          <w:pgMar w:top="720" w:right="720" w:bottom="720" w:left="720" w:header="720" w:footer="720" w:gutter="0"/>
          <w:cols w:space="720"/>
          <w:docGrid w:linePitch="360"/>
        </w:sectPr>
      </w:pPr>
    </w:p>
    <w:tbl>
      <w:tblPr>
        <w:tblW w:w="14384" w:type="dxa"/>
        <w:tblLayout w:type="fixed"/>
        <w:tblLook w:val="04A0" w:firstRow="1" w:lastRow="0" w:firstColumn="1" w:lastColumn="0" w:noHBand="0" w:noVBand="1"/>
      </w:tblPr>
      <w:tblGrid>
        <w:gridCol w:w="990"/>
        <w:gridCol w:w="2160"/>
        <w:gridCol w:w="1068"/>
        <w:gridCol w:w="2172"/>
        <w:gridCol w:w="1148"/>
        <w:gridCol w:w="2182"/>
        <w:gridCol w:w="1068"/>
        <w:gridCol w:w="2768"/>
        <w:gridCol w:w="828"/>
      </w:tblGrid>
      <w:tr w:rsidR="00F86E12" w:rsidRPr="00F86E12" w14:paraId="6C8A8129" w14:textId="77777777" w:rsidTr="00F86E12">
        <w:trPr>
          <w:trHeight w:val="180"/>
        </w:trPr>
        <w:tc>
          <w:tcPr>
            <w:tcW w:w="990" w:type="dxa"/>
            <w:tcBorders>
              <w:top w:val="nil"/>
              <w:left w:val="nil"/>
              <w:bottom w:val="nil"/>
              <w:right w:val="nil"/>
            </w:tcBorders>
            <w:shd w:val="clear" w:color="auto" w:fill="auto"/>
            <w:noWrap/>
            <w:vAlign w:val="bottom"/>
            <w:hideMark/>
          </w:tcPr>
          <w:p w14:paraId="094EA76B" w14:textId="77777777" w:rsidR="00F86E12" w:rsidRPr="00F86E12" w:rsidRDefault="00F86E12" w:rsidP="00F86E12">
            <w:pPr>
              <w:spacing w:line="240" w:lineRule="auto"/>
              <w:rPr>
                <w:rFonts w:ascii="Times New Roman" w:eastAsia="Times New Roman" w:hAnsi="Times New Roman" w:cs="Times New Roman"/>
                <w:kern w:val="0"/>
                <w:sz w:val="24"/>
                <w:szCs w:val="24"/>
                <w14:ligatures w14:val="none"/>
              </w:rPr>
            </w:pPr>
          </w:p>
        </w:tc>
        <w:tc>
          <w:tcPr>
            <w:tcW w:w="2160" w:type="dxa"/>
            <w:tcBorders>
              <w:top w:val="nil"/>
              <w:left w:val="nil"/>
              <w:bottom w:val="nil"/>
              <w:right w:val="nil"/>
            </w:tcBorders>
            <w:shd w:val="clear" w:color="auto" w:fill="auto"/>
            <w:noWrap/>
            <w:vAlign w:val="bottom"/>
            <w:hideMark/>
          </w:tcPr>
          <w:p w14:paraId="29796567"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bottom"/>
            <w:hideMark/>
          </w:tcPr>
          <w:p w14:paraId="3133D65E"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2172" w:type="dxa"/>
            <w:tcBorders>
              <w:top w:val="nil"/>
              <w:left w:val="nil"/>
              <w:bottom w:val="nil"/>
              <w:right w:val="nil"/>
            </w:tcBorders>
            <w:shd w:val="clear" w:color="auto" w:fill="auto"/>
            <w:noWrap/>
            <w:vAlign w:val="bottom"/>
            <w:hideMark/>
          </w:tcPr>
          <w:p w14:paraId="2CB3A599"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1148" w:type="dxa"/>
            <w:tcBorders>
              <w:top w:val="nil"/>
              <w:left w:val="nil"/>
              <w:bottom w:val="nil"/>
              <w:right w:val="nil"/>
            </w:tcBorders>
            <w:shd w:val="clear" w:color="auto" w:fill="auto"/>
            <w:noWrap/>
            <w:vAlign w:val="bottom"/>
            <w:hideMark/>
          </w:tcPr>
          <w:p w14:paraId="02E4A312"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2182" w:type="dxa"/>
            <w:tcBorders>
              <w:top w:val="nil"/>
              <w:left w:val="nil"/>
              <w:bottom w:val="nil"/>
              <w:right w:val="nil"/>
            </w:tcBorders>
            <w:shd w:val="clear" w:color="auto" w:fill="auto"/>
            <w:noWrap/>
            <w:vAlign w:val="bottom"/>
            <w:hideMark/>
          </w:tcPr>
          <w:p w14:paraId="18509DC4"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bottom"/>
            <w:hideMark/>
          </w:tcPr>
          <w:p w14:paraId="67C132D5"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2768" w:type="dxa"/>
            <w:tcBorders>
              <w:top w:val="nil"/>
              <w:left w:val="nil"/>
              <w:bottom w:val="nil"/>
              <w:right w:val="nil"/>
            </w:tcBorders>
            <w:shd w:val="clear" w:color="auto" w:fill="auto"/>
            <w:noWrap/>
            <w:vAlign w:val="bottom"/>
            <w:hideMark/>
          </w:tcPr>
          <w:p w14:paraId="79C802EC"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c>
          <w:tcPr>
            <w:tcW w:w="828" w:type="dxa"/>
            <w:tcBorders>
              <w:top w:val="nil"/>
              <w:left w:val="nil"/>
              <w:bottom w:val="nil"/>
              <w:right w:val="nil"/>
            </w:tcBorders>
            <w:shd w:val="clear" w:color="auto" w:fill="auto"/>
            <w:noWrap/>
            <w:vAlign w:val="bottom"/>
            <w:hideMark/>
          </w:tcPr>
          <w:p w14:paraId="09250702" w14:textId="77777777" w:rsidR="00F86E12" w:rsidRPr="00F86E12" w:rsidRDefault="00F86E12" w:rsidP="00F86E12">
            <w:pPr>
              <w:spacing w:line="240" w:lineRule="auto"/>
              <w:rPr>
                <w:rFonts w:ascii="Times New Roman" w:eastAsia="Times New Roman" w:hAnsi="Times New Roman" w:cs="Times New Roman"/>
                <w:kern w:val="0"/>
                <w:sz w:val="20"/>
                <w:szCs w:val="20"/>
                <w14:ligatures w14:val="none"/>
              </w:rPr>
            </w:pPr>
          </w:p>
        </w:tc>
      </w:tr>
      <w:tr w:rsidR="00F86E12" w:rsidRPr="00F86E12" w14:paraId="27C1A8A7" w14:textId="77777777" w:rsidTr="00F86E12">
        <w:trPr>
          <w:trHeight w:val="1095"/>
        </w:trPr>
        <w:tc>
          <w:tcPr>
            <w:tcW w:w="990" w:type="dxa"/>
            <w:tcBorders>
              <w:top w:val="single" w:sz="4" w:space="0" w:color="auto"/>
              <w:left w:val="nil"/>
              <w:bottom w:val="single" w:sz="4" w:space="0" w:color="auto"/>
              <w:right w:val="single" w:sz="4" w:space="0" w:color="auto"/>
            </w:tcBorders>
            <w:shd w:val="clear" w:color="auto" w:fill="auto"/>
            <w:vAlign w:val="bottom"/>
            <w:hideMark/>
          </w:tcPr>
          <w:p w14:paraId="1889ECE5"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Article</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7E51CF5A"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Support for judgement</w:t>
            </w:r>
          </w:p>
        </w:tc>
        <w:tc>
          <w:tcPr>
            <w:tcW w:w="1068" w:type="dxa"/>
            <w:tcBorders>
              <w:top w:val="single" w:sz="4" w:space="0" w:color="auto"/>
              <w:left w:val="nil"/>
              <w:bottom w:val="single" w:sz="4" w:space="0" w:color="auto"/>
              <w:right w:val="single" w:sz="4" w:space="0" w:color="auto"/>
            </w:tcBorders>
            <w:shd w:val="clear" w:color="auto" w:fill="auto"/>
            <w:vAlign w:val="bottom"/>
            <w:hideMark/>
          </w:tcPr>
          <w:p w14:paraId="238C9872"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Bias due to missing data</w:t>
            </w:r>
          </w:p>
        </w:tc>
        <w:tc>
          <w:tcPr>
            <w:tcW w:w="2172" w:type="dxa"/>
            <w:tcBorders>
              <w:top w:val="single" w:sz="4" w:space="0" w:color="auto"/>
              <w:left w:val="nil"/>
              <w:bottom w:val="single" w:sz="4" w:space="0" w:color="auto"/>
              <w:right w:val="single" w:sz="4" w:space="0" w:color="auto"/>
            </w:tcBorders>
            <w:shd w:val="clear" w:color="auto" w:fill="auto"/>
            <w:vAlign w:val="bottom"/>
            <w:hideMark/>
          </w:tcPr>
          <w:p w14:paraId="63C124DB"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Support for judgement</w:t>
            </w:r>
          </w:p>
        </w:tc>
        <w:tc>
          <w:tcPr>
            <w:tcW w:w="1148" w:type="dxa"/>
            <w:tcBorders>
              <w:top w:val="single" w:sz="4" w:space="0" w:color="auto"/>
              <w:left w:val="nil"/>
              <w:bottom w:val="single" w:sz="4" w:space="0" w:color="auto"/>
              <w:right w:val="single" w:sz="4" w:space="0" w:color="auto"/>
            </w:tcBorders>
            <w:shd w:val="clear" w:color="auto" w:fill="auto"/>
            <w:vAlign w:val="bottom"/>
            <w:hideMark/>
          </w:tcPr>
          <w:p w14:paraId="03AFBE6D"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Bias in measurement of outcomes</w:t>
            </w:r>
          </w:p>
        </w:tc>
        <w:tc>
          <w:tcPr>
            <w:tcW w:w="2182" w:type="dxa"/>
            <w:tcBorders>
              <w:top w:val="single" w:sz="4" w:space="0" w:color="auto"/>
              <w:left w:val="nil"/>
              <w:bottom w:val="single" w:sz="4" w:space="0" w:color="auto"/>
              <w:right w:val="single" w:sz="4" w:space="0" w:color="auto"/>
            </w:tcBorders>
            <w:shd w:val="clear" w:color="auto" w:fill="auto"/>
            <w:vAlign w:val="bottom"/>
            <w:hideMark/>
          </w:tcPr>
          <w:p w14:paraId="08291F69"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Support for judgement</w:t>
            </w:r>
          </w:p>
        </w:tc>
        <w:tc>
          <w:tcPr>
            <w:tcW w:w="1068" w:type="dxa"/>
            <w:tcBorders>
              <w:top w:val="single" w:sz="4" w:space="0" w:color="auto"/>
              <w:left w:val="nil"/>
              <w:bottom w:val="single" w:sz="4" w:space="0" w:color="auto"/>
              <w:right w:val="single" w:sz="4" w:space="0" w:color="auto"/>
            </w:tcBorders>
            <w:shd w:val="clear" w:color="auto" w:fill="auto"/>
            <w:vAlign w:val="bottom"/>
            <w:hideMark/>
          </w:tcPr>
          <w:p w14:paraId="2CA6C162"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Bias in selection of the reported result</w:t>
            </w:r>
          </w:p>
        </w:tc>
        <w:tc>
          <w:tcPr>
            <w:tcW w:w="2768" w:type="dxa"/>
            <w:tcBorders>
              <w:top w:val="single" w:sz="4" w:space="0" w:color="auto"/>
              <w:left w:val="nil"/>
              <w:bottom w:val="single" w:sz="4" w:space="0" w:color="auto"/>
              <w:right w:val="single" w:sz="4" w:space="0" w:color="auto"/>
            </w:tcBorders>
            <w:shd w:val="clear" w:color="auto" w:fill="auto"/>
            <w:vAlign w:val="bottom"/>
            <w:hideMark/>
          </w:tcPr>
          <w:p w14:paraId="145595F6"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Support for judgement</w:t>
            </w:r>
          </w:p>
        </w:tc>
        <w:tc>
          <w:tcPr>
            <w:tcW w:w="828" w:type="dxa"/>
            <w:tcBorders>
              <w:top w:val="single" w:sz="4" w:space="0" w:color="auto"/>
              <w:left w:val="nil"/>
              <w:bottom w:val="single" w:sz="4" w:space="0" w:color="auto"/>
              <w:right w:val="single" w:sz="4" w:space="0" w:color="auto"/>
            </w:tcBorders>
            <w:shd w:val="clear" w:color="auto" w:fill="auto"/>
            <w:vAlign w:val="bottom"/>
            <w:hideMark/>
          </w:tcPr>
          <w:p w14:paraId="3266AB2D"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Overall risk of bias</w:t>
            </w:r>
          </w:p>
        </w:tc>
      </w:tr>
      <w:tr w:rsidR="00F86E12" w:rsidRPr="00F86E12" w14:paraId="6B908A55" w14:textId="77777777" w:rsidTr="00F86E12">
        <w:trPr>
          <w:trHeight w:val="1440"/>
        </w:trPr>
        <w:tc>
          <w:tcPr>
            <w:tcW w:w="990" w:type="dxa"/>
            <w:tcBorders>
              <w:top w:val="nil"/>
              <w:left w:val="nil"/>
              <w:bottom w:val="single" w:sz="4" w:space="0" w:color="auto"/>
              <w:right w:val="single" w:sz="4" w:space="0" w:color="auto"/>
            </w:tcBorders>
            <w:shd w:val="clear" w:color="auto" w:fill="auto"/>
            <w:vAlign w:val="bottom"/>
            <w:hideMark/>
          </w:tcPr>
          <w:p w14:paraId="4B6FD733"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Carillo et al., 2016</w:t>
            </w:r>
          </w:p>
        </w:tc>
        <w:tc>
          <w:tcPr>
            <w:tcW w:w="2160" w:type="dxa"/>
            <w:tcBorders>
              <w:top w:val="nil"/>
              <w:left w:val="nil"/>
              <w:bottom w:val="single" w:sz="4" w:space="0" w:color="auto"/>
              <w:right w:val="single" w:sz="4" w:space="0" w:color="auto"/>
            </w:tcBorders>
            <w:shd w:val="clear" w:color="auto" w:fill="auto"/>
            <w:vAlign w:val="bottom"/>
            <w:hideMark/>
          </w:tcPr>
          <w:p w14:paraId="1C9F92C6"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None reported. Any deviations would reflect usual practice.  </w:t>
            </w:r>
          </w:p>
        </w:tc>
        <w:tc>
          <w:tcPr>
            <w:tcW w:w="1068" w:type="dxa"/>
            <w:tcBorders>
              <w:top w:val="nil"/>
              <w:left w:val="nil"/>
              <w:bottom w:val="single" w:sz="4" w:space="0" w:color="auto"/>
              <w:right w:val="single" w:sz="4" w:space="0" w:color="auto"/>
            </w:tcBorders>
            <w:shd w:val="clear" w:color="auto" w:fill="auto"/>
            <w:vAlign w:val="bottom"/>
            <w:hideMark/>
          </w:tcPr>
          <w:p w14:paraId="30CE8834"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172" w:type="dxa"/>
            <w:tcBorders>
              <w:top w:val="nil"/>
              <w:left w:val="nil"/>
              <w:bottom w:val="single" w:sz="4" w:space="0" w:color="auto"/>
              <w:right w:val="single" w:sz="4" w:space="0" w:color="auto"/>
            </w:tcBorders>
            <w:shd w:val="clear" w:color="auto" w:fill="auto"/>
            <w:vAlign w:val="bottom"/>
            <w:hideMark/>
          </w:tcPr>
          <w:p w14:paraId="7E4BF74C"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More missing data in pre-implementation group for all outcomes, which could be due to lack of documentation requirements addressed by strategy, but other predictors of missingness not explored; nature of missing data means that risk of bias cannot be removed through appropriate analysis.  </w:t>
            </w:r>
          </w:p>
        </w:tc>
        <w:tc>
          <w:tcPr>
            <w:tcW w:w="1148" w:type="dxa"/>
            <w:tcBorders>
              <w:top w:val="nil"/>
              <w:left w:val="nil"/>
              <w:bottom w:val="single" w:sz="4" w:space="0" w:color="auto"/>
              <w:right w:val="single" w:sz="4" w:space="0" w:color="auto"/>
            </w:tcBorders>
            <w:shd w:val="clear" w:color="auto" w:fill="auto"/>
            <w:vAlign w:val="bottom"/>
            <w:hideMark/>
          </w:tcPr>
          <w:p w14:paraId="435B1898"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18CB4DF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Outcomes obtained from medical records and comparable before and after implementation strategy; outcomes unlikely to be influenced by knowledge of implementation strategy; error in outcome measurement is not expected to be related to implementation strategy.  </w:t>
            </w:r>
          </w:p>
        </w:tc>
        <w:tc>
          <w:tcPr>
            <w:tcW w:w="1068" w:type="dxa"/>
            <w:tcBorders>
              <w:top w:val="nil"/>
              <w:left w:val="nil"/>
              <w:bottom w:val="single" w:sz="4" w:space="0" w:color="auto"/>
              <w:right w:val="single" w:sz="4" w:space="0" w:color="auto"/>
            </w:tcBorders>
            <w:shd w:val="clear" w:color="auto" w:fill="auto"/>
            <w:vAlign w:val="bottom"/>
            <w:hideMark/>
          </w:tcPr>
          <w:p w14:paraId="4A7AF943"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768" w:type="dxa"/>
            <w:tcBorders>
              <w:top w:val="nil"/>
              <w:left w:val="nil"/>
              <w:bottom w:val="single" w:sz="4" w:space="0" w:color="auto"/>
              <w:right w:val="single" w:sz="4" w:space="0" w:color="auto"/>
            </w:tcBorders>
            <w:shd w:val="clear" w:color="auto" w:fill="auto"/>
            <w:vAlign w:val="bottom"/>
            <w:hideMark/>
          </w:tcPr>
          <w:p w14:paraId="6AB954D5"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No pre-registered statistical </w:t>
            </w:r>
            <w:proofErr w:type="gramStart"/>
            <w:r w:rsidRPr="00F86E12">
              <w:rPr>
                <w:rFonts w:ascii="Calibri" w:eastAsia="Times New Roman" w:hAnsi="Calibri" w:cs="Calibri"/>
                <w:color w:val="000000"/>
                <w:kern w:val="0"/>
                <w:sz w:val="14"/>
                <w:szCs w:val="14"/>
                <w14:ligatures w14:val="none"/>
              </w:rPr>
              <w:t>plan;</w:t>
            </w:r>
            <w:proofErr w:type="gramEnd"/>
            <w:r w:rsidRPr="00F86E12">
              <w:rPr>
                <w:rFonts w:ascii="Calibri" w:eastAsia="Times New Roman" w:hAnsi="Calibri" w:cs="Calibri"/>
                <w:color w:val="000000"/>
                <w:kern w:val="0"/>
                <w:sz w:val="14"/>
                <w:szCs w:val="14"/>
                <w14:ligatures w14:val="none"/>
              </w:rPr>
              <w:t xml:space="preserve"> outcomes are clearly defined; no indication of selective outcome reporting. </w:t>
            </w:r>
          </w:p>
        </w:tc>
        <w:tc>
          <w:tcPr>
            <w:tcW w:w="828" w:type="dxa"/>
            <w:tcBorders>
              <w:top w:val="nil"/>
              <w:left w:val="nil"/>
              <w:bottom w:val="single" w:sz="4" w:space="0" w:color="auto"/>
              <w:right w:val="single" w:sz="4" w:space="0" w:color="auto"/>
            </w:tcBorders>
            <w:shd w:val="clear" w:color="auto" w:fill="auto"/>
            <w:vAlign w:val="bottom"/>
            <w:hideMark/>
          </w:tcPr>
          <w:p w14:paraId="62F852E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6B8915F7" w14:textId="77777777" w:rsidTr="00F86E12">
        <w:trPr>
          <w:trHeight w:val="1260"/>
        </w:trPr>
        <w:tc>
          <w:tcPr>
            <w:tcW w:w="990" w:type="dxa"/>
            <w:tcBorders>
              <w:top w:val="nil"/>
              <w:left w:val="nil"/>
              <w:bottom w:val="single" w:sz="4" w:space="0" w:color="auto"/>
              <w:right w:val="single" w:sz="4" w:space="0" w:color="auto"/>
            </w:tcBorders>
            <w:shd w:val="clear" w:color="auto" w:fill="auto"/>
            <w:vAlign w:val="bottom"/>
            <w:hideMark/>
          </w:tcPr>
          <w:p w14:paraId="2317BDBD" w14:textId="77777777" w:rsidR="00F86E12" w:rsidRPr="00F86E12" w:rsidRDefault="00F86E12" w:rsidP="00F86E12">
            <w:pPr>
              <w:spacing w:line="240" w:lineRule="auto"/>
              <w:rPr>
                <w:rFonts w:ascii="Aptos Narrow" w:eastAsia="Times New Roman" w:hAnsi="Aptos Narrow" w:cs="Times New Roman"/>
                <w:b/>
                <w:bCs/>
                <w:color w:val="000000"/>
                <w:kern w:val="0"/>
                <w:sz w:val="14"/>
                <w:szCs w:val="14"/>
                <w14:ligatures w14:val="none"/>
              </w:rPr>
            </w:pPr>
            <w:r w:rsidRPr="00F86E12">
              <w:rPr>
                <w:rFonts w:ascii="Aptos Narrow" w:eastAsia="Times New Roman" w:hAnsi="Aptos Narrow" w:cs="Times New Roman"/>
                <w:b/>
                <w:bCs/>
                <w:color w:val="000000"/>
                <w:kern w:val="0"/>
                <w:sz w:val="14"/>
                <w:szCs w:val="14"/>
                <w14:ligatures w14:val="none"/>
              </w:rPr>
              <w:t>Chen et al., 2018</w:t>
            </w:r>
          </w:p>
        </w:tc>
        <w:tc>
          <w:tcPr>
            <w:tcW w:w="2160" w:type="dxa"/>
            <w:tcBorders>
              <w:top w:val="nil"/>
              <w:left w:val="nil"/>
              <w:bottom w:val="single" w:sz="4" w:space="0" w:color="auto"/>
              <w:right w:val="single" w:sz="4" w:space="0" w:color="auto"/>
            </w:tcBorders>
            <w:shd w:val="clear" w:color="auto" w:fill="auto"/>
            <w:vAlign w:val="bottom"/>
            <w:hideMark/>
          </w:tcPr>
          <w:p w14:paraId="60D6D40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w:t>
            </w:r>
          </w:p>
        </w:tc>
        <w:tc>
          <w:tcPr>
            <w:tcW w:w="1068" w:type="dxa"/>
            <w:tcBorders>
              <w:top w:val="nil"/>
              <w:left w:val="nil"/>
              <w:bottom w:val="single" w:sz="4" w:space="0" w:color="auto"/>
              <w:right w:val="single" w:sz="4" w:space="0" w:color="auto"/>
            </w:tcBorders>
            <w:shd w:val="clear" w:color="auto" w:fill="auto"/>
            <w:vAlign w:val="bottom"/>
            <w:hideMark/>
          </w:tcPr>
          <w:p w14:paraId="2C8FE3C3"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2721689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Data obtained from medical </w:t>
            </w:r>
            <w:proofErr w:type="gramStart"/>
            <w:r w:rsidRPr="00F86E12">
              <w:rPr>
                <w:rFonts w:ascii="Aptos Narrow" w:eastAsia="Times New Roman" w:hAnsi="Aptos Narrow" w:cs="Times New Roman"/>
                <w:color w:val="000000"/>
                <w:kern w:val="0"/>
                <w:sz w:val="14"/>
                <w:szCs w:val="14"/>
                <w14:ligatures w14:val="none"/>
              </w:rPr>
              <w:t>record</w:t>
            </w:r>
            <w:proofErr w:type="gramEnd"/>
            <w:r w:rsidRPr="00F86E12">
              <w:rPr>
                <w:rFonts w:ascii="Aptos Narrow" w:eastAsia="Times New Roman" w:hAnsi="Aptos Narrow" w:cs="Times New Roman"/>
                <w:color w:val="000000"/>
                <w:kern w:val="0"/>
                <w:sz w:val="14"/>
                <w:szCs w:val="14"/>
                <w14:ligatures w14:val="none"/>
              </w:rPr>
              <w:t xml:space="preserve"> and reasonably complete. Less than 1% of data was missing. </w:t>
            </w:r>
          </w:p>
        </w:tc>
        <w:tc>
          <w:tcPr>
            <w:tcW w:w="1148" w:type="dxa"/>
            <w:tcBorders>
              <w:top w:val="nil"/>
              <w:left w:val="nil"/>
              <w:bottom w:val="single" w:sz="4" w:space="0" w:color="auto"/>
              <w:right w:val="single" w:sz="4" w:space="0" w:color="auto"/>
            </w:tcBorders>
            <w:shd w:val="clear" w:color="auto" w:fill="auto"/>
            <w:vAlign w:val="bottom"/>
            <w:hideMark/>
          </w:tcPr>
          <w:p w14:paraId="47B5230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0B0E48D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Outcome assessments comparable over time and outcome measurement error </w:t>
            </w:r>
            <w:proofErr w:type="gramStart"/>
            <w:r w:rsidRPr="00F86E12">
              <w:rPr>
                <w:rFonts w:ascii="Aptos Narrow" w:eastAsia="Times New Roman" w:hAnsi="Aptos Narrow" w:cs="Times New Roman"/>
                <w:color w:val="000000"/>
                <w:kern w:val="0"/>
                <w:sz w:val="14"/>
                <w:szCs w:val="14"/>
                <w14:ligatures w14:val="none"/>
              </w:rPr>
              <w:t>unlikely</w:t>
            </w:r>
            <w:proofErr w:type="gramEnd"/>
            <w:r w:rsidRPr="00F86E12">
              <w:rPr>
                <w:rFonts w:ascii="Aptos Narrow" w:eastAsia="Times New Roman" w:hAnsi="Aptos Narrow" w:cs="Times New Roman"/>
                <w:color w:val="000000"/>
                <w:kern w:val="0"/>
                <w:sz w:val="14"/>
                <w:szCs w:val="14"/>
                <w14:ligatures w14:val="none"/>
              </w:rPr>
              <w:t xml:space="preserve"> to be influenced by knowledge of implementation strategy status. </w:t>
            </w:r>
          </w:p>
        </w:tc>
        <w:tc>
          <w:tcPr>
            <w:tcW w:w="1068" w:type="dxa"/>
            <w:tcBorders>
              <w:top w:val="nil"/>
              <w:left w:val="nil"/>
              <w:bottom w:val="single" w:sz="4" w:space="0" w:color="auto"/>
              <w:right w:val="single" w:sz="4" w:space="0" w:color="auto"/>
            </w:tcBorders>
            <w:shd w:val="clear" w:color="auto" w:fill="auto"/>
            <w:vAlign w:val="bottom"/>
            <w:hideMark/>
          </w:tcPr>
          <w:p w14:paraId="3E0C626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768" w:type="dxa"/>
            <w:tcBorders>
              <w:top w:val="nil"/>
              <w:left w:val="nil"/>
              <w:bottom w:val="single" w:sz="4" w:space="0" w:color="auto"/>
              <w:right w:val="single" w:sz="4" w:space="0" w:color="auto"/>
            </w:tcBorders>
            <w:shd w:val="clear" w:color="auto" w:fill="auto"/>
            <w:vAlign w:val="bottom"/>
            <w:hideMark/>
          </w:tcPr>
          <w:p w14:paraId="7C26DEA7"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Outcome measurements and analyses are consistent with </w:t>
            </w:r>
            <w:proofErr w:type="gramStart"/>
            <w:r w:rsidRPr="00F86E12">
              <w:rPr>
                <w:rFonts w:ascii="Calibri" w:eastAsia="Times New Roman" w:hAnsi="Calibri" w:cs="Calibri"/>
                <w:color w:val="000000"/>
                <w:kern w:val="0"/>
                <w:sz w:val="14"/>
                <w:szCs w:val="14"/>
                <w14:ligatures w14:val="none"/>
              </w:rPr>
              <w:t>an a</w:t>
            </w:r>
            <w:proofErr w:type="gramEnd"/>
            <w:r w:rsidRPr="00F86E12">
              <w:rPr>
                <w:rFonts w:ascii="Calibri" w:eastAsia="Times New Roman" w:hAnsi="Calibri" w:cs="Calibri"/>
                <w:color w:val="000000"/>
                <w:kern w:val="0"/>
                <w:sz w:val="14"/>
                <w:szCs w:val="14"/>
                <w14:ligatures w14:val="none"/>
              </w:rPr>
              <w:t xml:space="preserve"> priori plan, but this plan does not specify </w:t>
            </w:r>
            <w:proofErr w:type="gramStart"/>
            <w:r w:rsidRPr="00F86E12">
              <w:rPr>
                <w:rFonts w:ascii="Calibri" w:eastAsia="Times New Roman" w:hAnsi="Calibri" w:cs="Calibri"/>
                <w:color w:val="000000"/>
                <w:kern w:val="0"/>
                <w:sz w:val="14"/>
                <w:szCs w:val="14"/>
                <w14:ligatures w14:val="none"/>
              </w:rPr>
              <w:t>pre</w:t>
            </w:r>
            <w:proofErr w:type="gramEnd"/>
            <w:r w:rsidRPr="00F86E12">
              <w:rPr>
                <w:rFonts w:ascii="Calibri" w:eastAsia="Times New Roman" w:hAnsi="Calibri" w:cs="Calibri"/>
                <w:color w:val="000000"/>
                <w:kern w:val="0"/>
                <w:sz w:val="14"/>
                <w:szCs w:val="14"/>
                <w14:ligatures w14:val="none"/>
              </w:rPr>
              <w:t xml:space="preserve"> and post-implementation periods; no indication of selective outcome reporting from multiple analyses or subgroups.  </w:t>
            </w:r>
          </w:p>
        </w:tc>
        <w:tc>
          <w:tcPr>
            <w:tcW w:w="828" w:type="dxa"/>
            <w:tcBorders>
              <w:top w:val="nil"/>
              <w:left w:val="nil"/>
              <w:bottom w:val="single" w:sz="4" w:space="0" w:color="auto"/>
              <w:right w:val="single" w:sz="4" w:space="0" w:color="auto"/>
            </w:tcBorders>
            <w:shd w:val="clear" w:color="auto" w:fill="auto"/>
            <w:vAlign w:val="bottom"/>
            <w:hideMark/>
          </w:tcPr>
          <w:p w14:paraId="7A38AE71"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17B5BE3F" w14:textId="77777777" w:rsidTr="00F86E12">
        <w:trPr>
          <w:trHeight w:val="1980"/>
        </w:trPr>
        <w:tc>
          <w:tcPr>
            <w:tcW w:w="990" w:type="dxa"/>
            <w:tcBorders>
              <w:top w:val="nil"/>
              <w:left w:val="nil"/>
              <w:bottom w:val="single" w:sz="4" w:space="0" w:color="auto"/>
              <w:right w:val="single" w:sz="4" w:space="0" w:color="auto"/>
            </w:tcBorders>
            <w:shd w:val="clear" w:color="auto" w:fill="auto"/>
            <w:hideMark/>
          </w:tcPr>
          <w:p w14:paraId="051C9ABF"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proofErr w:type="spellStart"/>
            <w:r w:rsidRPr="00F86E12">
              <w:rPr>
                <w:rFonts w:ascii="Aptos Narrow" w:eastAsia="Times New Roman" w:hAnsi="Aptos Narrow" w:cs="Times New Roman"/>
                <w:b/>
                <w:bCs/>
                <w:kern w:val="0"/>
                <w:sz w:val="14"/>
                <w:szCs w:val="14"/>
                <w14:ligatures w14:val="none"/>
              </w:rPr>
              <w:t>CorreaFernandez</w:t>
            </w:r>
            <w:proofErr w:type="spellEnd"/>
            <w:r w:rsidRPr="00F86E12">
              <w:rPr>
                <w:rFonts w:ascii="Aptos Narrow" w:eastAsia="Times New Roman" w:hAnsi="Aptos Narrow" w:cs="Times New Roman"/>
                <w:b/>
                <w:bCs/>
                <w:kern w:val="0"/>
                <w:sz w:val="14"/>
                <w:szCs w:val="14"/>
                <w14:ligatures w14:val="none"/>
              </w:rPr>
              <w:t xml:space="preserve"> et al., 2019</w:t>
            </w:r>
          </w:p>
        </w:tc>
        <w:tc>
          <w:tcPr>
            <w:tcW w:w="2160" w:type="dxa"/>
            <w:tcBorders>
              <w:top w:val="nil"/>
              <w:left w:val="nil"/>
              <w:bottom w:val="single" w:sz="4" w:space="0" w:color="auto"/>
              <w:right w:val="single" w:sz="4" w:space="0" w:color="auto"/>
            </w:tcBorders>
            <w:shd w:val="clear" w:color="auto" w:fill="auto"/>
            <w:vAlign w:val="bottom"/>
            <w:hideMark/>
          </w:tcPr>
          <w:p w14:paraId="3569482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Deviations not reported; possible deviations were likely related to characteristics of real-world practice. </w:t>
            </w:r>
          </w:p>
        </w:tc>
        <w:tc>
          <w:tcPr>
            <w:tcW w:w="1068" w:type="dxa"/>
            <w:tcBorders>
              <w:top w:val="nil"/>
              <w:left w:val="nil"/>
              <w:bottom w:val="single" w:sz="4" w:space="0" w:color="auto"/>
              <w:right w:val="single" w:sz="4" w:space="0" w:color="auto"/>
            </w:tcBorders>
            <w:shd w:val="clear" w:color="auto" w:fill="auto"/>
            <w:vAlign w:val="bottom"/>
            <w:hideMark/>
          </w:tcPr>
          <w:p w14:paraId="23021E45"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172" w:type="dxa"/>
            <w:tcBorders>
              <w:top w:val="nil"/>
              <w:left w:val="nil"/>
              <w:bottom w:val="single" w:sz="4" w:space="0" w:color="auto"/>
              <w:right w:val="single" w:sz="4" w:space="0" w:color="auto"/>
            </w:tcBorders>
            <w:shd w:val="clear" w:color="auto" w:fill="auto"/>
            <w:vAlign w:val="bottom"/>
            <w:hideMark/>
          </w:tcPr>
          <w:p w14:paraId="234FFA96"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Pre-and </w:t>
            </w:r>
            <w:proofErr w:type="spellStart"/>
            <w:r w:rsidRPr="00F86E12">
              <w:rPr>
                <w:rFonts w:ascii="Calibri" w:eastAsia="Times New Roman" w:hAnsi="Calibri" w:cs="Calibri"/>
                <w:color w:val="000000"/>
                <w:kern w:val="0"/>
                <w:sz w:val="14"/>
                <w:szCs w:val="14"/>
                <w14:ligatures w14:val="none"/>
              </w:rPr>
              <w:t>post implementation</w:t>
            </w:r>
            <w:proofErr w:type="spellEnd"/>
            <w:r w:rsidRPr="00F86E12">
              <w:rPr>
                <w:rFonts w:ascii="Calibri" w:eastAsia="Times New Roman" w:hAnsi="Calibri" w:cs="Calibri"/>
                <w:color w:val="000000"/>
                <w:kern w:val="0"/>
                <w:sz w:val="14"/>
                <w:szCs w:val="14"/>
                <w14:ligatures w14:val="none"/>
              </w:rPr>
              <w:t xml:space="preserve"> survey samples were different, but systematic differences were not explored, so missing data risk of bias cannot be ruled out. </w:t>
            </w:r>
          </w:p>
        </w:tc>
        <w:tc>
          <w:tcPr>
            <w:tcW w:w="1148" w:type="dxa"/>
            <w:tcBorders>
              <w:top w:val="nil"/>
              <w:left w:val="nil"/>
              <w:bottom w:val="single" w:sz="4" w:space="0" w:color="auto"/>
              <w:right w:val="single" w:sz="4" w:space="0" w:color="auto"/>
            </w:tcBorders>
            <w:shd w:val="clear" w:color="auto" w:fill="auto"/>
            <w:vAlign w:val="bottom"/>
            <w:hideMark/>
          </w:tcPr>
          <w:p w14:paraId="4E4D04D6"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182" w:type="dxa"/>
            <w:tcBorders>
              <w:top w:val="nil"/>
              <w:left w:val="nil"/>
              <w:bottom w:val="single" w:sz="4" w:space="0" w:color="auto"/>
              <w:right w:val="single" w:sz="4" w:space="0" w:color="auto"/>
            </w:tcBorders>
            <w:shd w:val="clear" w:color="auto" w:fill="auto"/>
            <w:vAlign w:val="bottom"/>
            <w:hideMark/>
          </w:tcPr>
          <w:p w14:paraId="7BBF765B"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Outcome measures were subjective and may have been influenced by awareness of implementation efforts.  </w:t>
            </w:r>
          </w:p>
        </w:tc>
        <w:tc>
          <w:tcPr>
            <w:tcW w:w="1068" w:type="dxa"/>
            <w:tcBorders>
              <w:top w:val="nil"/>
              <w:left w:val="nil"/>
              <w:bottom w:val="single" w:sz="4" w:space="0" w:color="auto"/>
              <w:right w:val="single" w:sz="4" w:space="0" w:color="auto"/>
            </w:tcBorders>
            <w:shd w:val="clear" w:color="auto" w:fill="auto"/>
            <w:vAlign w:val="bottom"/>
            <w:hideMark/>
          </w:tcPr>
          <w:p w14:paraId="7B2C817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768" w:type="dxa"/>
            <w:tcBorders>
              <w:top w:val="nil"/>
              <w:left w:val="nil"/>
              <w:bottom w:val="single" w:sz="4" w:space="0" w:color="auto"/>
              <w:right w:val="single" w:sz="4" w:space="0" w:color="auto"/>
            </w:tcBorders>
            <w:shd w:val="clear" w:color="auto" w:fill="auto"/>
            <w:vAlign w:val="bottom"/>
            <w:hideMark/>
          </w:tcPr>
          <w:p w14:paraId="757058C5"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There is a high risk of selective reporting: multilevel models individually adjusted for covariates, but adjusted odds ratios not reported: “The patterns of the results remained largely unchanged after individually controlling for organizational and program-related characteristics (data not shown; available from corresponding author upon request).” CK reached out to </w:t>
            </w:r>
            <w:proofErr w:type="gramStart"/>
            <w:r w:rsidRPr="00F86E12">
              <w:rPr>
                <w:rFonts w:ascii="Calibri" w:eastAsia="Times New Roman" w:hAnsi="Calibri" w:cs="Calibri"/>
                <w:color w:val="000000"/>
                <w:kern w:val="0"/>
                <w:sz w:val="14"/>
                <w:szCs w:val="14"/>
                <w14:ligatures w14:val="none"/>
              </w:rPr>
              <w:t>primary</w:t>
            </w:r>
            <w:proofErr w:type="gramEnd"/>
            <w:r w:rsidRPr="00F86E12">
              <w:rPr>
                <w:rFonts w:ascii="Calibri" w:eastAsia="Times New Roman" w:hAnsi="Calibri" w:cs="Calibri"/>
                <w:color w:val="000000"/>
                <w:kern w:val="0"/>
                <w:sz w:val="14"/>
                <w:szCs w:val="14"/>
                <w14:ligatures w14:val="none"/>
              </w:rPr>
              <w:t xml:space="preserve"> author for data and has yet to hear back.</w:t>
            </w:r>
          </w:p>
        </w:tc>
        <w:tc>
          <w:tcPr>
            <w:tcW w:w="828" w:type="dxa"/>
            <w:tcBorders>
              <w:top w:val="nil"/>
              <w:left w:val="nil"/>
              <w:bottom w:val="single" w:sz="4" w:space="0" w:color="auto"/>
              <w:right w:val="single" w:sz="4" w:space="0" w:color="auto"/>
            </w:tcBorders>
            <w:shd w:val="clear" w:color="auto" w:fill="auto"/>
            <w:vAlign w:val="bottom"/>
            <w:hideMark/>
          </w:tcPr>
          <w:p w14:paraId="720A7EF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245A8A62" w14:textId="77777777" w:rsidTr="00F86E12">
        <w:trPr>
          <w:trHeight w:val="1080"/>
        </w:trPr>
        <w:tc>
          <w:tcPr>
            <w:tcW w:w="990" w:type="dxa"/>
            <w:tcBorders>
              <w:top w:val="nil"/>
              <w:left w:val="nil"/>
              <w:bottom w:val="single" w:sz="4" w:space="0" w:color="auto"/>
              <w:right w:val="single" w:sz="4" w:space="0" w:color="auto"/>
            </w:tcBorders>
            <w:shd w:val="clear" w:color="auto" w:fill="auto"/>
            <w:hideMark/>
          </w:tcPr>
          <w:p w14:paraId="32503BBF"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Hollen et al., 2010</w:t>
            </w:r>
          </w:p>
        </w:tc>
        <w:tc>
          <w:tcPr>
            <w:tcW w:w="2160" w:type="dxa"/>
            <w:tcBorders>
              <w:top w:val="nil"/>
              <w:left w:val="nil"/>
              <w:bottom w:val="single" w:sz="4" w:space="0" w:color="auto"/>
              <w:right w:val="single" w:sz="4" w:space="0" w:color="auto"/>
            </w:tcBorders>
            <w:shd w:val="clear" w:color="auto" w:fill="auto"/>
            <w:vAlign w:val="bottom"/>
            <w:hideMark/>
          </w:tcPr>
          <w:p w14:paraId="4B10E574"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Deviations not reported; any deviations likely due to usual practice and unlikely to impact outcomes.  </w:t>
            </w:r>
          </w:p>
        </w:tc>
        <w:tc>
          <w:tcPr>
            <w:tcW w:w="1068" w:type="dxa"/>
            <w:tcBorders>
              <w:top w:val="nil"/>
              <w:left w:val="nil"/>
              <w:bottom w:val="single" w:sz="4" w:space="0" w:color="auto"/>
              <w:right w:val="single" w:sz="4" w:space="0" w:color="auto"/>
            </w:tcBorders>
            <w:shd w:val="clear" w:color="auto" w:fill="auto"/>
            <w:vAlign w:val="bottom"/>
            <w:hideMark/>
          </w:tcPr>
          <w:p w14:paraId="623F6F8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36A66676"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Data </w:t>
            </w:r>
            <w:proofErr w:type="gramStart"/>
            <w:r w:rsidRPr="00F86E12">
              <w:rPr>
                <w:rFonts w:ascii="Calibri" w:eastAsia="Times New Roman" w:hAnsi="Calibri" w:cs="Calibri"/>
                <w:color w:val="000000"/>
                <w:kern w:val="0"/>
                <w:sz w:val="14"/>
                <w:szCs w:val="14"/>
                <w14:ligatures w14:val="none"/>
              </w:rPr>
              <w:t>were</w:t>
            </w:r>
            <w:proofErr w:type="gramEnd"/>
            <w:r w:rsidRPr="00F86E12">
              <w:rPr>
                <w:rFonts w:ascii="Calibri" w:eastAsia="Times New Roman" w:hAnsi="Calibri" w:cs="Calibri"/>
                <w:color w:val="000000"/>
                <w:kern w:val="0"/>
                <w:sz w:val="14"/>
                <w:szCs w:val="14"/>
                <w14:ligatures w14:val="none"/>
              </w:rPr>
              <w:t xml:space="preserve"> reasonably complete and missingness was similar between both groups. 3 of 70 hospitals were missing data on one item that is not expected to be related to </w:t>
            </w:r>
            <w:proofErr w:type="gramStart"/>
            <w:r w:rsidRPr="00F86E12">
              <w:rPr>
                <w:rFonts w:ascii="Calibri" w:eastAsia="Times New Roman" w:hAnsi="Calibri" w:cs="Calibri"/>
                <w:color w:val="000000"/>
                <w:kern w:val="0"/>
                <w:sz w:val="14"/>
                <w:szCs w:val="14"/>
                <w14:ligatures w14:val="none"/>
              </w:rPr>
              <w:t>outcome</w:t>
            </w:r>
            <w:proofErr w:type="gramEnd"/>
            <w:r w:rsidRPr="00F86E12">
              <w:rPr>
                <w:rFonts w:ascii="Calibri" w:eastAsia="Times New Roman" w:hAnsi="Calibri" w:cs="Calibri"/>
                <w:color w:val="000000"/>
                <w:kern w:val="0"/>
                <w:sz w:val="14"/>
                <w:szCs w:val="14"/>
                <w14:ligatures w14:val="none"/>
              </w:rPr>
              <w:t>.   </w:t>
            </w:r>
          </w:p>
        </w:tc>
        <w:tc>
          <w:tcPr>
            <w:tcW w:w="1148" w:type="dxa"/>
            <w:tcBorders>
              <w:top w:val="nil"/>
              <w:left w:val="nil"/>
              <w:bottom w:val="single" w:sz="4" w:space="0" w:color="auto"/>
              <w:right w:val="single" w:sz="4" w:space="0" w:color="auto"/>
            </w:tcBorders>
            <w:shd w:val="clear" w:color="auto" w:fill="auto"/>
            <w:vAlign w:val="bottom"/>
            <w:hideMark/>
          </w:tcPr>
          <w:p w14:paraId="28B57D3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55921B65"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Outcome assessment methods were comparable across groups and limited subjectivity of self-reported smoking restrictions; any measurement error is unlikely to be influenced by research </w:t>
            </w:r>
            <w:proofErr w:type="gramStart"/>
            <w:r w:rsidRPr="00F86E12">
              <w:rPr>
                <w:rFonts w:ascii="Calibri" w:eastAsia="Times New Roman" w:hAnsi="Calibri" w:cs="Calibri"/>
                <w:color w:val="000000"/>
                <w:kern w:val="0"/>
                <w:sz w:val="14"/>
                <w:szCs w:val="14"/>
                <w14:ligatures w14:val="none"/>
              </w:rPr>
              <w:t>question</w:t>
            </w:r>
            <w:proofErr w:type="gramEnd"/>
            <w:r w:rsidRPr="00F86E12">
              <w:rPr>
                <w:rFonts w:ascii="Calibri" w:eastAsia="Times New Roman" w:hAnsi="Calibri" w:cs="Calibri"/>
                <w:color w:val="000000"/>
                <w:kern w:val="0"/>
                <w:sz w:val="14"/>
                <w:szCs w:val="14"/>
                <w14:ligatures w14:val="none"/>
              </w:rPr>
              <w:t>. </w:t>
            </w:r>
          </w:p>
        </w:tc>
        <w:tc>
          <w:tcPr>
            <w:tcW w:w="1068" w:type="dxa"/>
            <w:tcBorders>
              <w:top w:val="nil"/>
              <w:left w:val="nil"/>
              <w:bottom w:val="single" w:sz="4" w:space="0" w:color="auto"/>
              <w:right w:val="single" w:sz="4" w:space="0" w:color="auto"/>
            </w:tcBorders>
            <w:shd w:val="clear" w:color="auto" w:fill="auto"/>
            <w:vAlign w:val="bottom"/>
            <w:hideMark/>
          </w:tcPr>
          <w:p w14:paraId="6131DF29"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768" w:type="dxa"/>
            <w:tcBorders>
              <w:top w:val="nil"/>
              <w:left w:val="nil"/>
              <w:bottom w:val="single" w:sz="4" w:space="0" w:color="auto"/>
              <w:right w:val="single" w:sz="4" w:space="0" w:color="auto"/>
            </w:tcBorders>
            <w:shd w:val="clear" w:color="auto" w:fill="auto"/>
            <w:vAlign w:val="bottom"/>
            <w:hideMark/>
          </w:tcPr>
          <w:p w14:paraId="514B1032"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Reported data analysis plan; all reported results correspond to intended outcomes, analyses, and sub cohorts.  </w:t>
            </w:r>
          </w:p>
        </w:tc>
        <w:tc>
          <w:tcPr>
            <w:tcW w:w="828" w:type="dxa"/>
            <w:tcBorders>
              <w:top w:val="nil"/>
              <w:left w:val="nil"/>
              <w:bottom w:val="single" w:sz="4" w:space="0" w:color="auto"/>
              <w:right w:val="single" w:sz="4" w:space="0" w:color="auto"/>
            </w:tcBorders>
            <w:shd w:val="clear" w:color="auto" w:fill="auto"/>
            <w:vAlign w:val="bottom"/>
            <w:hideMark/>
          </w:tcPr>
          <w:p w14:paraId="47B9220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3A2A351D" w14:textId="77777777" w:rsidTr="00F86E12">
        <w:trPr>
          <w:trHeight w:val="1800"/>
        </w:trPr>
        <w:tc>
          <w:tcPr>
            <w:tcW w:w="990" w:type="dxa"/>
            <w:tcBorders>
              <w:top w:val="nil"/>
              <w:left w:val="nil"/>
              <w:bottom w:val="single" w:sz="4" w:space="0" w:color="auto"/>
              <w:right w:val="single" w:sz="4" w:space="0" w:color="auto"/>
            </w:tcBorders>
            <w:shd w:val="clear" w:color="auto" w:fill="auto"/>
            <w:hideMark/>
          </w:tcPr>
          <w:p w14:paraId="407B9B68"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Huddlestone et al., 2018</w:t>
            </w:r>
          </w:p>
        </w:tc>
        <w:tc>
          <w:tcPr>
            <w:tcW w:w="2160" w:type="dxa"/>
            <w:tcBorders>
              <w:top w:val="nil"/>
              <w:left w:val="nil"/>
              <w:bottom w:val="single" w:sz="4" w:space="0" w:color="auto"/>
              <w:right w:val="single" w:sz="4" w:space="0" w:color="auto"/>
            </w:tcBorders>
            <w:shd w:val="clear" w:color="auto" w:fill="auto"/>
            <w:vAlign w:val="bottom"/>
            <w:hideMark/>
          </w:tcPr>
          <w:p w14:paraId="6105BB66"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There were deviations from the implementation strategy beyond that of usual practice that likely impacted the treatment provision outcome. </w:t>
            </w:r>
          </w:p>
        </w:tc>
        <w:tc>
          <w:tcPr>
            <w:tcW w:w="1068" w:type="dxa"/>
            <w:tcBorders>
              <w:top w:val="nil"/>
              <w:left w:val="nil"/>
              <w:bottom w:val="single" w:sz="4" w:space="0" w:color="auto"/>
              <w:right w:val="single" w:sz="4" w:space="0" w:color="auto"/>
            </w:tcBorders>
            <w:shd w:val="clear" w:color="auto" w:fill="auto"/>
            <w:vAlign w:val="bottom"/>
            <w:hideMark/>
          </w:tcPr>
          <w:p w14:paraId="33F310FF"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0EDFD16B"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Data </w:t>
            </w:r>
            <w:proofErr w:type="gramStart"/>
            <w:r w:rsidRPr="00F86E12">
              <w:rPr>
                <w:rFonts w:ascii="Calibri" w:eastAsia="Times New Roman" w:hAnsi="Calibri" w:cs="Calibri"/>
                <w:color w:val="000000"/>
                <w:kern w:val="0"/>
                <w:sz w:val="14"/>
                <w:szCs w:val="14"/>
                <w14:ligatures w14:val="none"/>
              </w:rPr>
              <w:t>were</w:t>
            </w:r>
            <w:proofErr w:type="gramEnd"/>
            <w:r w:rsidRPr="00F86E12">
              <w:rPr>
                <w:rFonts w:ascii="Calibri" w:eastAsia="Times New Roman" w:hAnsi="Calibri" w:cs="Calibri"/>
                <w:color w:val="000000"/>
                <w:kern w:val="0"/>
                <w:sz w:val="14"/>
                <w:szCs w:val="14"/>
                <w14:ligatures w14:val="none"/>
              </w:rPr>
              <w:t xml:space="preserve"> reasonably complete.  </w:t>
            </w:r>
          </w:p>
        </w:tc>
        <w:tc>
          <w:tcPr>
            <w:tcW w:w="1148" w:type="dxa"/>
            <w:tcBorders>
              <w:top w:val="nil"/>
              <w:left w:val="nil"/>
              <w:bottom w:val="single" w:sz="4" w:space="0" w:color="auto"/>
              <w:right w:val="single" w:sz="4" w:space="0" w:color="auto"/>
            </w:tcBorders>
            <w:shd w:val="clear" w:color="auto" w:fill="auto"/>
            <w:vAlign w:val="bottom"/>
            <w:hideMark/>
          </w:tcPr>
          <w:p w14:paraId="3B71B3FD"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1412BAA5"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Methods of outcome assessment were comparable pre- and post-implementation; one outcome measure (self-reported NRT delivery) could have been influenced by knowledge of implementation strategy, but medical record NRT data was also obtained and reported and revealed incongruence; measurement outcome error unlikely to be related to implementation strategy. </w:t>
            </w:r>
          </w:p>
        </w:tc>
        <w:tc>
          <w:tcPr>
            <w:tcW w:w="1068" w:type="dxa"/>
            <w:tcBorders>
              <w:top w:val="nil"/>
              <w:left w:val="nil"/>
              <w:bottom w:val="single" w:sz="4" w:space="0" w:color="auto"/>
              <w:right w:val="single" w:sz="4" w:space="0" w:color="auto"/>
            </w:tcBorders>
            <w:shd w:val="clear" w:color="auto" w:fill="auto"/>
            <w:vAlign w:val="bottom"/>
            <w:hideMark/>
          </w:tcPr>
          <w:p w14:paraId="2D8EF53A"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768" w:type="dxa"/>
            <w:tcBorders>
              <w:top w:val="nil"/>
              <w:left w:val="nil"/>
              <w:bottom w:val="single" w:sz="4" w:space="0" w:color="auto"/>
              <w:right w:val="single" w:sz="4" w:space="0" w:color="auto"/>
            </w:tcBorders>
            <w:shd w:val="clear" w:color="auto" w:fill="auto"/>
            <w:vAlign w:val="bottom"/>
            <w:hideMark/>
          </w:tcPr>
          <w:p w14:paraId="60628F21"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Outcome measurement and analysis appear consistent with </w:t>
            </w:r>
            <w:r w:rsidRPr="00F86E12">
              <w:rPr>
                <w:rFonts w:ascii="Calibri" w:eastAsia="Times New Roman" w:hAnsi="Calibri" w:cs="Calibri"/>
                <w:i/>
                <w:iCs/>
                <w:color w:val="000000"/>
                <w:kern w:val="0"/>
                <w:sz w:val="14"/>
                <w:szCs w:val="14"/>
                <w14:ligatures w14:val="none"/>
              </w:rPr>
              <w:t>a priori</w:t>
            </w:r>
            <w:r w:rsidRPr="00F86E12">
              <w:rPr>
                <w:rFonts w:ascii="Calibri" w:eastAsia="Times New Roman" w:hAnsi="Calibri" w:cs="Calibri"/>
                <w:color w:val="000000"/>
                <w:kern w:val="0"/>
                <w:sz w:val="14"/>
                <w:szCs w:val="14"/>
                <w14:ligatures w14:val="none"/>
              </w:rPr>
              <w:t xml:space="preserve"> plan; there is a high risk of selective reporting because statistical tests and significance tests are not reported for any outcome; number of cigarettes smoked after admission was a planned outcome but not collected. </w:t>
            </w:r>
          </w:p>
        </w:tc>
        <w:tc>
          <w:tcPr>
            <w:tcW w:w="828" w:type="dxa"/>
            <w:tcBorders>
              <w:top w:val="nil"/>
              <w:left w:val="nil"/>
              <w:bottom w:val="single" w:sz="4" w:space="0" w:color="auto"/>
              <w:right w:val="single" w:sz="4" w:space="0" w:color="auto"/>
            </w:tcBorders>
            <w:shd w:val="clear" w:color="auto" w:fill="auto"/>
            <w:vAlign w:val="bottom"/>
            <w:hideMark/>
          </w:tcPr>
          <w:p w14:paraId="4019D5C1"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083FB4BC" w14:textId="77777777" w:rsidTr="00F86E12">
        <w:trPr>
          <w:trHeight w:val="1800"/>
        </w:trPr>
        <w:tc>
          <w:tcPr>
            <w:tcW w:w="990" w:type="dxa"/>
            <w:tcBorders>
              <w:top w:val="nil"/>
              <w:left w:val="nil"/>
              <w:bottom w:val="single" w:sz="4" w:space="0" w:color="auto"/>
              <w:right w:val="single" w:sz="4" w:space="0" w:color="auto"/>
            </w:tcBorders>
            <w:shd w:val="clear" w:color="auto" w:fill="auto"/>
            <w:hideMark/>
          </w:tcPr>
          <w:p w14:paraId="004477E0"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lastRenderedPageBreak/>
              <w:t>Kanter Bax et al., 2020</w:t>
            </w:r>
          </w:p>
        </w:tc>
        <w:tc>
          <w:tcPr>
            <w:tcW w:w="2160" w:type="dxa"/>
            <w:tcBorders>
              <w:top w:val="nil"/>
              <w:left w:val="nil"/>
              <w:bottom w:val="single" w:sz="4" w:space="0" w:color="auto"/>
              <w:right w:val="single" w:sz="4" w:space="0" w:color="auto"/>
            </w:tcBorders>
            <w:shd w:val="clear" w:color="auto" w:fill="auto"/>
            <w:vAlign w:val="bottom"/>
            <w:hideMark/>
          </w:tcPr>
          <w:p w14:paraId="5DB773C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The referral process in the electronic health record was </w:t>
            </w:r>
            <w:proofErr w:type="gramStart"/>
            <w:r w:rsidRPr="00F86E12">
              <w:rPr>
                <w:rFonts w:ascii="Calibri" w:eastAsia="Times New Roman" w:hAnsi="Calibri" w:cs="Calibri"/>
                <w:color w:val="000000"/>
                <w:kern w:val="0"/>
                <w:sz w:val="14"/>
                <w:szCs w:val="14"/>
                <w14:ligatures w14:val="none"/>
              </w:rPr>
              <w:t>planned, but</w:t>
            </w:r>
            <w:proofErr w:type="gramEnd"/>
            <w:r w:rsidRPr="00F86E12">
              <w:rPr>
                <w:rFonts w:ascii="Calibri" w:eastAsia="Times New Roman" w:hAnsi="Calibri" w:cs="Calibri"/>
                <w:color w:val="000000"/>
                <w:kern w:val="0"/>
                <w:sz w:val="14"/>
                <w:szCs w:val="14"/>
                <w14:ligatures w14:val="none"/>
              </w:rPr>
              <w:t xml:space="preserve"> not included in PDSA cycle descriptions; its implementation was also unexpectedly delayed, which likely impacted the main outcome measure (referrals to smoking treatment). </w:t>
            </w:r>
          </w:p>
        </w:tc>
        <w:tc>
          <w:tcPr>
            <w:tcW w:w="1068" w:type="dxa"/>
            <w:tcBorders>
              <w:top w:val="nil"/>
              <w:left w:val="nil"/>
              <w:bottom w:val="single" w:sz="4" w:space="0" w:color="auto"/>
              <w:right w:val="single" w:sz="4" w:space="0" w:color="auto"/>
            </w:tcBorders>
            <w:shd w:val="clear" w:color="auto" w:fill="auto"/>
            <w:vAlign w:val="bottom"/>
            <w:hideMark/>
          </w:tcPr>
          <w:p w14:paraId="61E1D4B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No information</w:t>
            </w:r>
          </w:p>
        </w:tc>
        <w:tc>
          <w:tcPr>
            <w:tcW w:w="2172" w:type="dxa"/>
            <w:tcBorders>
              <w:top w:val="nil"/>
              <w:left w:val="nil"/>
              <w:bottom w:val="single" w:sz="4" w:space="0" w:color="auto"/>
              <w:right w:val="single" w:sz="4" w:space="0" w:color="auto"/>
            </w:tcBorders>
            <w:shd w:val="clear" w:color="auto" w:fill="auto"/>
            <w:vAlign w:val="bottom"/>
            <w:hideMark/>
          </w:tcPr>
          <w:p w14:paraId="2FA9570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w:t>
            </w:r>
          </w:p>
        </w:tc>
        <w:tc>
          <w:tcPr>
            <w:tcW w:w="1148" w:type="dxa"/>
            <w:tcBorders>
              <w:top w:val="nil"/>
              <w:left w:val="nil"/>
              <w:bottom w:val="single" w:sz="4" w:space="0" w:color="auto"/>
              <w:right w:val="single" w:sz="4" w:space="0" w:color="auto"/>
            </w:tcBorders>
            <w:shd w:val="clear" w:color="auto" w:fill="auto"/>
            <w:vAlign w:val="bottom"/>
            <w:hideMark/>
          </w:tcPr>
          <w:p w14:paraId="0E7C8163"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Critical</w:t>
            </w:r>
          </w:p>
        </w:tc>
        <w:tc>
          <w:tcPr>
            <w:tcW w:w="2182" w:type="dxa"/>
            <w:tcBorders>
              <w:top w:val="nil"/>
              <w:left w:val="nil"/>
              <w:bottom w:val="single" w:sz="4" w:space="0" w:color="auto"/>
              <w:right w:val="single" w:sz="4" w:space="0" w:color="auto"/>
            </w:tcBorders>
            <w:shd w:val="clear" w:color="auto" w:fill="auto"/>
            <w:vAlign w:val="bottom"/>
            <w:hideMark/>
          </w:tcPr>
          <w:p w14:paraId="597C5E46"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Outcome assessment appears to be comparable across evaluation cycles but was subjective and not clearly described “For measurement, smoking cessation referrals were counted by feedback through various sources: Trusts' performance data, confirmation from smoking cessation providers of referrals received, and immediate feedback from care coordinators.” </w:t>
            </w:r>
          </w:p>
        </w:tc>
        <w:tc>
          <w:tcPr>
            <w:tcW w:w="1068" w:type="dxa"/>
            <w:tcBorders>
              <w:top w:val="nil"/>
              <w:left w:val="nil"/>
              <w:bottom w:val="single" w:sz="4" w:space="0" w:color="auto"/>
              <w:right w:val="single" w:sz="4" w:space="0" w:color="auto"/>
            </w:tcBorders>
            <w:shd w:val="clear" w:color="auto" w:fill="auto"/>
            <w:vAlign w:val="bottom"/>
            <w:hideMark/>
          </w:tcPr>
          <w:p w14:paraId="13397CD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768" w:type="dxa"/>
            <w:tcBorders>
              <w:top w:val="nil"/>
              <w:left w:val="nil"/>
              <w:bottom w:val="single" w:sz="4" w:space="0" w:color="auto"/>
              <w:right w:val="single" w:sz="4" w:space="0" w:color="auto"/>
            </w:tcBorders>
            <w:shd w:val="clear" w:color="auto" w:fill="auto"/>
            <w:vAlign w:val="bottom"/>
            <w:hideMark/>
          </w:tcPr>
          <w:p w14:paraId="1F765284"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No statistical analyses described or reported; there is a risk of selective reporting, “those who relapsed into smoking after successful cessation or transitioned from the service were removed from the outcome [smoking cessation referral] numbers.” </w:t>
            </w:r>
          </w:p>
        </w:tc>
        <w:tc>
          <w:tcPr>
            <w:tcW w:w="828" w:type="dxa"/>
            <w:tcBorders>
              <w:top w:val="nil"/>
              <w:left w:val="nil"/>
              <w:bottom w:val="single" w:sz="4" w:space="0" w:color="auto"/>
              <w:right w:val="single" w:sz="4" w:space="0" w:color="auto"/>
            </w:tcBorders>
            <w:shd w:val="clear" w:color="auto" w:fill="auto"/>
            <w:vAlign w:val="bottom"/>
            <w:hideMark/>
          </w:tcPr>
          <w:p w14:paraId="19485DB5"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Critical</w:t>
            </w:r>
          </w:p>
        </w:tc>
      </w:tr>
      <w:tr w:rsidR="00F86E12" w:rsidRPr="00F86E12" w14:paraId="337196DC" w14:textId="77777777" w:rsidTr="00F86E12">
        <w:trPr>
          <w:trHeight w:val="1080"/>
        </w:trPr>
        <w:tc>
          <w:tcPr>
            <w:tcW w:w="990" w:type="dxa"/>
            <w:tcBorders>
              <w:top w:val="nil"/>
              <w:left w:val="nil"/>
              <w:bottom w:val="single" w:sz="4" w:space="0" w:color="auto"/>
              <w:right w:val="single" w:sz="4" w:space="0" w:color="auto"/>
            </w:tcBorders>
            <w:shd w:val="clear" w:color="auto" w:fill="auto"/>
            <w:hideMark/>
          </w:tcPr>
          <w:p w14:paraId="0F054AD2"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Lappin et al., 2020</w:t>
            </w:r>
          </w:p>
        </w:tc>
        <w:tc>
          <w:tcPr>
            <w:tcW w:w="2160" w:type="dxa"/>
            <w:tcBorders>
              <w:top w:val="nil"/>
              <w:left w:val="nil"/>
              <w:bottom w:val="single" w:sz="4" w:space="0" w:color="auto"/>
              <w:right w:val="single" w:sz="4" w:space="0" w:color="auto"/>
            </w:tcBorders>
            <w:shd w:val="clear" w:color="auto" w:fill="auto"/>
            <w:vAlign w:val="bottom"/>
            <w:hideMark/>
          </w:tcPr>
          <w:p w14:paraId="59140872"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No indication of deviation occurring.  </w:t>
            </w:r>
          </w:p>
        </w:tc>
        <w:tc>
          <w:tcPr>
            <w:tcW w:w="1068" w:type="dxa"/>
            <w:tcBorders>
              <w:top w:val="nil"/>
              <w:left w:val="nil"/>
              <w:bottom w:val="single" w:sz="4" w:space="0" w:color="auto"/>
              <w:right w:val="single" w:sz="4" w:space="0" w:color="auto"/>
            </w:tcBorders>
            <w:shd w:val="clear" w:color="auto" w:fill="auto"/>
            <w:vAlign w:val="bottom"/>
            <w:hideMark/>
          </w:tcPr>
          <w:p w14:paraId="7094D30E"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1871B188"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Data </w:t>
            </w:r>
            <w:proofErr w:type="gramStart"/>
            <w:r w:rsidRPr="00F86E12">
              <w:rPr>
                <w:rFonts w:ascii="Calibri" w:eastAsia="Times New Roman" w:hAnsi="Calibri" w:cs="Calibri"/>
                <w:color w:val="000000"/>
                <w:kern w:val="0"/>
                <w:sz w:val="14"/>
                <w:szCs w:val="14"/>
                <w14:ligatures w14:val="none"/>
              </w:rPr>
              <w:t>were</w:t>
            </w:r>
            <w:proofErr w:type="gramEnd"/>
            <w:r w:rsidRPr="00F86E12">
              <w:rPr>
                <w:rFonts w:ascii="Calibri" w:eastAsia="Times New Roman" w:hAnsi="Calibri" w:cs="Calibri"/>
                <w:color w:val="000000"/>
                <w:kern w:val="0"/>
                <w:sz w:val="14"/>
                <w:szCs w:val="14"/>
                <w14:ligatures w14:val="none"/>
              </w:rPr>
              <w:t xml:space="preserve"> reasonably complete.  </w:t>
            </w:r>
          </w:p>
        </w:tc>
        <w:tc>
          <w:tcPr>
            <w:tcW w:w="1148" w:type="dxa"/>
            <w:tcBorders>
              <w:top w:val="nil"/>
              <w:left w:val="nil"/>
              <w:bottom w:val="single" w:sz="4" w:space="0" w:color="auto"/>
              <w:right w:val="single" w:sz="4" w:space="0" w:color="auto"/>
            </w:tcBorders>
            <w:shd w:val="clear" w:color="auto" w:fill="auto"/>
            <w:vAlign w:val="bottom"/>
            <w:hideMark/>
          </w:tcPr>
          <w:p w14:paraId="5CB4622E"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0F276C4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Data obtained retrospectively from medical </w:t>
            </w:r>
            <w:proofErr w:type="gramStart"/>
            <w:r w:rsidRPr="00F86E12">
              <w:rPr>
                <w:rFonts w:ascii="Aptos Narrow" w:eastAsia="Times New Roman" w:hAnsi="Aptos Narrow" w:cs="Times New Roman"/>
                <w:color w:val="000000"/>
                <w:kern w:val="0"/>
                <w:sz w:val="14"/>
                <w:szCs w:val="14"/>
                <w14:ligatures w14:val="none"/>
              </w:rPr>
              <w:t>record</w:t>
            </w:r>
            <w:proofErr w:type="gramEnd"/>
            <w:r w:rsidRPr="00F86E12">
              <w:rPr>
                <w:rFonts w:ascii="Aptos Narrow" w:eastAsia="Times New Roman" w:hAnsi="Aptos Narrow" w:cs="Times New Roman"/>
                <w:color w:val="000000"/>
                <w:kern w:val="0"/>
                <w:sz w:val="14"/>
                <w:szCs w:val="14"/>
                <w14:ligatures w14:val="none"/>
              </w:rPr>
              <w:t xml:space="preserve">. Outcome assessments comparable over time and outcome measurement error </w:t>
            </w:r>
            <w:proofErr w:type="gramStart"/>
            <w:r w:rsidRPr="00F86E12">
              <w:rPr>
                <w:rFonts w:ascii="Aptos Narrow" w:eastAsia="Times New Roman" w:hAnsi="Aptos Narrow" w:cs="Times New Roman"/>
                <w:color w:val="000000"/>
                <w:kern w:val="0"/>
                <w:sz w:val="14"/>
                <w:szCs w:val="14"/>
                <w14:ligatures w14:val="none"/>
              </w:rPr>
              <w:t>unlikely</w:t>
            </w:r>
            <w:proofErr w:type="gramEnd"/>
            <w:r w:rsidRPr="00F86E12">
              <w:rPr>
                <w:rFonts w:ascii="Aptos Narrow" w:eastAsia="Times New Roman" w:hAnsi="Aptos Narrow" w:cs="Times New Roman"/>
                <w:color w:val="000000"/>
                <w:kern w:val="0"/>
                <w:sz w:val="14"/>
                <w:szCs w:val="14"/>
                <w14:ligatures w14:val="none"/>
              </w:rPr>
              <w:t xml:space="preserve"> to be influenced by knowledge of implementation strategy status. </w:t>
            </w:r>
          </w:p>
        </w:tc>
        <w:tc>
          <w:tcPr>
            <w:tcW w:w="1068" w:type="dxa"/>
            <w:tcBorders>
              <w:top w:val="nil"/>
              <w:left w:val="nil"/>
              <w:bottom w:val="single" w:sz="4" w:space="0" w:color="auto"/>
              <w:right w:val="single" w:sz="4" w:space="0" w:color="auto"/>
            </w:tcBorders>
            <w:shd w:val="clear" w:color="auto" w:fill="auto"/>
            <w:vAlign w:val="bottom"/>
            <w:hideMark/>
          </w:tcPr>
          <w:p w14:paraId="7670E8E1"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768" w:type="dxa"/>
            <w:tcBorders>
              <w:top w:val="nil"/>
              <w:left w:val="nil"/>
              <w:bottom w:val="single" w:sz="4" w:space="0" w:color="auto"/>
              <w:right w:val="single" w:sz="4" w:space="0" w:color="auto"/>
            </w:tcBorders>
            <w:shd w:val="clear" w:color="auto" w:fill="auto"/>
            <w:vAlign w:val="bottom"/>
            <w:hideMark/>
          </w:tcPr>
          <w:p w14:paraId="64A2F5D3"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Unclear which outcomes were pre-planned, and which were </w:t>
            </w:r>
            <w:proofErr w:type="gramStart"/>
            <w:r w:rsidRPr="00F86E12">
              <w:rPr>
                <w:rFonts w:ascii="Calibri" w:eastAsia="Times New Roman" w:hAnsi="Calibri" w:cs="Calibri"/>
                <w:color w:val="000000"/>
                <w:kern w:val="0"/>
                <w:sz w:val="14"/>
                <w:szCs w:val="14"/>
                <w14:ligatures w14:val="none"/>
              </w:rPr>
              <w:t>exploratory;</w:t>
            </w:r>
            <w:proofErr w:type="gramEnd"/>
            <w:r w:rsidRPr="00F86E12">
              <w:rPr>
                <w:rFonts w:ascii="Calibri" w:eastAsia="Times New Roman" w:hAnsi="Calibri" w:cs="Calibri"/>
                <w:color w:val="000000"/>
                <w:kern w:val="0"/>
                <w:sz w:val="14"/>
                <w:szCs w:val="14"/>
                <w14:ligatures w14:val="none"/>
              </w:rPr>
              <w:t xml:space="preserve"> no indication of selection of reported results from multiple analyses or subgroups. </w:t>
            </w:r>
          </w:p>
        </w:tc>
        <w:tc>
          <w:tcPr>
            <w:tcW w:w="828" w:type="dxa"/>
            <w:tcBorders>
              <w:top w:val="nil"/>
              <w:left w:val="nil"/>
              <w:bottom w:val="single" w:sz="4" w:space="0" w:color="auto"/>
              <w:right w:val="single" w:sz="4" w:space="0" w:color="auto"/>
            </w:tcBorders>
            <w:shd w:val="clear" w:color="auto" w:fill="auto"/>
            <w:vAlign w:val="bottom"/>
            <w:hideMark/>
          </w:tcPr>
          <w:p w14:paraId="5ABD83AE"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53AFD003" w14:textId="77777777" w:rsidTr="00F86E12">
        <w:trPr>
          <w:trHeight w:val="1980"/>
        </w:trPr>
        <w:tc>
          <w:tcPr>
            <w:tcW w:w="990" w:type="dxa"/>
            <w:tcBorders>
              <w:top w:val="nil"/>
              <w:left w:val="nil"/>
              <w:bottom w:val="single" w:sz="4" w:space="0" w:color="auto"/>
              <w:right w:val="single" w:sz="4" w:space="0" w:color="auto"/>
            </w:tcBorders>
            <w:shd w:val="clear" w:color="auto" w:fill="auto"/>
            <w:hideMark/>
          </w:tcPr>
          <w:p w14:paraId="27B537EF"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Muladore et al., 2018</w:t>
            </w:r>
          </w:p>
        </w:tc>
        <w:tc>
          <w:tcPr>
            <w:tcW w:w="2160" w:type="dxa"/>
            <w:tcBorders>
              <w:top w:val="nil"/>
              <w:left w:val="nil"/>
              <w:bottom w:val="single" w:sz="4" w:space="0" w:color="auto"/>
              <w:right w:val="single" w:sz="4" w:space="0" w:color="auto"/>
            </w:tcBorders>
            <w:shd w:val="clear" w:color="auto" w:fill="auto"/>
            <w:vAlign w:val="bottom"/>
            <w:hideMark/>
          </w:tcPr>
          <w:p w14:paraId="6E2FA6A3"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No deviations reported; any that occurred were likely related to usual practice and unlikely to impact outcome. </w:t>
            </w:r>
          </w:p>
        </w:tc>
        <w:tc>
          <w:tcPr>
            <w:tcW w:w="1068" w:type="dxa"/>
            <w:tcBorders>
              <w:top w:val="nil"/>
              <w:left w:val="nil"/>
              <w:bottom w:val="single" w:sz="4" w:space="0" w:color="auto"/>
              <w:right w:val="single" w:sz="4" w:space="0" w:color="auto"/>
            </w:tcBorders>
            <w:shd w:val="clear" w:color="auto" w:fill="auto"/>
            <w:vAlign w:val="bottom"/>
            <w:hideMark/>
          </w:tcPr>
          <w:p w14:paraId="35189AC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No information</w:t>
            </w:r>
          </w:p>
        </w:tc>
        <w:tc>
          <w:tcPr>
            <w:tcW w:w="2172" w:type="dxa"/>
            <w:tcBorders>
              <w:top w:val="nil"/>
              <w:left w:val="nil"/>
              <w:bottom w:val="single" w:sz="4" w:space="0" w:color="auto"/>
              <w:right w:val="single" w:sz="4" w:space="0" w:color="auto"/>
            </w:tcBorders>
            <w:shd w:val="clear" w:color="auto" w:fill="auto"/>
            <w:vAlign w:val="bottom"/>
            <w:hideMark/>
          </w:tcPr>
          <w:p w14:paraId="0BF5820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w:t>
            </w:r>
          </w:p>
        </w:tc>
        <w:tc>
          <w:tcPr>
            <w:tcW w:w="1148" w:type="dxa"/>
            <w:tcBorders>
              <w:top w:val="nil"/>
              <w:left w:val="nil"/>
              <w:bottom w:val="single" w:sz="4" w:space="0" w:color="auto"/>
              <w:right w:val="single" w:sz="4" w:space="0" w:color="auto"/>
            </w:tcBorders>
            <w:shd w:val="clear" w:color="auto" w:fill="auto"/>
            <w:vAlign w:val="bottom"/>
            <w:hideMark/>
          </w:tcPr>
          <w:p w14:paraId="64893A6D"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182" w:type="dxa"/>
            <w:tcBorders>
              <w:top w:val="nil"/>
              <w:left w:val="nil"/>
              <w:bottom w:val="single" w:sz="4" w:space="0" w:color="auto"/>
              <w:right w:val="single" w:sz="4" w:space="0" w:color="auto"/>
            </w:tcBorders>
            <w:shd w:val="clear" w:color="auto" w:fill="auto"/>
            <w:vAlign w:val="bottom"/>
            <w:hideMark/>
          </w:tcPr>
          <w:p w14:paraId="7F934E2C"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Outcomes were assessed the same way pre- and post-implementation but may have been influenced by provider awareness of implementation; any error is not likely to be related to implementation status.  </w:t>
            </w:r>
          </w:p>
        </w:tc>
        <w:tc>
          <w:tcPr>
            <w:tcW w:w="1068" w:type="dxa"/>
            <w:tcBorders>
              <w:top w:val="nil"/>
              <w:left w:val="nil"/>
              <w:bottom w:val="single" w:sz="4" w:space="0" w:color="auto"/>
              <w:right w:val="single" w:sz="4" w:space="0" w:color="auto"/>
            </w:tcBorders>
            <w:shd w:val="clear" w:color="auto" w:fill="auto"/>
            <w:vAlign w:val="bottom"/>
            <w:hideMark/>
          </w:tcPr>
          <w:p w14:paraId="512AE16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768" w:type="dxa"/>
            <w:tcBorders>
              <w:top w:val="nil"/>
              <w:left w:val="nil"/>
              <w:bottom w:val="single" w:sz="4" w:space="0" w:color="auto"/>
              <w:right w:val="single" w:sz="4" w:space="0" w:color="auto"/>
            </w:tcBorders>
            <w:shd w:val="clear" w:color="auto" w:fill="auto"/>
            <w:vAlign w:val="bottom"/>
            <w:hideMark/>
          </w:tcPr>
          <w:p w14:paraId="7514EF3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Unclear which outcomes were pre-planned, and which were </w:t>
            </w:r>
            <w:proofErr w:type="gramStart"/>
            <w:r w:rsidRPr="00F86E12">
              <w:rPr>
                <w:rFonts w:ascii="Calibri" w:eastAsia="Times New Roman" w:hAnsi="Calibri" w:cs="Calibri"/>
                <w:color w:val="000000"/>
                <w:kern w:val="0"/>
                <w:sz w:val="14"/>
                <w:szCs w:val="14"/>
                <w14:ligatures w14:val="none"/>
              </w:rPr>
              <w:t>exploratory;</w:t>
            </w:r>
            <w:proofErr w:type="gramEnd"/>
            <w:r w:rsidRPr="00F86E12">
              <w:rPr>
                <w:rFonts w:ascii="Calibri" w:eastAsia="Times New Roman" w:hAnsi="Calibri" w:cs="Calibri"/>
                <w:color w:val="000000"/>
                <w:kern w:val="0"/>
                <w:sz w:val="14"/>
                <w:szCs w:val="14"/>
                <w14:ligatures w14:val="none"/>
              </w:rPr>
              <w:t xml:space="preserve"> no indication of selection of reported results from multiple analyses or subgroups. </w:t>
            </w:r>
          </w:p>
        </w:tc>
        <w:tc>
          <w:tcPr>
            <w:tcW w:w="828" w:type="dxa"/>
            <w:tcBorders>
              <w:top w:val="nil"/>
              <w:left w:val="nil"/>
              <w:bottom w:val="single" w:sz="4" w:space="0" w:color="auto"/>
              <w:right w:val="single" w:sz="4" w:space="0" w:color="auto"/>
            </w:tcBorders>
            <w:shd w:val="clear" w:color="auto" w:fill="auto"/>
            <w:vAlign w:val="bottom"/>
            <w:hideMark/>
          </w:tcPr>
          <w:p w14:paraId="3F2A454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449EC065" w14:textId="77777777" w:rsidTr="00F86E12">
        <w:trPr>
          <w:trHeight w:val="1800"/>
        </w:trPr>
        <w:tc>
          <w:tcPr>
            <w:tcW w:w="990" w:type="dxa"/>
            <w:tcBorders>
              <w:top w:val="nil"/>
              <w:left w:val="nil"/>
              <w:bottom w:val="single" w:sz="4" w:space="0" w:color="auto"/>
              <w:right w:val="single" w:sz="4" w:space="0" w:color="auto"/>
            </w:tcBorders>
            <w:shd w:val="clear" w:color="auto" w:fill="auto"/>
            <w:hideMark/>
          </w:tcPr>
          <w:p w14:paraId="1ACBF788"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proofErr w:type="spellStart"/>
            <w:r w:rsidRPr="00F86E12">
              <w:rPr>
                <w:rFonts w:ascii="Aptos Narrow" w:eastAsia="Times New Roman" w:hAnsi="Aptos Narrow" w:cs="Times New Roman"/>
                <w:b/>
                <w:bCs/>
                <w:kern w:val="0"/>
                <w:sz w:val="14"/>
                <w:szCs w:val="14"/>
                <w14:ligatures w14:val="none"/>
              </w:rPr>
              <w:t>Nitturi</w:t>
            </w:r>
            <w:proofErr w:type="spellEnd"/>
            <w:r w:rsidRPr="00F86E12">
              <w:rPr>
                <w:rFonts w:ascii="Aptos Narrow" w:eastAsia="Times New Roman" w:hAnsi="Aptos Narrow" w:cs="Times New Roman"/>
                <w:b/>
                <w:bCs/>
                <w:kern w:val="0"/>
                <w:sz w:val="14"/>
                <w:szCs w:val="14"/>
                <w14:ligatures w14:val="none"/>
              </w:rPr>
              <w:t xml:space="preserve"> et al., 2021</w:t>
            </w:r>
          </w:p>
        </w:tc>
        <w:tc>
          <w:tcPr>
            <w:tcW w:w="2160" w:type="dxa"/>
            <w:tcBorders>
              <w:top w:val="nil"/>
              <w:left w:val="nil"/>
              <w:bottom w:val="single" w:sz="4" w:space="0" w:color="auto"/>
              <w:right w:val="single" w:sz="4" w:space="0" w:color="auto"/>
            </w:tcBorders>
            <w:shd w:val="clear" w:color="auto" w:fill="auto"/>
            <w:vAlign w:val="bottom"/>
            <w:hideMark/>
          </w:tcPr>
          <w:p w14:paraId="1DE3DA3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No reported deviations; deviations likely to be related to usual practice. </w:t>
            </w:r>
          </w:p>
        </w:tc>
        <w:tc>
          <w:tcPr>
            <w:tcW w:w="1068" w:type="dxa"/>
            <w:tcBorders>
              <w:top w:val="nil"/>
              <w:left w:val="nil"/>
              <w:bottom w:val="single" w:sz="4" w:space="0" w:color="auto"/>
              <w:right w:val="single" w:sz="4" w:space="0" w:color="auto"/>
            </w:tcBorders>
            <w:shd w:val="clear" w:color="auto" w:fill="auto"/>
            <w:vAlign w:val="bottom"/>
            <w:hideMark/>
          </w:tcPr>
          <w:p w14:paraId="493790ED"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73BFB43A"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Data was available for all participants. </w:t>
            </w:r>
          </w:p>
        </w:tc>
        <w:tc>
          <w:tcPr>
            <w:tcW w:w="1148" w:type="dxa"/>
            <w:tcBorders>
              <w:top w:val="nil"/>
              <w:left w:val="nil"/>
              <w:bottom w:val="single" w:sz="4" w:space="0" w:color="auto"/>
              <w:right w:val="single" w:sz="4" w:space="0" w:color="auto"/>
            </w:tcBorders>
            <w:shd w:val="clear" w:color="auto" w:fill="auto"/>
            <w:vAlign w:val="bottom"/>
            <w:hideMark/>
          </w:tcPr>
          <w:p w14:paraId="1C72170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182" w:type="dxa"/>
            <w:tcBorders>
              <w:top w:val="nil"/>
              <w:left w:val="nil"/>
              <w:bottom w:val="single" w:sz="4" w:space="0" w:color="auto"/>
              <w:right w:val="single" w:sz="4" w:space="0" w:color="auto"/>
            </w:tcBorders>
            <w:shd w:val="clear" w:color="auto" w:fill="auto"/>
            <w:vAlign w:val="bottom"/>
            <w:hideMark/>
          </w:tcPr>
          <w:p w14:paraId="5FE90D46"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Outcome assessment was comparable over </w:t>
            </w:r>
            <w:proofErr w:type="gramStart"/>
            <w:r w:rsidRPr="00F86E12">
              <w:rPr>
                <w:rFonts w:ascii="Calibri" w:eastAsia="Times New Roman" w:hAnsi="Calibri" w:cs="Calibri"/>
                <w:color w:val="000000"/>
                <w:kern w:val="0"/>
                <w:sz w:val="14"/>
                <w:szCs w:val="14"/>
                <w14:ligatures w14:val="none"/>
              </w:rPr>
              <w:t>time, but</w:t>
            </w:r>
            <w:proofErr w:type="gramEnd"/>
            <w:r w:rsidRPr="00F86E12">
              <w:rPr>
                <w:rFonts w:ascii="Calibri" w:eastAsia="Times New Roman" w:hAnsi="Calibri" w:cs="Calibri"/>
                <w:color w:val="000000"/>
                <w:kern w:val="0"/>
                <w:sz w:val="14"/>
                <w:szCs w:val="14"/>
                <w14:ligatures w14:val="none"/>
              </w:rPr>
              <w:t xml:space="preserve"> was self-reported and may have been influenced by knowledge of implementation strategy. </w:t>
            </w:r>
          </w:p>
        </w:tc>
        <w:tc>
          <w:tcPr>
            <w:tcW w:w="1068" w:type="dxa"/>
            <w:tcBorders>
              <w:top w:val="nil"/>
              <w:left w:val="nil"/>
              <w:bottom w:val="single" w:sz="4" w:space="0" w:color="auto"/>
              <w:right w:val="single" w:sz="4" w:space="0" w:color="auto"/>
            </w:tcBorders>
            <w:shd w:val="clear" w:color="auto" w:fill="auto"/>
            <w:vAlign w:val="bottom"/>
            <w:hideMark/>
          </w:tcPr>
          <w:p w14:paraId="0AAF3211"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768" w:type="dxa"/>
            <w:tcBorders>
              <w:top w:val="nil"/>
              <w:left w:val="nil"/>
              <w:bottom w:val="single" w:sz="4" w:space="0" w:color="auto"/>
              <w:right w:val="single" w:sz="4" w:space="0" w:color="auto"/>
            </w:tcBorders>
            <w:shd w:val="clear" w:color="auto" w:fill="auto"/>
            <w:vAlign w:val="bottom"/>
            <w:hideMark/>
          </w:tcPr>
          <w:p w14:paraId="7E205E6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Unclear how adoption outcome (35.02%) was obtained and does not match data plan formula.  Small sample size (n=10), so no statistical tests reported. </w:t>
            </w:r>
          </w:p>
        </w:tc>
        <w:tc>
          <w:tcPr>
            <w:tcW w:w="828" w:type="dxa"/>
            <w:tcBorders>
              <w:top w:val="nil"/>
              <w:left w:val="nil"/>
              <w:bottom w:val="single" w:sz="4" w:space="0" w:color="auto"/>
              <w:right w:val="single" w:sz="4" w:space="0" w:color="auto"/>
            </w:tcBorders>
            <w:shd w:val="clear" w:color="auto" w:fill="auto"/>
            <w:vAlign w:val="bottom"/>
            <w:hideMark/>
          </w:tcPr>
          <w:p w14:paraId="3AD2D0BD"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111D0F88" w14:textId="77777777" w:rsidTr="00F86E12">
        <w:trPr>
          <w:trHeight w:val="1620"/>
        </w:trPr>
        <w:tc>
          <w:tcPr>
            <w:tcW w:w="990" w:type="dxa"/>
            <w:tcBorders>
              <w:top w:val="nil"/>
              <w:left w:val="nil"/>
              <w:bottom w:val="single" w:sz="4" w:space="0" w:color="auto"/>
              <w:right w:val="single" w:sz="4" w:space="0" w:color="auto"/>
            </w:tcBorders>
            <w:shd w:val="clear" w:color="auto" w:fill="auto"/>
            <w:hideMark/>
          </w:tcPr>
          <w:p w14:paraId="1947C573"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proofErr w:type="spellStart"/>
            <w:r w:rsidRPr="00F86E12">
              <w:rPr>
                <w:rFonts w:ascii="Aptos Narrow" w:eastAsia="Times New Roman" w:hAnsi="Aptos Narrow" w:cs="Times New Roman"/>
                <w:b/>
                <w:bCs/>
                <w:kern w:val="0"/>
                <w:sz w:val="14"/>
                <w:szCs w:val="14"/>
                <w14:ligatures w14:val="none"/>
              </w:rPr>
              <w:t>Nitturi</w:t>
            </w:r>
            <w:proofErr w:type="spellEnd"/>
            <w:r w:rsidRPr="00F86E12">
              <w:rPr>
                <w:rFonts w:ascii="Aptos Narrow" w:eastAsia="Times New Roman" w:hAnsi="Aptos Narrow" w:cs="Times New Roman"/>
                <w:b/>
                <w:bCs/>
                <w:kern w:val="0"/>
                <w:sz w:val="14"/>
                <w:szCs w:val="14"/>
                <w14:ligatures w14:val="none"/>
              </w:rPr>
              <w:t xml:space="preserve"> et al., 2021a</w:t>
            </w:r>
          </w:p>
        </w:tc>
        <w:tc>
          <w:tcPr>
            <w:tcW w:w="2160" w:type="dxa"/>
            <w:tcBorders>
              <w:top w:val="nil"/>
              <w:left w:val="nil"/>
              <w:bottom w:val="single" w:sz="4" w:space="0" w:color="auto"/>
              <w:right w:val="single" w:sz="4" w:space="0" w:color="auto"/>
            </w:tcBorders>
            <w:shd w:val="clear" w:color="auto" w:fill="auto"/>
            <w:vAlign w:val="bottom"/>
            <w:hideMark/>
          </w:tcPr>
          <w:p w14:paraId="716E8FB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No indication of deviation, but deviations would likely be related to usual practice. </w:t>
            </w:r>
          </w:p>
        </w:tc>
        <w:tc>
          <w:tcPr>
            <w:tcW w:w="1068" w:type="dxa"/>
            <w:tcBorders>
              <w:top w:val="nil"/>
              <w:left w:val="nil"/>
              <w:bottom w:val="single" w:sz="4" w:space="0" w:color="auto"/>
              <w:right w:val="single" w:sz="4" w:space="0" w:color="auto"/>
            </w:tcBorders>
            <w:shd w:val="clear" w:color="auto" w:fill="auto"/>
            <w:vAlign w:val="bottom"/>
            <w:hideMark/>
          </w:tcPr>
          <w:p w14:paraId="398B34A5"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172" w:type="dxa"/>
            <w:tcBorders>
              <w:top w:val="nil"/>
              <w:left w:val="nil"/>
              <w:bottom w:val="single" w:sz="4" w:space="0" w:color="auto"/>
              <w:right w:val="single" w:sz="4" w:space="0" w:color="auto"/>
            </w:tcBorders>
            <w:shd w:val="clear" w:color="auto" w:fill="auto"/>
            <w:vAlign w:val="bottom"/>
            <w:hideMark/>
          </w:tcPr>
          <w:p w14:paraId="2C6F7263"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10% had missing follow-up data and were not included in analysis; no evaluation of how these sites differed from sites with complete data. </w:t>
            </w:r>
          </w:p>
        </w:tc>
        <w:tc>
          <w:tcPr>
            <w:tcW w:w="1148" w:type="dxa"/>
            <w:tcBorders>
              <w:top w:val="nil"/>
              <w:left w:val="nil"/>
              <w:bottom w:val="single" w:sz="4" w:space="0" w:color="auto"/>
              <w:right w:val="single" w:sz="4" w:space="0" w:color="auto"/>
            </w:tcBorders>
            <w:shd w:val="clear" w:color="auto" w:fill="auto"/>
            <w:vAlign w:val="bottom"/>
            <w:hideMark/>
          </w:tcPr>
          <w:p w14:paraId="4A840EA4"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182" w:type="dxa"/>
            <w:tcBorders>
              <w:top w:val="nil"/>
              <w:left w:val="nil"/>
              <w:bottom w:val="single" w:sz="4" w:space="0" w:color="auto"/>
              <w:right w:val="single" w:sz="4" w:space="0" w:color="auto"/>
            </w:tcBorders>
            <w:shd w:val="clear" w:color="auto" w:fill="auto"/>
            <w:vAlign w:val="bottom"/>
            <w:hideMark/>
          </w:tcPr>
          <w:p w14:paraId="473278C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proofErr w:type="gramStart"/>
            <w:r w:rsidRPr="00F86E12">
              <w:rPr>
                <w:rFonts w:ascii="Aptos Narrow" w:eastAsia="Times New Roman" w:hAnsi="Aptos Narrow" w:cs="Times New Roman"/>
                <w:color w:val="000000"/>
                <w:kern w:val="0"/>
                <w:sz w:val="14"/>
                <w:szCs w:val="14"/>
                <w14:ligatures w14:val="none"/>
              </w:rPr>
              <w:t>Outcome</w:t>
            </w:r>
            <w:proofErr w:type="gramEnd"/>
            <w:r w:rsidRPr="00F86E12">
              <w:rPr>
                <w:rFonts w:ascii="Aptos Narrow" w:eastAsia="Times New Roman" w:hAnsi="Aptos Narrow" w:cs="Times New Roman"/>
                <w:color w:val="000000"/>
                <w:kern w:val="0"/>
                <w:sz w:val="14"/>
                <w:szCs w:val="14"/>
                <w14:ligatures w14:val="none"/>
              </w:rPr>
              <w:t xml:space="preserve"> was subjective (clinician-report) and may have been influenced by knowledge of implementation strategy. </w:t>
            </w:r>
          </w:p>
        </w:tc>
        <w:tc>
          <w:tcPr>
            <w:tcW w:w="1068" w:type="dxa"/>
            <w:tcBorders>
              <w:top w:val="nil"/>
              <w:left w:val="nil"/>
              <w:bottom w:val="single" w:sz="4" w:space="0" w:color="auto"/>
              <w:right w:val="single" w:sz="4" w:space="0" w:color="auto"/>
            </w:tcBorders>
            <w:shd w:val="clear" w:color="auto" w:fill="auto"/>
            <w:vAlign w:val="bottom"/>
            <w:hideMark/>
          </w:tcPr>
          <w:p w14:paraId="765043E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768" w:type="dxa"/>
            <w:tcBorders>
              <w:top w:val="nil"/>
              <w:left w:val="nil"/>
              <w:bottom w:val="single" w:sz="4" w:space="0" w:color="auto"/>
              <w:right w:val="single" w:sz="4" w:space="0" w:color="auto"/>
            </w:tcBorders>
            <w:shd w:val="clear" w:color="auto" w:fill="auto"/>
            <w:vAlign w:val="bottom"/>
            <w:hideMark/>
          </w:tcPr>
          <w:p w14:paraId="0049FE6A"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Outcome measures and analyses appear consistent with </w:t>
            </w:r>
            <w:proofErr w:type="gramStart"/>
            <w:r w:rsidRPr="00F86E12">
              <w:rPr>
                <w:rFonts w:ascii="Aptos Narrow" w:eastAsia="Times New Roman" w:hAnsi="Aptos Narrow" w:cs="Times New Roman"/>
                <w:color w:val="000000"/>
                <w:kern w:val="0"/>
                <w:sz w:val="14"/>
                <w:szCs w:val="14"/>
                <w14:ligatures w14:val="none"/>
              </w:rPr>
              <w:t>an a</w:t>
            </w:r>
            <w:proofErr w:type="gramEnd"/>
            <w:r w:rsidRPr="00F86E12">
              <w:rPr>
                <w:rFonts w:ascii="Aptos Narrow" w:eastAsia="Times New Roman" w:hAnsi="Aptos Narrow" w:cs="Times New Roman"/>
                <w:color w:val="000000"/>
                <w:kern w:val="0"/>
                <w:sz w:val="14"/>
                <w:szCs w:val="14"/>
                <w14:ligatures w14:val="none"/>
              </w:rPr>
              <w:t xml:space="preserve"> priori plan; no indication of selection of reported results from multiple analyses or subgroups.</w:t>
            </w:r>
          </w:p>
        </w:tc>
        <w:tc>
          <w:tcPr>
            <w:tcW w:w="828" w:type="dxa"/>
            <w:tcBorders>
              <w:top w:val="nil"/>
              <w:left w:val="nil"/>
              <w:bottom w:val="single" w:sz="4" w:space="0" w:color="auto"/>
              <w:right w:val="single" w:sz="4" w:space="0" w:color="auto"/>
            </w:tcBorders>
            <w:shd w:val="clear" w:color="auto" w:fill="auto"/>
            <w:vAlign w:val="bottom"/>
            <w:hideMark/>
          </w:tcPr>
          <w:p w14:paraId="31B1E7F9"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0B6480F9" w14:textId="77777777" w:rsidTr="00F86E12">
        <w:trPr>
          <w:trHeight w:val="900"/>
        </w:trPr>
        <w:tc>
          <w:tcPr>
            <w:tcW w:w="990" w:type="dxa"/>
            <w:tcBorders>
              <w:top w:val="nil"/>
              <w:left w:val="nil"/>
              <w:bottom w:val="single" w:sz="4" w:space="0" w:color="auto"/>
              <w:right w:val="single" w:sz="4" w:space="0" w:color="auto"/>
            </w:tcBorders>
            <w:shd w:val="clear" w:color="auto" w:fill="auto"/>
            <w:hideMark/>
          </w:tcPr>
          <w:p w14:paraId="22E98EA1"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Okoli et al., 2018</w:t>
            </w:r>
          </w:p>
        </w:tc>
        <w:tc>
          <w:tcPr>
            <w:tcW w:w="2160" w:type="dxa"/>
            <w:tcBorders>
              <w:top w:val="nil"/>
              <w:left w:val="nil"/>
              <w:bottom w:val="single" w:sz="4" w:space="0" w:color="auto"/>
              <w:right w:val="single" w:sz="4" w:space="0" w:color="auto"/>
            </w:tcBorders>
            <w:shd w:val="clear" w:color="auto" w:fill="auto"/>
            <w:vAlign w:val="bottom"/>
            <w:hideMark/>
          </w:tcPr>
          <w:p w14:paraId="75116F22"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No deviations reported; </w:t>
            </w:r>
            <w:proofErr w:type="gramStart"/>
            <w:r w:rsidRPr="00F86E12">
              <w:rPr>
                <w:rFonts w:ascii="Calibri" w:eastAsia="Times New Roman" w:hAnsi="Calibri" w:cs="Calibri"/>
                <w:color w:val="000000"/>
                <w:kern w:val="0"/>
                <w:sz w:val="14"/>
                <w:szCs w:val="14"/>
                <w14:ligatures w14:val="none"/>
              </w:rPr>
              <w:t>if</w:t>
            </w:r>
            <w:proofErr w:type="gramEnd"/>
            <w:r w:rsidRPr="00F86E12">
              <w:rPr>
                <w:rFonts w:ascii="Calibri" w:eastAsia="Times New Roman" w:hAnsi="Calibri" w:cs="Calibri"/>
                <w:color w:val="000000"/>
                <w:kern w:val="0"/>
                <w:sz w:val="14"/>
                <w:szCs w:val="14"/>
                <w14:ligatures w14:val="none"/>
              </w:rPr>
              <w:t xml:space="preserve"> occurred, </w:t>
            </w:r>
            <w:proofErr w:type="gramStart"/>
            <w:r w:rsidRPr="00F86E12">
              <w:rPr>
                <w:rFonts w:ascii="Calibri" w:eastAsia="Times New Roman" w:hAnsi="Calibri" w:cs="Calibri"/>
                <w:color w:val="000000"/>
                <w:kern w:val="0"/>
                <w:sz w:val="14"/>
                <w:szCs w:val="14"/>
                <w14:ligatures w14:val="none"/>
              </w:rPr>
              <w:t>would</w:t>
            </w:r>
            <w:proofErr w:type="gramEnd"/>
            <w:r w:rsidRPr="00F86E12">
              <w:rPr>
                <w:rFonts w:ascii="Calibri" w:eastAsia="Times New Roman" w:hAnsi="Calibri" w:cs="Calibri"/>
                <w:color w:val="000000"/>
                <w:kern w:val="0"/>
                <w:sz w:val="14"/>
                <w:szCs w:val="14"/>
                <w14:ligatures w14:val="none"/>
              </w:rPr>
              <w:t xml:space="preserve"> likely be related to usual practice. </w:t>
            </w:r>
          </w:p>
        </w:tc>
        <w:tc>
          <w:tcPr>
            <w:tcW w:w="1068" w:type="dxa"/>
            <w:tcBorders>
              <w:top w:val="nil"/>
              <w:left w:val="nil"/>
              <w:bottom w:val="single" w:sz="4" w:space="0" w:color="auto"/>
              <w:right w:val="single" w:sz="4" w:space="0" w:color="auto"/>
            </w:tcBorders>
            <w:shd w:val="clear" w:color="auto" w:fill="auto"/>
            <w:vAlign w:val="bottom"/>
            <w:hideMark/>
          </w:tcPr>
          <w:p w14:paraId="38E1517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172" w:type="dxa"/>
            <w:tcBorders>
              <w:top w:val="nil"/>
              <w:left w:val="nil"/>
              <w:bottom w:val="single" w:sz="4" w:space="0" w:color="auto"/>
              <w:right w:val="single" w:sz="4" w:space="0" w:color="auto"/>
            </w:tcBorders>
            <w:shd w:val="clear" w:color="auto" w:fill="auto"/>
            <w:vAlign w:val="bottom"/>
            <w:hideMark/>
          </w:tcPr>
          <w:p w14:paraId="36FFA557"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Data were reasonably complete (6% missing for Ask outcome); missing rate for other outcomes not reported; predictors of missing data were not evaluated. </w:t>
            </w:r>
          </w:p>
        </w:tc>
        <w:tc>
          <w:tcPr>
            <w:tcW w:w="1148" w:type="dxa"/>
            <w:tcBorders>
              <w:top w:val="nil"/>
              <w:left w:val="nil"/>
              <w:bottom w:val="single" w:sz="4" w:space="0" w:color="auto"/>
              <w:right w:val="single" w:sz="4" w:space="0" w:color="auto"/>
            </w:tcBorders>
            <w:shd w:val="clear" w:color="auto" w:fill="auto"/>
            <w:vAlign w:val="bottom"/>
            <w:hideMark/>
          </w:tcPr>
          <w:p w14:paraId="0876C34A"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4F2EA8B3"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Data obtained retrospectively from medical </w:t>
            </w:r>
            <w:proofErr w:type="gramStart"/>
            <w:r w:rsidRPr="00F86E12">
              <w:rPr>
                <w:rFonts w:ascii="Calibri" w:eastAsia="Times New Roman" w:hAnsi="Calibri" w:cs="Calibri"/>
                <w:color w:val="000000"/>
                <w:kern w:val="0"/>
                <w:sz w:val="14"/>
                <w:szCs w:val="14"/>
                <w14:ligatures w14:val="none"/>
              </w:rPr>
              <w:t>record</w:t>
            </w:r>
            <w:proofErr w:type="gramEnd"/>
            <w:r w:rsidRPr="00F86E12">
              <w:rPr>
                <w:rFonts w:ascii="Calibri" w:eastAsia="Times New Roman" w:hAnsi="Calibri" w:cs="Calibri"/>
                <w:color w:val="000000"/>
                <w:kern w:val="0"/>
                <w:sz w:val="14"/>
                <w:szCs w:val="14"/>
                <w14:ligatures w14:val="none"/>
              </w:rPr>
              <w:t xml:space="preserve"> by a hospital coder; unlikely to have been influenced by implementations status. </w:t>
            </w:r>
          </w:p>
        </w:tc>
        <w:tc>
          <w:tcPr>
            <w:tcW w:w="1068" w:type="dxa"/>
            <w:tcBorders>
              <w:top w:val="nil"/>
              <w:left w:val="nil"/>
              <w:bottom w:val="single" w:sz="4" w:space="0" w:color="auto"/>
              <w:right w:val="single" w:sz="4" w:space="0" w:color="auto"/>
            </w:tcBorders>
            <w:shd w:val="clear" w:color="auto" w:fill="auto"/>
            <w:vAlign w:val="bottom"/>
            <w:hideMark/>
          </w:tcPr>
          <w:p w14:paraId="4C0ACB6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768" w:type="dxa"/>
            <w:tcBorders>
              <w:top w:val="nil"/>
              <w:left w:val="nil"/>
              <w:bottom w:val="single" w:sz="4" w:space="0" w:color="auto"/>
              <w:right w:val="single" w:sz="4" w:space="0" w:color="auto"/>
            </w:tcBorders>
            <w:shd w:val="clear" w:color="auto" w:fill="auto"/>
            <w:vAlign w:val="bottom"/>
            <w:hideMark/>
          </w:tcPr>
          <w:p w14:paraId="552AB364" w14:textId="77777777" w:rsidR="00F86E12" w:rsidRPr="00F86E12" w:rsidRDefault="00F86E12" w:rsidP="00F86E12">
            <w:pPr>
              <w:spacing w:line="240" w:lineRule="auto"/>
              <w:rPr>
                <w:rFonts w:ascii="Calibri" w:eastAsia="Times New Roman" w:hAnsi="Calibri" w:cs="Calibri"/>
                <w:i/>
                <w:iCs/>
                <w:color w:val="000000"/>
                <w:kern w:val="0"/>
                <w:sz w:val="14"/>
                <w:szCs w:val="14"/>
                <w14:ligatures w14:val="none"/>
              </w:rPr>
            </w:pPr>
            <w:r w:rsidRPr="00F86E12">
              <w:rPr>
                <w:rFonts w:ascii="Calibri" w:eastAsia="Times New Roman" w:hAnsi="Calibri" w:cs="Calibri"/>
                <w:i/>
                <w:iCs/>
                <w:color w:val="000000"/>
                <w:kern w:val="0"/>
                <w:sz w:val="14"/>
                <w:szCs w:val="14"/>
                <w14:ligatures w14:val="none"/>
              </w:rPr>
              <w:t>A priori</w:t>
            </w:r>
            <w:r w:rsidRPr="00F86E12">
              <w:rPr>
                <w:rFonts w:ascii="Calibri" w:eastAsia="Times New Roman" w:hAnsi="Calibri" w:cs="Calibri"/>
                <w:color w:val="000000"/>
                <w:kern w:val="0"/>
                <w:sz w:val="14"/>
                <w:szCs w:val="14"/>
                <w14:ligatures w14:val="none"/>
              </w:rPr>
              <w:t xml:space="preserve"> plan; no indication of selective reporting. </w:t>
            </w:r>
          </w:p>
        </w:tc>
        <w:tc>
          <w:tcPr>
            <w:tcW w:w="828" w:type="dxa"/>
            <w:tcBorders>
              <w:top w:val="nil"/>
              <w:left w:val="nil"/>
              <w:bottom w:val="single" w:sz="4" w:space="0" w:color="auto"/>
              <w:right w:val="single" w:sz="4" w:space="0" w:color="auto"/>
            </w:tcBorders>
            <w:shd w:val="clear" w:color="auto" w:fill="auto"/>
            <w:vAlign w:val="bottom"/>
            <w:hideMark/>
          </w:tcPr>
          <w:p w14:paraId="6230F644"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r>
      <w:tr w:rsidR="00F86E12" w:rsidRPr="00F86E12" w14:paraId="32F974DA" w14:textId="77777777" w:rsidTr="00F86E12">
        <w:trPr>
          <w:trHeight w:val="1620"/>
        </w:trPr>
        <w:tc>
          <w:tcPr>
            <w:tcW w:w="990" w:type="dxa"/>
            <w:tcBorders>
              <w:top w:val="nil"/>
              <w:left w:val="nil"/>
              <w:bottom w:val="single" w:sz="4" w:space="0" w:color="auto"/>
              <w:right w:val="single" w:sz="4" w:space="0" w:color="auto"/>
            </w:tcBorders>
            <w:shd w:val="clear" w:color="auto" w:fill="auto"/>
            <w:hideMark/>
          </w:tcPr>
          <w:p w14:paraId="29B48402"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lastRenderedPageBreak/>
              <w:t>Parker et al., 2012</w:t>
            </w:r>
          </w:p>
        </w:tc>
        <w:tc>
          <w:tcPr>
            <w:tcW w:w="2160" w:type="dxa"/>
            <w:tcBorders>
              <w:top w:val="nil"/>
              <w:left w:val="nil"/>
              <w:bottom w:val="single" w:sz="4" w:space="0" w:color="auto"/>
              <w:right w:val="single" w:sz="4" w:space="0" w:color="auto"/>
            </w:tcBorders>
            <w:shd w:val="clear" w:color="auto" w:fill="auto"/>
            <w:vAlign w:val="bottom"/>
            <w:hideMark/>
          </w:tcPr>
          <w:p w14:paraId="0D39195F"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Deviations </w:t>
            </w:r>
            <w:proofErr w:type="gramStart"/>
            <w:r w:rsidRPr="00F86E12">
              <w:rPr>
                <w:rFonts w:ascii="Aptos Narrow" w:eastAsia="Times New Roman" w:hAnsi="Aptos Narrow" w:cs="Times New Roman"/>
                <w:color w:val="000000"/>
                <w:kern w:val="0"/>
                <w:sz w:val="14"/>
                <w:szCs w:val="14"/>
                <w14:ligatures w14:val="none"/>
              </w:rPr>
              <w:t>not</w:t>
            </w:r>
            <w:proofErr w:type="gramEnd"/>
            <w:r w:rsidRPr="00F86E12">
              <w:rPr>
                <w:rFonts w:ascii="Aptos Narrow" w:eastAsia="Times New Roman" w:hAnsi="Aptos Narrow" w:cs="Times New Roman"/>
                <w:color w:val="000000"/>
                <w:kern w:val="0"/>
                <w:sz w:val="14"/>
                <w:szCs w:val="14"/>
                <w14:ligatures w14:val="none"/>
              </w:rPr>
              <w:t xml:space="preserve"> reported, but </w:t>
            </w:r>
            <w:proofErr w:type="gramStart"/>
            <w:r w:rsidRPr="00F86E12">
              <w:rPr>
                <w:rFonts w:ascii="Aptos Narrow" w:eastAsia="Times New Roman" w:hAnsi="Aptos Narrow" w:cs="Times New Roman"/>
                <w:color w:val="000000"/>
                <w:kern w:val="0"/>
                <w:sz w:val="14"/>
                <w:szCs w:val="14"/>
                <w14:ligatures w14:val="none"/>
              </w:rPr>
              <w:t>likely</w:t>
            </w:r>
            <w:proofErr w:type="gramEnd"/>
            <w:r w:rsidRPr="00F86E12">
              <w:rPr>
                <w:rFonts w:ascii="Aptos Narrow" w:eastAsia="Times New Roman" w:hAnsi="Aptos Narrow" w:cs="Times New Roman"/>
                <w:color w:val="000000"/>
                <w:kern w:val="0"/>
                <w:sz w:val="14"/>
                <w:szCs w:val="14"/>
                <w14:ligatures w14:val="none"/>
              </w:rPr>
              <w:t xml:space="preserve"> to be related to usual practice. </w:t>
            </w:r>
          </w:p>
        </w:tc>
        <w:tc>
          <w:tcPr>
            <w:tcW w:w="1068" w:type="dxa"/>
            <w:tcBorders>
              <w:top w:val="nil"/>
              <w:left w:val="nil"/>
              <w:bottom w:val="single" w:sz="4" w:space="0" w:color="auto"/>
              <w:right w:val="single" w:sz="4" w:space="0" w:color="auto"/>
            </w:tcBorders>
            <w:shd w:val="clear" w:color="auto" w:fill="auto"/>
            <w:vAlign w:val="bottom"/>
            <w:hideMark/>
          </w:tcPr>
          <w:p w14:paraId="628F006A"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230FD779"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Data was reasonably complete. </w:t>
            </w:r>
          </w:p>
        </w:tc>
        <w:tc>
          <w:tcPr>
            <w:tcW w:w="1148" w:type="dxa"/>
            <w:tcBorders>
              <w:top w:val="nil"/>
              <w:left w:val="nil"/>
              <w:bottom w:val="single" w:sz="4" w:space="0" w:color="auto"/>
              <w:right w:val="single" w:sz="4" w:space="0" w:color="auto"/>
            </w:tcBorders>
            <w:shd w:val="clear" w:color="auto" w:fill="auto"/>
            <w:vAlign w:val="bottom"/>
            <w:hideMark/>
          </w:tcPr>
          <w:p w14:paraId="31CA053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2E35E02D"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NRT data obtained from medical </w:t>
            </w:r>
            <w:proofErr w:type="gramStart"/>
            <w:r w:rsidRPr="00F86E12">
              <w:rPr>
                <w:rFonts w:ascii="Aptos Narrow" w:eastAsia="Times New Roman" w:hAnsi="Aptos Narrow" w:cs="Times New Roman"/>
                <w:color w:val="000000"/>
                <w:kern w:val="0"/>
                <w:sz w:val="14"/>
                <w:szCs w:val="14"/>
                <w14:ligatures w14:val="none"/>
              </w:rPr>
              <w:t>record</w:t>
            </w:r>
            <w:proofErr w:type="gramEnd"/>
            <w:r w:rsidRPr="00F86E12">
              <w:rPr>
                <w:rFonts w:ascii="Aptos Narrow" w:eastAsia="Times New Roman" w:hAnsi="Aptos Narrow" w:cs="Times New Roman"/>
                <w:color w:val="000000"/>
                <w:kern w:val="0"/>
                <w:sz w:val="14"/>
                <w:szCs w:val="14"/>
                <w14:ligatures w14:val="none"/>
              </w:rPr>
              <w:t xml:space="preserve"> and abstinence confirmed by carbon monoxide readings. </w:t>
            </w:r>
            <w:proofErr w:type="gramStart"/>
            <w:r w:rsidRPr="00F86E12">
              <w:rPr>
                <w:rFonts w:ascii="Aptos Narrow" w:eastAsia="Times New Roman" w:hAnsi="Aptos Narrow" w:cs="Times New Roman"/>
                <w:color w:val="000000"/>
                <w:kern w:val="0"/>
                <w:sz w:val="14"/>
                <w:szCs w:val="14"/>
                <w14:ligatures w14:val="none"/>
              </w:rPr>
              <w:t>Unclear</w:t>
            </w:r>
            <w:proofErr w:type="gramEnd"/>
            <w:r w:rsidRPr="00F86E12">
              <w:rPr>
                <w:rFonts w:ascii="Aptos Narrow" w:eastAsia="Times New Roman" w:hAnsi="Aptos Narrow" w:cs="Times New Roman"/>
                <w:color w:val="000000"/>
                <w:kern w:val="0"/>
                <w:sz w:val="14"/>
                <w:szCs w:val="14"/>
                <w14:ligatures w14:val="none"/>
              </w:rPr>
              <w:t xml:space="preserve"> how smoking reduction was reported.</w:t>
            </w:r>
          </w:p>
        </w:tc>
        <w:tc>
          <w:tcPr>
            <w:tcW w:w="1068" w:type="dxa"/>
            <w:tcBorders>
              <w:top w:val="nil"/>
              <w:left w:val="nil"/>
              <w:bottom w:val="single" w:sz="4" w:space="0" w:color="auto"/>
              <w:right w:val="single" w:sz="4" w:space="0" w:color="auto"/>
            </w:tcBorders>
            <w:shd w:val="clear" w:color="auto" w:fill="auto"/>
            <w:vAlign w:val="bottom"/>
            <w:hideMark/>
          </w:tcPr>
          <w:p w14:paraId="63E5DABD"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c>
          <w:tcPr>
            <w:tcW w:w="2768" w:type="dxa"/>
            <w:tcBorders>
              <w:top w:val="nil"/>
              <w:left w:val="nil"/>
              <w:bottom w:val="single" w:sz="4" w:space="0" w:color="auto"/>
              <w:right w:val="single" w:sz="4" w:space="0" w:color="auto"/>
            </w:tcBorders>
            <w:shd w:val="clear" w:color="auto" w:fill="auto"/>
            <w:vAlign w:val="bottom"/>
            <w:hideMark/>
          </w:tcPr>
          <w:p w14:paraId="04056DF0" w14:textId="77777777" w:rsidR="00F86E12" w:rsidRPr="00F86E12" w:rsidRDefault="00F86E12" w:rsidP="00F86E12">
            <w:pPr>
              <w:spacing w:line="240" w:lineRule="auto"/>
              <w:rPr>
                <w:rFonts w:ascii="Calibri" w:eastAsia="Times New Roman" w:hAnsi="Calibri" w:cs="Calibri"/>
                <w:color w:val="000000"/>
                <w:kern w:val="0"/>
                <w:sz w:val="14"/>
                <w:szCs w:val="14"/>
                <w14:ligatures w14:val="none"/>
              </w:rPr>
            </w:pPr>
            <w:r w:rsidRPr="00F86E12">
              <w:rPr>
                <w:rFonts w:ascii="Calibri" w:eastAsia="Times New Roman" w:hAnsi="Calibri" w:cs="Calibri"/>
                <w:color w:val="000000"/>
                <w:kern w:val="0"/>
                <w:sz w:val="14"/>
                <w:szCs w:val="14"/>
                <w14:ligatures w14:val="none"/>
              </w:rPr>
              <w:t xml:space="preserve">Main outcomes not pre-specified; </w:t>
            </w:r>
            <w:proofErr w:type="gramStart"/>
            <w:r w:rsidRPr="00F86E12">
              <w:rPr>
                <w:rFonts w:ascii="Calibri" w:eastAsia="Times New Roman" w:hAnsi="Calibri" w:cs="Calibri"/>
                <w:color w:val="000000"/>
                <w:kern w:val="0"/>
                <w:sz w:val="14"/>
                <w:szCs w:val="14"/>
                <w14:ligatures w14:val="none"/>
              </w:rPr>
              <w:t>no a</w:t>
            </w:r>
            <w:proofErr w:type="gramEnd"/>
            <w:r w:rsidRPr="00F86E12">
              <w:rPr>
                <w:rFonts w:ascii="Calibri" w:eastAsia="Times New Roman" w:hAnsi="Calibri" w:cs="Calibri"/>
                <w:color w:val="000000"/>
                <w:kern w:val="0"/>
                <w:sz w:val="14"/>
                <w:szCs w:val="14"/>
                <w14:ligatures w14:val="none"/>
              </w:rPr>
              <w:t xml:space="preserve"> priori data analysis plan. “The aim of this pragmatic pilot project was to develop and implement a tailored tobacco dependence service in mental health settings and to assess its impact, as well as barriers and facilitators to implementation.” </w:t>
            </w:r>
          </w:p>
        </w:tc>
        <w:tc>
          <w:tcPr>
            <w:tcW w:w="828" w:type="dxa"/>
            <w:tcBorders>
              <w:top w:val="nil"/>
              <w:left w:val="nil"/>
              <w:bottom w:val="single" w:sz="4" w:space="0" w:color="auto"/>
              <w:right w:val="single" w:sz="4" w:space="0" w:color="auto"/>
            </w:tcBorders>
            <w:shd w:val="clear" w:color="auto" w:fill="auto"/>
            <w:vAlign w:val="bottom"/>
            <w:hideMark/>
          </w:tcPr>
          <w:p w14:paraId="5F574B8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1D89ED54" w14:textId="77777777" w:rsidTr="00F86E12">
        <w:trPr>
          <w:trHeight w:val="1260"/>
        </w:trPr>
        <w:tc>
          <w:tcPr>
            <w:tcW w:w="990" w:type="dxa"/>
            <w:tcBorders>
              <w:top w:val="nil"/>
              <w:left w:val="nil"/>
              <w:bottom w:val="single" w:sz="4" w:space="0" w:color="auto"/>
              <w:right w:val="single" w:sz="4" w:space="0" w:color="auto"/>
            </w:tcBorders>
            <w:shd w:val="clear" w:color="auto" w:fill="auto"/>
            <w:hideMark/>
          </w:tcPr>
          <w:p w14:paraId="27049DDF"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Scharf et al., 2011</w:t>
            </w:r>
          </w:p>
        </w:tc>
        <w:tc>
          <w:tcPr>
            <w:tcW w:w="2160" w:type="dxa"/>
            <w:tcBorders>
              <w:top w:val="nil"/>
              <w:left w:val="nil"/>
              <w:bottom w:val="single" w:sz="4" w:space="0" w:color="auto"/>
              <w:right w:val="single" w:sz="4" w:space="0" w:color="auto"/>
            </w:tcBorders>
            <w:shd w:val="clear" w:color="auto" w:fill="auto"/>
            <w:vAlign w:val="bottom"/>
            <w:hideMark/>
          </w:tcPr>
          <w:p w14:paraId="77294335"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No deviations reported; deviations likely to reflect usual practice and not impact outcome. </w:t>
            </w:r>
          </w:p>
        </w:tc>
        <w:tc>
          <w:tcPr>
            <w:tcW w:w="1068" w:type="dxa"/>
            <w:tcBorders>
              <w:top w:val="nil"/>
              <w:left w:val="nil"/>
              <w:bottom w:val="single" w:sz="4" w:space="0" w:color="auto"/>
              <w:right w:val="single" w:sz="4" w:space="0" w:color="auto"/>
            </w:tcBorders>
            <w:shd w:val="clear" w:color="auto" w:fill="auto"/>
            <w:vAlign w:val="bottom"/>
            <w:hideMark/>
          </w:tcPr>
          <w:p w14:paraId="0504483C"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1053E291"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Data </w:t>
            </w:r>
            <w:proofErr w:type="gramStart"/>
            <w:r w:rsidRPr="00F86E12">
              <w:rPr>
                <w:rFonts w:ascii="Aptos Narrow" w:eastAsia="Times New Roman" w:hAnsi="Aptos Narrow" w:cs="Times New Roman"/>
                <w:color w:val="000000"/>
                <w:kern w:val="0"/>
                <w:sz w:val="14"/>
                <w:szCs w:val="14"/>
                <w14:ligatures w14:val="none"/>
              </w:rPr>
              <w:t>reasonably</w:t>
            </w:r>
            <w:proofErr w:type="gramEnd"/>
            <w:r w:rsidRPr="00F86E12">
              <w:rPr>
                <w:rFonts w:ascii="Aptos Narrow" w:eastAsia="Times New Roman" w:hAnsi="Aptos Narrow" w:cs="Times New Roman"/>
                <w:color w:val="000000"/>
                <w:kern w:val="0"/>
                <w:sz w:val="14"/>
                <w:szCs w:val="14"/>
                <w14:ligatures w14:val="none"/>
              </w:rPr>
              <w:t xml:space="preserve"> complete. </w:t>
            </w:r>
          </w:p>
        </w:tc>
        <w:tc>
          <w:tcPr>
            <w:tcW w:w="1148" w:type="dxa"/>
            <w:tcBorders>
              <w:top w:val="nil"/>
              <w:left w:val="nil"/>
              <w:bottom w:val="single" w:sz="4" w:space="0" w:color="auto"/>
              <w:right w:val="single" w:sz="4" w:space="0" w:color="auto"/>
            </w:tcBorders>
            <w:shd w:val="clear" w:color="auto" w:fill="auto"/>
            <w:vAlign w:val="bottom"/>
            <w:hideMark/>
          </w:tcPr>
          <w:p w14:paraId="7D27941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72681D46"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Retrospective chart review, so unlikely to have been influenced by knowledge of implementation status; any outcome measurement error not likely due to implementation status; outcome assessment method comparable over time and across units. </w:t>
            </w:r>
          </w:p>
        </w:tc>
        <w:tc>
          <w:tcPr>
            <w:tcW w:w="1068" w:type="dxa"/>
            <w:tcBorders>
              <w:top w:val="nil"/>
              <w:left w:val="nil"/>
              <w:bottom w:val="single" w:sz="4" w:space="0" w:color="auto"/>
              <w:right w:val="single" w:sz="4" w:space="0" w:color="auto"/>
            </w:tcBorders>
            <w:shd w:val="clear" w:color="auto" w:fill="auto"/>
            <w:vAlign w:val="bottom"/>
            <w:hideMark/>
          </w:tcPr>
          <w:p w14:paraId="1F38033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768" w:type="dxa"/>
            <w:tcBorders>
              <w:top w:val="nil"/>
              <w:left w:val="nil"/>
              <w:bottom w:val="single" w:sz="4" w:space="0" w:color="auto"/>
              <w:right w:val="single" w:sz="4" w:space="0" w:color="auto"/>
            </w:tcBorders>
            <w:shd w:val="clear" w:color="auto" w:fill="auto"/>
            <w:vAlign w:val="bottom"/>
            <w:hideMark/>
          </w:tcPr>
          <w:p w14:paraId="42DF0C8C"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No a priori data analysis plan, but all hypotheses addressed; no indication of selection of reported </w:t>
            </w:r>
            <w:proofErr w:type="gramStart"/>
            <w:r w:rsidRPr="00F86E12">
              <w:rPr>
                <w:rFonts w:ascii="Aptos Narrow" w:eastAsia="Times New Roman" w:hAnsi="Aptos Narrow" w:cs="Times New Roman"/>
                <w:color w:val="000000"/>
                <w:kern w:val="0"/>
                <w:sz w:val="14"/>
                <w:szCs w:val="14"/>
                <w14:ligatures w14:val="none"/>
              </w:rPr>
              <w:t>result</w:t>
            </w:r>
            <w:proofErr w:type="gramEnd"/>
            <w:r w:rsidRPr="00F86E12">
              <w:rPr>
                <w:rFonts w:ascii="Aptos Narrow" w:eastAsia="Times New Roman" w:hAnsi="Aptos Narrow" w:cs="Times New Roman"/>
                <w:color w:val="000000"/>
                <w:kern w:val="0"/>
                <w:sz w:val="14"/>
                <w:szCs w:val="14"/>
                <w14:ligatures w14:val="none"/>
              </w:rPr>
              <w:t xml:space="preserve"> from multiple analyses or subgroups. </w:t>
            </w:r>
          </w:p>
        </w:tc>
        <w:tc>
          <w:tcPr>
            <w:tcW w:w="828" w:type="dxa"/>
            <w:tcBorders>
              <w:top w:val="nil"/>
              <w:left w:val="nil"/>
              <w:bottom w:val="single" w:sz="4" w:space="0" w:color="auto"/>
              <w:right w:val="single" w:sz="4" w:space="0" w:color="auto"/>
            </w:tcBorders>
            <w:shd w:val="clear" w:color="auto" w:fill="auto"/>
            <w:vAlign w:val="bottom"/>
            <w:hideMark/>
          </w:tcPr>
          <w:p w14:paraId="01F134F9"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r>
      <w:tr w:rsidR="00F86E12" w:rsidRPr="00F86E12" w14:paraId="3EE86B21" w14:textId="77777777" w:rsidTr="00F86E12">
        <w:trPr>
          <w:trHeight w:val="1260"/>
        </w:trPr>
        <w:tc>
          <w:tcPr>
            <w:tcW w:w="990" w:type="dxa"/>
            <w:tcBorders>
              <w:top w:val="nil"/>
              <w:left w:val="nil"/>
              <w:bottom w:val="single" w:sz="4" w:space="0" w:color="auto"/>
              <w:right w:val="single" w:sz="4" w:space="0" w:color="auto"/>
            </w:tcBorders>
            <w:shd w:val="clear" w:color="auto" w:fill="auto"/>
            <w:hideMark/>
          </w:tcPr>
          <w:p w14:paraId="4F628430"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Scheeres et al., 2020</w:t>
            </w:r>
          </w:p>
        </w:tc>
        <w:tc>
          <w:tcPr>
            <w:tcW w:w="2160" w:type="dxa"/>
            <w:tcBorders>
              <w:top w:val="nil"/>
              <w:left w:val="nil"/>
              <w:bottom w:val="single" w:sz="4" w:space="0" w:color="auto"/>
              <w:right w:val="single" w:sz="4" w:space="0" w:color="auto"/>
            </w:tcBorders>
            <w:shd w:val="clear" w:color="auto" w:fill="auto"/>
            <w:vAlign w:val="bottom"/>
            <w:hideMark/>
          </w:tcPr>
          <w:p w14:paraId="1175F9A9"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No indication of deviation; deviations likely to reflect usual practice and unlikely to influence outcome. </w:t>
            </w:r>
          </w:p>
        </w:tc>
        <w:tc>
          <w:tcPr>
            <w:tcW w:w="1068" w:type="dxa"/>
            <w:tcBorders>
              <w:top w:val="nil"/>
              <w:left w:val="nil"/>
              <w:bottom w:val="single" w:sz="4" w:space="0" w:color="auto"/>
              <w:right w:val="single" w:sz="4" w:space="0" w:color="auto"/>
            </w:tcBorders>
            <w:shd w:val="clear" w:color="auto" w:fill="auto"/>
            <w:vAlign w:val="bottom"/>
            <w:hideMark/>
          </w:tcPr>
          <w:p w14:paraId="75F78229"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334960D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Data </w:t>
            </w:r>
            <w:proofErr w:type="gramStart"/>
            <w:r w:rsidRPr="00F86E12">
              <w:rPr>
                <w:rFonts w:ascii="Aptos Narrow" w:eastAsia="Times New Roman" w:hAnsi="Aptos Narrow" w:cs="Times New Roman"/>
                <w:color w:val="000000"/>
                <w:kern w:val="0"/>
                <w:sz w:val="14"/>
                <w:szCs w:val="14"/>
                <w14:ligatures w14:val="none"/>
              </w:rPr>
              <w:t>were</w:t>
            </w:r>
            <w:proofErr w:type="gramEnd"/>
            <w:r w:rsidRPr="00F86E12">
              <w:rPr>
                <w:rFonts w:ascii="Aptos Narrow" w:eastAsia="Times New Roman" w:hAnsi="Aptos Narrow" w:cs="Times New Roman"/>
                <w:color w:val="000000"/>
                <w:kern w:val="0"/>
                <w:sz w:val="14"/>
                <w:szCs w:val="14"/>
                <w14:ligatures w14:val="none"/>
              </w:rPr>
              <w:t xml:space="preserve"> reasonably complete.  </w:t>
            </w:r>
          </w:p>
        </w:tc>
        <w:tc>
          <w:tcPr>
            <w:tcW w:w="1148" w:type="dxa"/>
            <w:tcBorders>
              <w:top w:val="nil"/>
              <w:left w:val="nil"/>
              <w:bottom w:val="single" w:sz="4" w:space="0" w:color="auto"/>
              <w:right w:val="single" w:sz="4" w:space="0" w:color="auto"/>
            </w:tcBorders>
            <w:shd w:val="clear" w:color="auto" w:fill="auto"/>
            <w:vAlign w:val="bottom"/>
            <w:hideMark/>
          </w:tcPr>
          <w:p w14:paraId="211430EE"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1EA5EFB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Retrospective administrative data </w:t>
            </w:r>
            <w:proofErr w:type="gramStart"/>
            <w:r w:rsidRPr="00F86E12">
              <w:rPr>
                <w:rFonts w:ascii="Aptos Narrow" w:eastAsia="Times New Roman" w:hAnsi="Aptos Narrow" w:cs="Times New Roman"/>
                <w:color w:val="000000"/>
                <w:kern w:val="0"/>
                <w:sz w:val="14"/>
                <w:szCs w:val="14"/>
                <w14:ligatures w14:val="none"/>
              </w:rPr>
              <w:t>review;</w:t>
            </w:r>
            <w:proofErr w:type="gramEnd"/>
            <w:r w:rsidRPr="00F86E12">
              <w:rPr>
                <w:rFonts w:ascii="Aptos Narrow" w:eastAsia="Times New Roman" w:hAnsi="Aptos Narrow" w:cs="Times New Roman"/>
                <w:color w:val="000000"/>
                <w:kern w:val="0"/>
                <w:sz w:val="14"/>
                <w:szCs w:val="14"/>
                <w14:ligatures w14:val="none"/>
              </w:rPr>
              <w:t xml:space="preserve"> outcome assessment was comparable over time and unlikely to have been influenced by knowledge of implementation status; and any outcome measurement error is unlikely to be related to implementation status.</w:t>
            </w:r>
          </w:p>
        </w:tc>
        <w:tc>
          <w:tcPr>
            <w:tcW w:w="1068" w:type="dxa"/>
            <w:tcBorders>
              <w:top w:val="nil"/>
              <w:left w:val="nil"/>
              <w:bottom w:val="single" w:sz="4" w:space="0" w:color="auto"/>
              <w:right w:val="single" w:sz="4" w:space="0" w:color="auto"/>
            </w:tcBorders>
            <w:shd w:val="clear" w:color="auto" w:fill="auto"/>
            <w:vAlign w:val="bottom"/>
            <w:hideMark/>
          </w:tcPr>
          <w:p w14:paraId="5EEAA788"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768" w:type="dxa"/>
            <w:tcBorders>
              <w:top w:val="nil"/>
              <w:left w:val="nil"/>
              <w:bottom w:val="single" w:sz="4" w:space="0" w:color="auto"/>
              <w:right w:val="single" w:sz="4" w:space="0" w:color="auto"/>
            </w:tcBorders>
            <w:shd w:val="clear" w:color="auto" w:fill="auto"/>
            <w:vAlign w:val="bottom"/>
            <w:hideMark/>
          </w:tcPr>
          <w:p w14:paraId="6B29FB00"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No a priori data analysis plan; no indication of selection of reported results from multiple analyses or by subgroup </w:t>
            </w:r>
          </w:p>
        </w:tc>
        <w:tc>
          <w:tcPr>
            <w:tcW w:w="828" w:type="dxa"/>
            <w:tcBorders>
              <w:top w:val="nil"/>
              <w:left w:val="nil"/>
              <w:bottom w:val="single" w:sz="4" w:space="0" w:color="auto"/>
              <w:right w:val="single" w:sz="4" w:space="0" w:color="auto"/>
            </w:tcBorders>
            <w:shd w:val="clear" w:color="auto" w:fill="auto"/>
            <w:vAlign w:val="bottom"/>
            <w:hideMark/>
          </w:tcPr>
          <w:p w14:paraId="448F0CBC"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Serious</w:t>
            </w:r>
          </w:p>
        </w:tc>
      </w:tr>
      <w:tr w:rsidR="00F86E12" w:rsidRPr="00F86E12" w14:paraId="340429DA" w14:textId="77777777" w:rsidTr="00F86E12">
        <w:trPr>
          <w:trHeight w:val="1080"/>
        </w:trPr>
        <w:tc>
          <w:tcPr>
            <w:tcW w:w="990" w:type="dxa"/>
            <w:tcBorders>
              <w:top w:val="nil"/>
              <w:left w:val="nil"/>
              <w:bottom w:val="single" w:sz="4" w:space="0" w:color="auto"/>
              <w:right w:val="single" w:sz="4" w:space="0" w:color="auto"/>
            </w:tcBorders>
            <w:shd w:val="clear" w:color="auto" w:fill="auto"/>
            <w:hideMark/>
          </w:tcPr>
          <w:p w14:paraId="75629ADD" w14:textId="77777777" w:rsidR="00F86E12" w:rsidRPr="00F86E12" w:rsidRDefault="00F86E12" w:rsidP="00F86E12">
            <w:pPr>
              <w:spacing w:line="240" w:lineRule="auto"/>
              <w:rPr>
                <w:rFonts w:ascii="Aptos Narrow" w:eastAsia="Times New Roman" w:hAnsi="Aptos Narrow" w:cs="Times New Roman"/>
                <w:b/>
                <w:bCs/>
                <w:kern w:val="0"/>
                <w:sz w:val="14"/>
                <w:szCs w:val="14"/>
                <w14:ligatures w14:val="none"/>
              </w:rPr>
            </w:pPr>
            <w:r w:rsidRPr="00F86E12">
              <w:rPr>
                <w:rFonts w:ascii="Aptos Narrow" w:eastAsia="Times New Roman" w:hAnsi="Aptos Narrow" w:cs="Times New Roman"/>
                <w:b/>
                <w:bCs/>
                <w:kern w:val="0"/>
                <w:sz w:val="14"/>
                <w:szCs w:val="14"/>
                <w14:ligatures w14:val="none"/>
              </w:rPr>
              <w:t>Wye et al., 2017</w:t>
            </w:r>
          </w:p>
        </w:tc>
        <w:tc>
          <w:tcPr>
            <w:tcW w:w="2160" w:type="dxa"/>
            <w:tcBorders>
              <w:top w:val="nil"/>
              <w:left w:val="nil"/>
              <w:bottom w:val="single" w:sz="4" w:space="0" w:color="auto"/>
              <w:right w:val="single" w:sz="4" w:space="0" w:color="auto"/>
            </w:tcBorders>
            <w:shd w:val="clear" w:color="auto" w:fill="auto"/>
            <w:vAlign w:val="bottom"/>
            <w:hideMark/>
          </w:tcPr>
          <w:p w14:paraId="62DC143B"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No deviations reported; any deviations likely related to usual practice and unlikely to impact outcome. </w:t>
            </w:r>
          </w:p>
        </w:tc>
        <w:tc>
          <w:tcPr>
            <w:tcW w:w="1068" w:type="dxa"/>
            <w:tcBorders>
              <w:top w:val="nil"/>
              <w:left w:val="nil"/>
              <w:bottom w:val="single" w:sz="4" w:space="0" w:color="auto"/>
              <w:right w:val="single" w:sz="4" w:space="0" w:color="auto"/>
            </w:tcBorders>
            <w:shd w:val="clear" w:color="auto" w:fill="auto"/>
            <w:vAlign w:val="bottom"/>
            <w:hideMark/>
          </w:tcPr>
          <w:p w14:paraId="300116B1"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72" w:type="dxa"/>
            <w:tcBorders>
              <w:top w:val="nil"/>
              <w:left w:val="nil"/>
              <w:bottom w:val="single" w:sz="4" w:space="0" w:color="auto"/>
              <w:right w:val="single" w:sz="4" w:space="0" w:color="auto"/>
            </w:tcBorders>
            <w:shd w:val="clear" w:color="auto" w:fill="auto"/>
            <w:vAlign w:val="bottom"/>
            <w:hideMark/>
          </w:tcPr>
          <w:p w14:paraId="34D0566C"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Data was reasonably complete. </w:t>
            </w:r>
          </w:p>
        </w:tc>
        <w:tc>
          <w:tcPr>
            <w:tcW w:w="1148" w:type="dxa"/>
            <w:tcBorders>
              <w:top w:val="nil"/>
              <w:left w:val="nil"/>
              <w:bottom w:val="single" w:sz="4" w:space="0" w:color="auto"/>
              <w:right w:val="single" w:sz="4" w:space="0" w:color="auto"/>
            </w:tcBorders>
            <w:shd w:val="clear" w:color="auto" w:fill="auto"/>
            <w:vAlign w:val="bottom"/>
            <w:hideMark/>
          </w:tcPr>
          <w:p w14:paraId="37904A12"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Low</w:t>
            </w:r>
          </w:p>
        </w:tc>
        <w:tc>
          <w:tcPr>
            <w:tcW w:w="2182" w:type="dxa"/>
            <w:tcBorders>
              <w:top w:val="nil"/>
              <w:left w:val="nil"/>
              <w:bottom w:val="single" w:sz="4" w:space="0" w:color="auto"/>
              <w:right w:val="single" w:sz="4" w:space="0" w:color="auto"/>
            </w:tcBorders>
            <w:shd w:val="clear" w:color="auto" w:fill="auto"/>
            <w:vAlign w:val="bottom"/>
            <w:hideMark/>
          </w:tcPr>
          <w:p w14:paraId="35767067"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xml:space="preserve">Retrospective chart review; outcome assessment comparable over time and unlikely to be influenced by knowledge of implementation status; any outcome error unlikely to be related to implementation status. </w:t>
            </w:r>
          </w:p>
        </w:tc>
        <w:tc>
          <w:tcPr>
            <w:tcW w:w="1068" w:type="dxa"/>
            <w:tcBorders>
              <w:top w:val="nil"/>
              <w:left w:val="nil"/>
              <w:bottom w:val="single" w:sz="4" w:space="0" w:color="auto"/>
              <w:right w:val="single" w:sz="4" w:space="0" w:color="auto"/>
            </w:tcBorders>
            <w:shd w:val="clear" w:color="auto" w:fill="auto"/>
            <w:vAlign w:val="bottom"/>
            <w:hideMark/>
          </w:tcPr>
          <w:p w14:paraId="1BC2ED6C"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Moderate</w:t>
            </w:r>
          </w:p>
        </w:tc>
        <w:tc>
          <w:tcPr>
            <w:tcW w:w="2768" w:type="dxa"/>
            <w:tcBorders>
              <w:top w:val="nil"/>
              <w:left w:val="nil"/>
              <w:bottom w:val="single" w:sz="4" w:space="0" w:color="auto"/>
              <w:right w:val="single" w:sz="4" w:space="0" w:color="auto"/>
            </w:tcBorders>
            <w:shd w:val="clear" w:color="auto" w:fill="auto"/>
            <w:vAlign w:val="bottom"/>
            <w:hideMark/>
          </w:tcPr>
          <w:p w14:paraId="201AFF16" w14:textId="77777777"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proofErr w:type="gramStart"/>
            <w:r w:rsidRPr="00F86E12">
              <w:rPr>
                <w:rFonts w:ascii="Aptos Narrow" w:eastAsia="Times New Roman" w:hAnsi="Aptos Narrow" w:cs="Times New Roman"/>
                <w:color w:val="000000"/>
                <w:kern w:val="0"/>
                <w:sz w:val="14"/>
                <w:szCs w:val="14"/>
                <w14:ligatures w14:val="none"/>
              </w:rPr>
              <w:t>No a</w:t>
            </w:r>
            <w:proofErr w:type="gramEnd"/>
            <w:r w:rsidRPr="00F86E12">
              <w:rPr>
                <w:rFonts w:ascii="Aptos Narrow" w:eastAsia="Times New Roman" w:hAnsi="Aptos Narrow" w:cs="Times New Roman"/>
                <w:color w:val="000000"/>
                <w:kern w:val="0"/>
                <w:sz w:val="14"/>
                <w:szCs w:val="14"/>
                <w14:ligatures w14:val="none"/>
              </w:rPr>
              <w:t xml:space="preserve"> priori data analysis plan, but analyses are clearly described; no indication of selection of results from multiple analyses or subgroups. </w:t>
            </w:r>
          </w:p>
        </w:tc>
        <w:tc>
          <w:tcPr>
            <w:tcW w:w="828" w:type="dxa"/>
            <w:tcBorders>
              <w:top w:val="nil"/>
              <w:left w:val="nil"/>
              <w:bottom w:val="single" w:sz="4" w:space="0" w:color="auto"/>
              <w:right w:val="single" w:sz="4" w:space="0" w:color="auto"/>
            </w:tcBorders>
            <w:shd w:val="clear" w:color="auto" w:fill="auto"/>
            <w:vAlign w:val="bottom"/>
            <w:hideMark/>
          </w:tcPr>
          <w:p w14:paraId="46B8A0F8" w14:textId="47FFA6D0" w:rsidR="00F86E12" w:rsidRPr="00F86E12" w:rsidRDefault="00F86E12" w:rsidP="00F86E12">
            <w:pPr>
              <w:spacing w:line="240" w:lineRule="auto"/>
              <w:rPr>
                <w:rFonts w:ascii="Aptos Narrow" w:eastAsia="Times New Roman" w:hAnsi="Aptos Narrow" w:cs="Times New Roman"/>
                <w:color w:val="000000"/>
                <w:kern w:val="0"/>
                <w:sz w:val="14"/>
                <w:szCs w:val="14"/>
                <w14:ligatures w14:val="none"/>
              </w:rPr>
            </w:pPr>
            <w:r w:rsidRPr="00F86E12">
              <w:rPr>
                <w:rFonts w:ascii="Aptos Narrow" w:eastAsia="Times New Roman" w:hAnsi="Aptos Narrow" w:cs="Times New Roman"/>
                <w:color w:val="000000"/>
                <w:kern w:val="0"/>
                <w:sz w:val="14"/>
                <w:szCs w:val="14"/>
                <w14:ligatures w14:val="none"/>
              </w:rPr>
              <w:t> </w:t>
            </w:r>
            <w:r w:rsidR="005E09B8">
              <w:rPr>
                <w:rFonts w:ascii="Aptos Narrow" w:eastAsia="Times New Roman" w:hAnsi="Aptos Narrow" w:cs="Times New Roman"/>
                <w:color w:val="000000"/>
                <w:kern w:val="0"/>
                <w:sz w:val="14"/>
                <w:szCs w:val="14"/>
                <w14:ligatures w14:val="none"/>
              </w:rPr>
              <w:t>Moderate</w:t>
            </w:r>
          </w:p>
        </w:tc>
      </w:tr>
    </w:tbl>
    <w:p w14:paraId="5C75878D" w14:textId="77777777" w:rsidR="00760445" w:rsidRPr="00F84D50" w:rsidRDefault="00760445" w:rsidP="00F84D50"/>
    <w:sectPr w:rsidR="00760445" w:rsidRPr="00F84D50" w:rsidSect="00387F0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FE20" w14:textId="77777777" w:rsidR="00E901F9" w:rsidRDefault="00E901F9" w:rsidP="00387F0A">
      <w:pPr>
        <w:spacing w:line="240" w:lineRule="auto"/>
      </w:pPr>
      <w:r>
        <w:separator/>
      </w:r>
    </w:p>
  </w:endnote>
  <w:endnote w:type="continuationSeparator" w:id="0">
    <w:p w14:paraId="711C7BF5" w14:textId="77777777" w:rsidR="00E901F9" w:rsidRDefault="00E901F9" w:rsidP="00387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9E2B" w14:textId="77777777" w:rsidR="00E901F9" w:rsidRDefault="00E901F9" w:rsidP="00387F0A">
      <w:pPr>
        <w:spacing w:line="240" w:lineRule="auto"/>
      </w:pPr>
      <w:r>
        <w:separator/>
      </w:r>
    </w:p>
  </w:footnote>
  <w:footnote w:type="continuationSeparator" w:id="0">
    <w:p w14:paraId="2BC9A552" w14:textId="77777777" w:rsidR="00E901F9" w:rsidRDefault="00E901F9" w:rsidP="00387F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EC6D" w14:textId="41D33F36" w:rsidR="00387F0A" w:rsidRPr="00387F0A" w:rsidRDefault="00387F0A">
    <w:pPr>
      <w:pStyle w:val="Header"/>
      <w:rPr>
        <w:sz w:val="20"/>
        <w:szCs w:val="20"/>
      </w:rPr>
    </w:pPr>
    <w:r w:rsidRPr="00387F0A">
      <w:rPr>
        <w:sz w:val="20"/>
        <w:szCs w:val="20"/>
      </w:rPr>
      <w:t xml:space="preserve">Supplemental file </w:t>
    </w:r>
    <w:r w:rsidR="00F84D50">
      <w:rPr>
        <w:sz w:val="20"/>
        <w:szCs w:val="20"/>
      </w:rPr>
      <w:t>2</w:t>
    </w:r>
    <w:r w:rsidRPr="00387F0A">
      <w:rPr>
        <w:sz w:val="20"/>
        <w:szCs w:val="20"/>
      </w:rPr>
      <w:t xml:space="preserve">. Detailed description of Risk </w:t>
    </w:r>
    <w:proofErr w:type="gramStart"/>
    <w:r w:rsidRPr="00387F0A">
      <w:rPr>
        <w:sz w:val="20"/>
        <w:szCs w:val="20"/>
      </w:rPr>
      <w:t>Of</w:t>
    </w:r>
    <w:proofErr w:type="gramEnd"/>
    <w:r w:rsidRPr="00387F0A">
      <w:rPr>
        <w:sz w:val="20"/>
        <w:szCs w:val="20"/>
      </w:rPr>
      <w:t xml:space="preserve"> Bias </w:t>
    </w:r>
    <w:proofErr w:type="gramStart"/>
    <w:r w:rsidRPr="00387F0A">
      <w:rPr>
        <w:sz w:val="20"/>
        <w:szCs w:val="20"/>
      </w:rPr>
      <w:t>In</w:t>
    </w:r>
    <w:proofErr w:type="gramEnd"/>
    <w:r w:rsidRPr="00387F0A">
      <w:rPr>
        <w:sz w:val="20"/>
        <w:szCs w:val="20"/>
      </w:rPr>
      <w:t xml:space="preserve"> Non-randomized Studies of Interventions (ROBINS-I) tool ratings for non-randomized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0A"/>
    <w:rsid w:val="00031C16"/>
    <w:rsid w:val="0009403F"/>
    <w:rsid w:val="00387F0A"/>
    <w:rsid w:val="003E57E8"/>
    <w:rsid w:val="00450DB3"/>
    <w:rsid w:val="00495AC5"/>
    <w:rsid w:val="005B7D4A"/>
    <w:rsid w:val="005D1005"/>
    <w:rsid w:val="005E09B8"/>
    <w:rsid w:val="006B5325"/>
    <w:rsid w:val="00743DB8"/>
    <w:rsid w:val="00760445"/>
    <w:rsid w:val="00767922"/>
    <w:rsid w:val="008145CA"/>
    <w:rsid w:val="0087124B"/>
    <w:rsid w:val="009E7161"/>
    <w:rsid w:val="00A85B8D"/>
    <w:rsid w:val="00E322CF"/>
    <w:rsid w:val="00E3330B"/>
    <w:rsid w:val="00E901F9"/>
    <w:rsid w:val="00F84D50"/>
    <w:rsid w:val="00F86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9F98"/>
  <w15:chartTrackingRefBased/>
  <w15:docId w15:val="{104173F7-E6F9-4415-B80E-5BC1D709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325"/>
  </w:style>
  <w:style w:type="paragraph" w:styleId="Heading1">
    <w:name w:val="heading 1"/>
    <w:basedOn w:val="Normal"/>
    <w:next w:val="Normal"/>
    <w:link w:val="Heading1Char"/>
    <w:uiPriority w:val="9"/>
    <w:qFormat/>
    <w:rsid w:val="008145CA"/>
    <w:pPr>
      <w:keepNext/>
      <w:keepLines/>
      <w:spacing w:before="240"/>
      <w:outlineLvl w:val="0"/>
    </w:pPr>
    <w:rPr>
      <w:rFonts w:eastAsiaTheme="majorEastAsia" w:cstheme="majorBidi"/>
      <w:b/>
      <w:caps/>
      <w:szCs w:val="32"/>
      <w:u w:val="single"/>
    </w:rPr>
  </w:style>
  <w:style w:type="paragraph" w:styleId="Heading2">
    <w:name w:val="heading 2"/>
    <w:basedOn w:val="Normal"/>
    <w:next w:val="Normal"/>
    <w:link w:val="Heading2Char"/>
    <w:uiPriority w:val="9"/>
    <w:unhideWhenUsed/>
    <w:qFormat/>
    <w:rsid w:val="008145CA"/>
    <w:pPr>
      <w:keepNext/>
      <w:keepLines/>
      <w:spacing w:before="40"/>
      <w:outlineLvl w:val="1"/>
    </w:pPr>
    <w:rPr>
      <w:rFonts w:eastAsiaTheme="majorEastAsia" w:cstheme="majorBidi"/>
      <w:b/>
      <w:smallCaps/>
      <w:szCs w:val="26"/>
      <w:u w:val="single"/>
    </w:rPr>
  </w:style>
  <w:style w:type="paragraph" w:styleId="Heading3">
    <w:name w:val="heading 3"/>
    <w:basedOn w:val="Normal"/>
    <w:next w:val="Normal"/>
    <w:link w:val="Heading3Char"/>
    <w:uiPriority w:val="9"/>
    <w:unhideWhenUsed/>
    <w:qFormat/>
    <w:rsid w:val="008145CA"/>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45CA"/>
    <w:rPr>
      <w:rFonts w:eastAsiaTheme="majorEastAsia" w:cstheme="majorBidi"/>
      <w:b/>
      <w:smallCaps/>
      <w:szCs w:val="26"/>
      <w:u w:val="single"/>
    </w:rPr>
  </w:style>
  <w:style w:type="character" w:customStyle="1" w:styleId="Heading1Char">
    <w:name w:val="Heading 1 Char"/>
    <w:basedOn w:val="DefaultParagraphFont"/>
    <w:link w:val="Heading1"/>
    <w:uiPriority w:val="9"/>
    <w:rsid w:val="008145CA"/>
    <w:rPr>
      <w:rFonts w:eastAsiaTheme="majorEastAsia" w:cstheme="majorBidi"/>
      <w:b/>
      <w:caps/>
      <w:szCs w:val="32"/>
      <w:u w:val="single"/>
    </w:rPr>
  </w:style>
  <w:style w:type="character" w:customStyle="1" w:styleId="Heading3Char">
    <w:name w:val="Heading 3 Char"/>
    <w:basedOn w:val="DefaultParagraphFont"/>
    <w:link w:val="Heading3"/>
    <w:uiPriority w:val="9"/>
    <w:rsid w:val="008145CA"/>
    <w:rPr>
      <w:rFonts w:eastAsiaTheme="majorEastAsia" w:cstheme="majorBidi"/>
      <w:b/>
      <w:szCs w:val="24"/>
    </w:rPr>
  </w:style>
  <w:style w:type="paragraph" w:styleId="Header">
    <w:name w:val="header"/>
    <w:basedOn w:val="Normal"/>
    <w:link w:val="HeaderChar"/>
    <w:uiPriority w:val="99"/>
    <w:unhideWhenUsed/>
    <w:rsid w:val="00387F0A"/>
    <w:pPr>
      <w:tabs>
        <w:tab w:val="center" w:pos="4680"/>
        <w:tab w:val="right" w:pos="9360"/>
      </w:tabs>
      <w:spacing w:line="240" w:lineRule="auto"/>
    </w:pPr>
  </w:style>
  <w:style w:type="character" w:customStyle="1" w:styleId="HeaderChar">
    <w:name w:val="Header Char"/>
    <w:basedOn w:val="DefaultParagraphFont"/>
    <w:link w:val="Header"/>
    <w:uiPriority w:val="99"/>
    <w:rsid w:val="00387F0A"/>
  </w:style>
  <w:style w:type="paragraph" w:styleId="Footer">
    <w:name w:val="footer"/>
    <w:basedOn w:val="Normal"/>
    <w:link w:val="FooterChar"/>
    <w:uiPriority w:val="99"/>
    <w:unhideWhenUsed/>
    <w:rsid w:val="00387F0A"/>
    <w:pPr>
      <w:tabs>
        <w:tab w:val="center" w:pos="4680"/>
        <w:tab w:val="right" w:pos="9360"/>
      </w:tabs>
      <w:spacing w:line="240" w:lineRule="auto"/>
    </w:pPr>
  </w:style>
  <w:style w:type="character" w:customStyle="1" w:styleId="FooterChar">
    <w:name w:val="Footer Char"/>
    <w:basedOn w:val="DefaultParagraphFont"/>
    <w:link w:val="Footer"/>
    <w:uiPriority w:val="99"/>
    <w:rsid w:val="00387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3548">
      <w:bodyDiv w:val="1"/>
      <w:marLeft w:val="0"/>
      <w:marRight w:val="0"/>
      <w:marTop w:val="0"/>
      <w:marBottom w:val="0"/>
      <w:divBdr>
        <w:top w:val="none" w:sz="0" w:space="0" w:color="auto"/>
        <w:left w:val="none" w:sz="0" w:space="0" w:color="auto"/>
        <w:bottom w:val="none" w:sz="0" w:space="0" w:color="auto"/>
        <w:right w:val="none" w:sz="0" w:space="0" w:color="auto"/>
      </w:divBdr>
    </w:div>
    <w:div w:id="396247034">
      <w:bodyDiv w:val="1"/>
      <w:marLeft w:val="0"/>
      <w:marRight w:val="0"/>
      <w:marTop w:val="0"/>
      <w:marBottom w:val="0"/>
      <w:divBdr>
        <w:top w:val="none" w:sz="0" w:space="0" w:color="auto"/>
        <w:left w:val="none" w:sz="0" w:space="0" w:color="auto"/>
        <w:bottom w:val="none" w:sz="0" w:space="0" w:color="auto"/>
        <w:right w:val="none" w:sz="0" w:space="0" w:color="auto"/>
      </w:divBdr>
    </w:div>
    <w:div w:id="170289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2532</Words>
  <Characters>14435</Characters>
  <Application>Microsoft Office Word</Application>
  <DocSecurity>4</DocSecurity>
  <Lines>120</Lines>
  <Paragraphs>33</Paragraphs>
  <ScaleCrop>false</ScaleCrop>
  <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Kacmarek, Corinne N.</dc:creator>
  <cp:keywords/>
  <dc:description/>
  <cp:lastModifiedBy>Kacmarek, Corinne N.</cp:lastModifiedBy>
  <cp:revision>2</cp:revision>
  <dcterms:created xsi:type="dcterms:W3CDTF">2025-09-04T13:47:00Z</dcterms:created>
  <dcterms:modified xsi:type="dcterms:W3CDTF">2025-09-04T13:47:00Z</dcterms:modified>
</cp:coreProperties>
</file>