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6C79FE">
      <w:pPr>
        <w:rPr>
          <w:rFonts w:ascii="Times New Roman" w:hAnsi="Times New Roman" w:cs="Times New Roman"/>
          <w:b/>
          <w:bCs/>
          <w:color w:val="auto"/>
          <w:sz w:val="28"/>
          <w:szCs w:val="36"/>
          <w:highlight w:val="yellow"/>
          <w:rPrChange w:id="0" w:author="smile" w:date="2025-08-10T21:18:52Z">
            <w:rPr>
              <w:rFonts w:ascii="Times New Roman" w:hAnsi="Times New Roman" w:cs="Times New Roman"/>
              <w:b/>
              <w:bCs/>
              <w:color w:val="auto"/>
              <w:sz w:val="28"/>
              <w:szCs w:val="36"/>
            </w:rPr>
          </w:rPrChange>
        </w:rPr>
      </w:pPr>
      <w:bookmarkStart w:id="0" w:name="OLE_LINK107"/>
      <w:bookmarkStart w:id="38" w:name="_GoBack"/>
      <w:r>
        <w:rPr>
          <w:rFonts w:hint="eastAsia" w:ascii="Times New Roman" w:hAnsi="Times New Roman" w:cs="Times New Roman"/>
          <w:b/>
          <w:bCs/>
          <w:color w:val="auto"/>
          <w:sz w:val="28"/>
          <w:szCs w:val="36"/>
          <w:highlight w:val="yellow"/>
          <w:rPrChange w:id="1" w:author="smile" w:date="2025-08-10T21:18:52Z">
            <w:rPr>
              <w:rFonts w:hint="eastAsia" w:ascii="Times New Roman" w:hAnsi="Times New Roman" w:cs="Times New Roman"/>
              <w:b/>
              <w:bCs/>
              <w:color w:val="auto"/>
              <w:sz w:val="28"/>
              <w:szCs w:val="36"/>
            </w:rPr>
          </w:rPrChange>
        </w:rPr>
        <w:t>Case report: Observed improvements in immune parameters and behavioral symptoms following low-dose IL-2 treatment in four autistic children with immune dysfunction</w:t>
      </w:r>
      <w:bookmarkEnd w:id="38"/>
    </w:p>
    <w:bookmarkEnd w:id="0"/>
    <w:p w14:paraId="4531F77D">
      <w:pPr>
        <w:spacing w:line="360" w:lineRule="auto"/>
        <w:rPr>
          <w:rFonts w:hint="eastAsia" w:ascii="Times New Roman" w:hAnsi="Times New Roman" w:cs="Times New Roman"/>
          <w:color w:val="auto"/>
          <w:sz w:val="24"/>
          <w:szCs w:val="32"/>
          <w:vertAlign w:val="superscript"/>
        </w:rPr>
      </w:pPr>
      <w:r>
        <w:rPr>
          <w:rFonts w:ascii="Times New Roman" w:hAnsi="Times New Roman" w:cs="Times New Roman"/>
          <w:color w:val="auto"/>
          <w:sz w:val="24"/>
          <w:szCs w:val="32"/>
        </w:rPr>
        <w:t>Huiling</w:t>
      </w:r>
      <w:r>
        <w:rPr>
          <w:rFonts w:hint="eastAsia" w:ascii="Times New Roman" w:hAnsi="Times New Roman" w:cs="Times New Roman"/>
          <w:color w:val="auto"/>
          <w:sz w:val="24"/>
          <w:szCs w:val="32"/>
        </w:rPr>
        <w:t xml:space="preserve"> </w:t>
      </w:r>
      <w:r>
        <w:rPr>
          <w:rFonts w:ascii="Times New Roman" w:hAnsi="Times New Roman" w:cs="Times New Roman"/>
          <w:color w:val="auto"/>
          <w:sz w:val="24"/>
          <w:szCs w:val="32"/>
        </w:rPr>
        <w:t>Chen</w:t>
      </w:r>
      <w:r>
        <w:rPr>
          <w:rFonts w:ascii="Times New Roman" w:hAnsi="Times New Roman" w:cs="Times New Roman"/>
          <w:color w:val="auto"/>
          <w:sz w:val="24"/>
          <w:szCs w:val="32"/>
          <w:vertAlign w:val="superscript"/>
        </w:rPr>
        <w:t>a</w:t>
      </w:r>
      <w:r>
        <w:rPr>
          <w:rFonts w:ascii="Times New Roman" w:hAnsi="Times New Roman" w:cs="Times New Roman"/>
          <w:color w:val="auto"/>
          <w:sz w:val="24"/>
          <w:szCs w:val="32"/>
        </w:rPr>
        <w:t>; Meng</w:t>
      </w:r>
      <w:r>
        <w:rPr>
          <w:rFonts w:hint="eastAsia" w:ascii="Times New Roman" w:hAnsi="Times New Roman" w:cs="Times New Roman"/>
          <w:color w:val="auto"/>
          <w:sz w:val="24"/>
          <w:szCs w:val="32"/>
        </w:rPr>
        <w:t xml:space="preserve"> </w:t>
      </w:r>
      <w:r>
        <w:rPr>
          <w:rFonts w:ascii="Times New Roman" w:hAnsi="Times New Roman" w:cs="Times New Roman"/>
          <w:color w:val="auto"/>
          <w:sz w:val="24"/>
          <w:szCs w:val="32"/>
        </w:rPr>
        <w:t>Li</w:t>
      </w:r>
      <w:r>
        <w:rPr>
          <w:rFonts w:ascii="Times New Roman" w:hAnsi="Times New Roman" w:cs="Times New Roman"/>
          <w:color w:val="auto"/>
          <w:sz w:val="24"/>
          <w:szCs w:val="32"/>
          <w:vertAlign w:val="superscript"/>
        </w:rPr>
        <w:t>a</w:t>
      </w:r>
      <w:r>
        <w:rPr>
          <w:rFonts w:ascii="Times New Roman" w:hAnsi="Times New Roman" w:cs="Times New Roman"/>
          <w:color w:val="auto"/>
          <w:sz w:val="24"/>
          <w:szCs w:val="32"/>
        </w:rPr>
        <w:t>; Penghao</w:t>
      </w:r>
      <w:r>
        <w:rPr>
          <w:rFonts w:hint="eastAsia" w:ascii="Times New Roman" w:hAnsi="Times New Roman" w:cs="Times New Roman"/>
          <w:color w:val="auto"/>
          <w:sz w:val="24"/>
          <w:szCs w:val="32"/>
        </w:rPr>
        <w:t xml:space="preserve"> </w:t>
      </w:r>
      <w:r>
        <w:rPr>
          <w:rFonts w:ascii="Times New Roman" w:hAnsi="Times New Roman" w:cs="Times New Roman"/>
          <w:color w:val="auto"/>
          <w:sz w:val="24"/>
          <w:szCs w:val="32"/>
        </w:rPr>
        <w:t>Yao</w:t>
      </w:r>
      <w:r>
        <w:rPr>
          <w:rFonts w:ascii="Times New Roman" w:hAnsi="Times New Roman" w:cs="Times New Roman"/>
          <w:color w:val="auto"/>
          <w:sz w:val="24"/>
          <w:szCs w:val="32"/>
          <w:vertAlign w:val="superscript"/>
        </w:rPr>
        <w:t>a</w:t>
      </w:r>
      <w:r>
        <w:rPr>
          <w:rFonts w:ascii="Times New Roman" w:hAnsi="Times New Roman" w:cs="Times New Roman"/>
          <w:color w:val="auto"/>
          <w:sz w:val="24"/>
          <w:szCs w:val="32"/>
        </w:rPr>
        <w:t>; Zuqing</w:t>
      </w:r>
      <w:r>
        <w:rPr>
          <w:rFonts w:hint="eastAsia" w:ascii="Times New Roman" w:hAnsi="Times New Roman" w:cs="Times New Roman"/>
          <w:color w:val="auto"/>
          <w:sz w:val="24"/>
          <w:szCs w:val="32"/>
        </w:rPr>
        <w:t xml:space="preserve"> </w:t>
      </w:r>
      <w:r>
        <w:rPr>
          <w:rFonts w:ascii="Times New Roman" w:hAnsi="Times New Roman" w:cs="Times New Roman"/>
          <w:color w:val="auto"/>
          <w:sz w:val="24"/>
          <w:szCs w:val="32"/>
        </w:rPr>
        <w:t>Nie</w:t>
      </w:r>
      <w:r>
        <w:rPr>
          <w:rFonts w:ascii="Times New Roman" w:hAnsi="Times New Roman" w:cs="Times New Roman"/>
          <w:color w:val="auto"/>
          <w:sz w:val="24"/>
          <w:szCs w:val="32"/>
          <w:vertAlign w:val="superscript"/>
        </w:rPr>
        <w:t>a</w:t>
      </w:r>
      <w:r>
        <w:rPr>
          <w:rFonts w:ascii="Times New Roman" w:hAnsi="Times New Roman" w:cs="Times New Roman"/>
          <w:color w:val="auto"/>
          <w:sz w:val="24"/>
          <w:szCs w:val="32"/>
        </w:rPr>
        <w:t>; Li</w:t>
      </w:r>
      <w:r>
        <w:rPr>
          <w:rFonts w:hint="eastAsia" w:ascii="Times New Roman" w:hAnsi="Times New Roman" w:cs="Times New Roman"/>
          <w:color w:val="auto"/>
          <w:sz w:val="24"/>
          <w:szCs w:val="32"/>
        </w:rPr>
        <w:t xml:space="preserve"> </w:t>
      </w:r>
      <w:r>
        <w:rPr>
          <w:rFonts w:ascii="Times New Roman" w:hAnsi="Times New Roman" w:cs="Times New Roman"/>
          <w:color w:val="auto"/>
          <w:sz w:val="24"/>
          <w:szCs w:val="32"/>
        </w:rPr>
        <w:t>Xu</w:t>
      </w:r>
      <w:r>
        <w:rPr>
          <w:rFonts w:ascii="Times New Roman" w:hAnsi="Times New Roman" w:cs="Times New Roman"/>
          <w:color w:val="auto"/>
          <w:sz w:val="24"/>
          <w:szCs w:val="32"/>
          <w:vertAlign w:val="superscript"/>
        </w:rPr>
        <w:t>c</w:t>
      </w:r>
      <w:r>
        <w:rPr>
          <w:rFonts w:ascii="Times New Roman" w:hAnsi="Times New Roman" w:cs="Times New Roman"/>
          <w:color w:val="auto"/>
          <w:sz w:val="24"/>
          <w:szCs w:val="32"/>
        </w:rPr>
        <w:t>; Yan</w:t>
      </w:r>
      <w:r>
        <w:rPr>
          <w:rFonts w:hint="eastAsia" w:ascii="Times New Roman" w:hAnsi="Times New Roman" w:cs="Times New Roman"/>
          <w:color w:val="auto"/>
          <w:sz w:val="24"/>
          <w:szCs w:val="32"/>
        </w:rPr>
        <w:t xml:space="preserve"> </w:t>
      </w:r>
      <w:r>
        <w:rPr>
          <w:rFonts w:ascii="Times New Roman" w:hAnsi="Times New Roman" w:cs="Times New Roman"/>
          <w:color w:val="auto"/>
          <w:sz w:val="24"/>
          <w:szCs w:val="32"/>
        </w:rPr>
        <w:t>Zhang</w:t>
      </w:r>
      <w:r>
        <w:rPr>
          <w:rFonts w:ascii="Times New Roman" w:hAnsi="Times New Roman" w:cs="Times New Roman"/>
          <w:color w:val="auto"/>
          <w:sz w:val="24"/>
          <w:szCs w:val="32"/>
          <w:vertAlign w:val="superscript"/>
        </w:rPr>
        <w:t>c</w:t>
      </w:r>
      <w:r>
        <w:rPr>
          <w:rFonts w:ascii="Times New Roman" w:hAnsi="Times New Roman" w:cs="Times New Roman"/>
          <w:color w:val="auto"/>
          <w:sz w:val="24"/>
          <w:szCs w:val="32"/>
        </w:rPr>
        <w:t>; Xinyi</w:t>
      </w:r>
      <w:r>
        <w:rPr>
          <w:rFonts w:hint="eastAsia" w:ascii="Times New Roman" w:hAnsi="Times New Roman" w:cs="Times New Roman"/>
          <w:color w:val="auto"/>
          <w:sz w:val="24"/>
          <w:szCs w:val="32"/>
        </w:rPr>
        <w:t xml:space="preserve"> </w:t>
      </w:r>
      <w:r>
        <w:rPr>
          <w:rFonts w:ascii="Times New Roman" w:hAnsi="Times New Roman" w:cs="Times New Roman"/>
          <w:color w:val="auto"/>
          <w:sz w:val="24"/>
          <w:szCs w:val="32"/>
        </w:rPr>
        <w:t>Xu</w:t>
      </w:r>
      <w:r>
        <w:rPr>
          <w:rFonts w:ascii="Times New Roman" w:hAnsi="Times New Roman" w:cs="Times New Roman"/>
          <w:color w:val="auto"/>
          <w:sz w:val="24"/>
          <w:szCs w:val="32"/>
          <w:vertAlign w:val="superscript"/>
        </w:rPr>
        <w:t>a</w:t>
      </w:r>
      <w:r>
        <w:rPr>
          <w:rFonts w:ascii="Times New Roman" w:hAnsi="Times New Roman" w:cs="Times New Roman"/>
          <w:color w:val="auto"/>
          <w:sz w:val="24"/>
          <w:szCs w:val="32"/>
        </w:rPr>
        <w:t>; Chen</w:t>
      </w:r>
      <w:r>
        <w:rPr>
          <w:rFonts w:hint="eastAsia" w:ascii="Times New Roman" w:hAnsi="Times New Roman" w:cs="Times New Roman"/>
          <w:color w:val="auto"/>
          <w:sz w:val="24"/>
          <w:szCs w:val="32"/>
        </w:rPr>
        <w:t xml:space="preserve"> </w:t>
      </w:r>
      <w:r>
        <w:rPr>
          <w:rFonts w:ascii="Times New Roman" w:hAnsi="Times New Roman" w:cs="Times New Roman"/>
          <w:color w:val="auto"/>
          <w:sz w:val="24"/>
          <w:szCs w:val="32"/>
        </w:rPr>
        <w:t>Shen</w:t>
      </w:r>
      <w:r>
        <w:rPr>
          <w:rFonts w:ascii="Times New Roman" w:hAnsi="Times New Roman" w:cs="Times New Roman"/>
          <w:color w:val="auto"/>
          <w:sz w:val="24"/>
          <w:szCs w:val="32"/>
          <w:vertAlign w:val="superscript"/>
        </w:rPr>
        <w:t>a</w:t>
      </w:r>
      <w:r>
        <w:rPr>
          <w:rFonts w:ascii="Times New Roman" w:hAnsi="Times New Roman" w:cs="Times New Roman"/>
          <w:color w:val="auto"/>
          <w:sz w:val="24"/>
          <w:szCs w:val="32"/>
        </w:rPr>
        <w:t xml:space="preserve">; </w:t>
      </w:r>
      <w:r>
        <w:rPr>
          <w:rFonts w:hint="eastAsia" w:ascii="Times New Roman" w:hAnsi="Times New Roman" w:cs="Times New Roman"/>
          <w:color w:val="auto"/>
          <w:sz w:val="24"/>
          <w:szCs w:val="32"/>
        </w:rPr>
        <w:t>Juli Huang</w:t>
      </w:r>
      <w:r>
        <w:rPr>
          <w:rFonts w:hint="eastAsia" w:ascii="Times New Roman" w:hAnsi="Times New Roman" w:cs="Times New Roman"/>
          <w:color w:val="auto"/>
          <w:sz w:val="24"/>
          <w:szCs w:val="32"/>
          <w:vertAlign w:val="superscript"/>
        </w:rPr>
        <w:t>b</w:t>
      </w:r>
      <w:r>
        <w:rPr>
          <w:rFonts w:hint="eastAsia" w:ascii="Times New Roman" w:hAnsi="Times New Roman" w:cs="Times New Roman"/>
          <w:color w:val="auto"/>
          <w:sz w:val="24"/>
          <w:szCs w:val="32"/>
        </w:rPr>
        <w:t>; Yan Liu</w:t>
      </w:r>
      <w:r>
        <w:rPr>
          <w:rFonts w:hint="eastAsia" w:ascii="Times New Roman" w:hAnsi="Times New Roman" w:cs="Times New Roman"/>
          <w:color w:val="auto"/>
          <w:sz w:val="24"/>
          <w:szCs w:val="32"/>
          <w:vertAlign w:val="superscript"/>
        </w:rPr>
        <w:t>b</w:t>
      </w:r>
      <w:r>
        <w:rPr>
          <w:rFonts w:hint="eastAsia" w:ascii="Times New Roman" w:hAnsi="Times New Roman" w:cs="Times New Roman"/>
          <w:color w:val="auto"/>
          <w:sz w:val="24"/>
          <w:szCs w:val="32"/>
        </w:rPr>
        <w:t xml:space="preserve">; </w:t>
      </w:r>
      <w:r>
        <w:rPr>
          <w:rFonts w:ascii="Times New Roman" w:hAnsi="Times New Roman" w:cs="Times New Roman"/>
          <w:color w:val="auto"/>
          <w:sz w:val="24"/>
          <w:szCs w:val="32"/>
        </w:rPr>
        <w:t>Zhiwei</w:t>
      </w:r>
      <w:r>
        <w:rPr>
          <w:rFonts w:hint="eastAsia" w:ascii="Times New Roman" w:hAnsi="Times New Roman" w:cs="Times New Roman"/>
          <w:color w:val="auto"/>
          <w:sz w:val="24"/>
          <w:szCs w:val="32"/>
        </w:rPr>
        <w:t xml:space="preserve"> </w:t>
      </w:r>
      <w:r>
        <w:rPr>
          <w:rFonts w:ascii="Times New Roman" w:hAnsi="Times New Roman" w:cs="Times New Roman"/>
          <w:color w:val="auto"/>
          <w:sz w:val="24"/>
          <w:szCs w:val="32"/>
        </w:rPr>
        <w:t>Li</w:t>
      </w:r>
      <w:r>
        <w:rPr>
          <w:rFonts w:ascii="Times New Roman" w:hAnsi="Times New Roman" w:cs="Times New Roman"/>
          <w:color w:val="auto"/>
          <w:sz w:val="24"/>
          <w:szCs w:val="32"/>
          <w:vertAlign w:val="superscript"/>
        </w:rPr>
        <w:t>a</w:t>
      </w:r>
      <w:r>
        <w:rPr>
          <w:rFonts w:ascii="Times New Roman" w:hAnsi="Times New Roman" w:cs="Times New Roman"/>
          <w:color w:val="auto"/>
          <w:sz w:val="24"/>
          <w:szCs w:val="32"/>
        </w:rPr>
        <w:t>; Jie</w:t>
      </w:r>
      <w:r>
        <w:rPr>
          <w:rFonts w:hint="eastAsia" w:ascii="Times New Roman" w:hAnsi="Times New Roman" w:cs="Times New Roman"/>
          <w:color w:val="auto"/>
          <w:sz w:val="24"/>
          <w:szCs w:val="32"/>
        </w:rPr>
        <w:t xml:space="preserve"> </w:t>
      </w:r>
      <w:r>
        <w:rPr>
          <w:rFonts w:ascii="Times New Roman" w:hAnsi="Times New Roman" w:cs="Times New Roman"/>
          <w:color w:val="auto"/>
          <w:sz w:val="24"/>
          <w:szCs w:val="32"/>
        </w:rPr>
        <w:t>Wen</w:t>
      </w:r>
      <w:r>
        <w:rPr>
          <w:rFonts w:ascii="Times New Roman" w:hAnsi="Times New Roman" w:cs="Times New Roman"/>
          <w:color w:val="auto"/>
          <w:sz w:val="24"/>
          <w:szCs w:val="32"/>
          <w:vertAlign w:val="superscript"/>
        </w:rPr>
        <w:t>a</w:t>
      </w:r>
      <w:r>
        <w:rPr>
          <w:rFonts w:ascii="Times New Roman" w:hAnsi="Times New Roman" w:cs="Times New Roman"/>
          <w:color w:val="auto"/>
          <w:sz w:val="24"/>
          <w:szCs w:val="32"/>
        </w:rPr>
        <w:t>; Lin</w:t>
      </w:r>
      <w:r>
        <w:rPr>
          <w:rFonts w:hint="eastAsia" w:ascii="Times New Roman" w:hAnsi="Times New Roman" w:cs="Times New Roman"/>
          <w:color w:val="auto"/>
          <w:sz w:val="24"/>
          <w:szCs w:val="32"/>
        </w:rPr>
        <w:t xml:space="preserve"> </w:t>
      </w:r>
      <w:r>
        <w:rPr>
          <w:rFonts w:ascii="Times New Roman" w:hAnsi="Times New Roman" w:cs="Times New Roman"/>
          <w:color w:val="auto"/>
          <w:sz w:val="24"/>
          <w:szCs w:val="32"/>
        </w:rPr>
        <w:t>Zha</w:t>
      </w:r>
      <w:r>
        <w:rPr>
          <w:rFonts w:hint="eastAsia" w:ascii="Times New Roman" w:hAnsi="Times New Roman" w:cs="Times New Roman"/>
          <w:color w:val="auto"/>
          <w:sz w:val="24"/>
          <w:szCs w:val="32"/>
        </w:rPr>
        <w:t>o</w:t>
      </w:r>
      <w:r>
        <w:rPr>
          <w:rFonts w:ascii="Times New Roman" w:hAnsi="Times New Roman" w:cs="Times New Roman"/>
          <w:color w:val="auto"/>
          <w:sz w:val="24"/>
          <w:szCs w:val="32"/>
          <w:vertAlign w:val="superscript"/>
        </w:rPr>
        <w:t>*b</w:t>
      </w:r>
      <w:r>
        <w:rPr>
          <w:rFonts w:ascii="Times New Roman" w:hAnsi="Times New Roman" w:cs="Times New Roman"/>
          <w:color w:val="auto"/>
          <w:sz w:val="24"/>
          <w:szCs w:val="32"/>
        </w:rPr>
        <w:t>; Xia</w:t>
      </w:r>
      <w:r>
        <w:rPr>
          <w:rFonts w:hint="eastAsia" w:ascii="Times New Roman" w:hAnsi="Times New Roman" w:cs="Times New Roman"/>
          <w:color w:val="auto"/>
          <w:sz w:val="24"/>
          <w:szCs w:val="32"/>
        </w:rPr>
        <w:t xml:space="preserve"> </w:t>
      </w:r>
      <w:r>
        <w:rPr>
          <w:rFonts w:ascii="Times New Roman" w:hAnsi="Times New Roman" w:cs="Times New Roman"/>
          <w:color w:val="auto"/>
          <w:sz w:val="24"/>
          <w:szCs w:val="32"/>
        </w:rPr>
        <w:t>Cao</w:t>
      </w:r>
      <w:r>
        <w:rPr>
          <w:rFonts w:ascii="Times New Roman" w:hAnsi="Times New Roman" w:cs="Times New Roman"/>
          <w:color w:val="auto"/>
          <w:sz w:val="24"/>
          <w:szCs w:val="32"/>
          <w:vertAlign w:val="superscript"/>
        </w:rPr>
        <w:t>*</w:t>
      </w:r>
      <w:r>
        <w:rPr>
          <w:rFonts w:hint="eastAsia" w:ascii="Times New Roman" w:hAnsi="Times New Roman" w:cs="Times New Roman"/>
          <w:color w:val="auto"/>
          <w:sz w:val="24"/>
          <w:szCs w:val="32"/>
          <w:vertAlign w:val="superscript"/>
          <w:lang w:val="en-US" w:eastAsia="zh-CN"/>
        </w:rPr>
        <w:t>d</w:t>
      </w:r>
    </w:p>
    <w:p w14:paraId="28F05AAA">
      <w:pPr>
        <w:spacing w:line="360" w:lineRule="auto"/>
        <w:rPr>
          <w:rFonts w:ascii="Times New Roman" w:hAnsi="Times New Roman" w:cs="Times New Roman"/>
          <w:color w:val="auto"/>
          <w:sz w:val="24"/>
          <w:szCs w:val="32"/>
          <w:vertAlign w:val="superscript"/>
        </w:rPr>
      </w:pPr>
    </w:p>
    <w:p w14:paraId="27D306F3">
      <w:pPr>
        <w:spacing w:line="360" w:lineRule="auto"/>
        <w:rPr>
          <w:rFonts w:ascii="Times New Roman" w:hAnsi="Times New Roman" w:cs="Times New Roman"/>
          <w:color w:val="auto"/>
          <w:sz w:val="24"/>
          <w:szCs w:val="32"/>
        </w:rPr>
      </w:pPr>
      <w:r>
        <w:rPr>
          <w:rFonts w:ascii="Times New Roman" w:hAnsi="Times New Roman" w:cs="Times New Roman"/>
          <w:color w:val="auto"/>
          <w:sz w:val="24"/>
          <w:szCs w:val="32"/>
          <w:vertAlign w:val="superscript"/>
        </w:rPr>
        <w:t>a</w:t>
      </w:r>
      <w:r>
        <w:rPr>
          <w:rFonts w:ascii="Times New Roman" w:hAnsi="Times New Roman" w:cs="Times New Roman"/>
          <w:color w:val="auto"/>
          <w:sz w:val="24"/>
          <w:szCs w:val="32"/>
        </w:rPr>
        <w:t>The Key Laboratory, The 2nd Affiliated Hospital of Kunming Medical University, Kunming, Yunnan, China</w:t>
      </w:r>
    </w:p>
    <w:p w14:paraId="65BE4DED">
      <w:pPr>
        <w:spacing w:line="360" w:lineRule="auto"/>
        <w:rPr>
          <w:rFonts w:ascii="Times New Roman" w:hAnsi="Times New Roman" w:cs="Times New Roman"/>
          <w:color w:val="auto"/>
          <w:sz w:val="24"/>
          <w:szCs w:val="32"/>
        </w:rPr>
      </w:pPr>
      <w:r>
        <w:rPr>
          <w:rFonts w:ascii="Times New Roman" w:hAnsi="Times New Roman" w:cs="Times New Roman"/>
          <w:color w:val="auto"/>
          <w:sz w:val="24"/>
          <w:szCs w:val="32"/>
          <w:vertAlign w:val="superscript"/>
        </w:rPr>
        <w:t>b</w:t>
      </w:r>
      <w:r>
        <w:rPr>
          <w:rFonts w:ascii="Times New Roman" w:hAnsi="Times New Roman" w:cs="Times New Roman"/>
          <w:color w:val="auto"/>
          <w:sz w:val="24"/>
          <w:szCs w:val="32"/>
        </w:rPr>
        <w:t>Pediatrics Department, The 2nd Affiliated Hospital of Kunming Medical University, Kunming, Yunnan, China</w:t>
      </w:r>
    </w:p>
    <w:p w14:paraId="50C05909">
      <w:pPr>
        <w:spacing w:line="360" w:lineRule="auto"/>
        <w:rPr>
          <w:rFonts w:ascii="Times New Roman" w:hAnsi="Times New Roman" w:cs="Times New Roman"/>
          <w:color w:val="auto"/>
          <w:sz w:val="24"/>
          <w:szCs w:val="32"/>
        </w:rPr>
      </w:pPr>
      <w:r>
        <w:rPr>
          <w:rFonts w:ascii="Times New Roman" w:hAnsi="Times New Roman" w:cs="Times New Roman"/>
          <w:color w:val="auto"/>
          <w:sz w:val="24"/>
          <w:szCs w:val="32"/>
          <w:vertAlign w:val="superscript"/>
        </w:rPr>
        <w:t>c</w:t>
      </w:r>
      <w:r>
        <w:rPr>
          <w:rFonts w:ascii="Times New Roman" w:hAnsi="Times New Roman" w:cs="Times New Roman"/>
          <w:color w:val="auto"/>
          <w:sz w:val="24"/>
          <w:szCs w:val="32"/>
        </w:rPr>
        <w:t>Psychiatric Department, The 2nd Affiliated Hospital of Kunming Medical University, Kunming, Yunnan, China</w:t>
      </w:r>
    </w:p>
    <w:p w14:paraId="4B760554">
      <w:pPr>
        <w:spacing w:line="360" w:lineRule="auto"/>
        <w:rPr>
          <w:rFonts w:hint="eastAsia" w:ascii="Times New Roman" w:hAnsi="Times New Roman" w:cs="Times New Roman" w:eastAsiaTheme="minorEastAsia"/>
          <w:color w:val="auto"/>
          <w:sz w:val="24"/>
          <w:szCs w:val="32"/>
          <w:lang w:eastAsia="zh-CN"/>
        </w:rPr>
      </w:pPr>
      <w:r>
        <w:rPr>
          <w:rFonts w:hint="eastAsia" w:ascii="Times New Roman" w:hAnsi="Times New Roman" w:cs="Times New Roman"/>
          <w:color w:val="auto"/>
          <w:sz w:val="24"/>
          <w:szCs w:val="32"/>
          <w:vertAlign w:val="superscript"/>
          <w:lang w:val="en-US" w:eastAsia="zh-CN"/>
        </w:rPr>
        <w:t>d</w:t>
      </w:r>
      <w:r>
        <w:rPr>
          <w:rFonts w:hint="eastAsia" w:ascii="Times New Roman" w:hAnsi="Times New Roman" w:cs="Times New Roman"/>
          <w:color w:val="auto"/>
          <w:sz w:val="24"/>
          <w:szCs w:val="32"/>
        </w:rPr>
        <w:t>Outpatient Department</w:t>
      </w:r>
      <w:r>
        <w:rPr>
          <w:rFonts w:hint="eastAsia" w:ascii="Times New Roman" w:hAnsi="Times New Roman" w:cs="Times New Roman"/>
          <w:color w:val="auto"/>
          <w:sz w:val="24"/>
          <w:szCs w:val="32"/>
          <w:lang w:eastAsia="zh-CN"/>
        </w:rPr>
        <w:t>，</w:t>
      </w:r>
      <w:r>
        <w:rPr>
          <w:rFonts w:ascii="Times New Roman" w:hAnsi="Times New Roman" w:cs="Times New Roman"/>
          <w:color w:val="auto"/>
          <w:sz w:val="24"/>
          <w:szCs w:val="32"/>
        </w:rPr>
        <w:t>The 2nd Affiliated Hospital of Kunming Medical University, Kunming, Yunnan, China</w:t>
      </w:r>
    </w:p>
    <w:p w14:paraId="7E24833C">
      <w:pPr>
        <w:spacing w:line="360" w:lineRule="auto"/>
        <w:rPr>
          <w:rFonts w:ascii="Times New Roman" w:hAnsi="Times New Roman" w:cs="Times New Roman"/>
          <w:color w:val="auto"/>
          <w:sz w:val="24"/>
          <w:szCs w:val="32"/>
        </w:rPr>
      </w:pPr>
      <w:r>
        <w:rPr>
          <w:rFonts w:ascii="Times New Roman" w:hAnsi="Times New Roman" w:cs="Times New Roman"/>
          <w:color w:val="auto"/>
          <w:sz w:val="24"/>
          <w:szCs w:val="32"/>
          <w:vertAlign w:val="superscript"/>
        </w:rPr>
        <w:t>*</w:t>
      </w:r>
      <w:r>
        <w:rPr>
          <w:rFonts w:ascii="Times New Roman" w:hAnsi="Times New Roman" w:cs="Times New Roman"/>
          <w:color w:val="auto"/>
          <w:sz w:val="24"/>
          <w:szCs w:val="32"/>
        </w:rPr>
        <w:t>Corresponding Author</w:t>
      </w:r>
      <w:r>
        <w:rPr>
          <w:rFonts w:hint="eastAsia" w:ascii="Times New Roman" w:hAnsi="Times New Roman" w:cs="Times New Roman"/>
          <w:color w:val="auto"/>
          <w:sz w:val="24"/>
          <w:szCs w:val="32"/>
        </w:rPr>
        <w:t xml:space="preserve"> </w:t>
      </w:r>
      <w:r>
        <w:rPr>
          <w:rFonts w:ascii="Times New Roman" w:hAnsi="Times New Roman" w:cs="Times New Roman"/>
          <w:color w:val="auto"/>
          <w:sz w:val="24"/>
          <w:szCs w:val="32"/>
        </w:rPr>
        <w:t xml:space="preserve">E-mail addresses: </w:t>
      </w:r>
      <w:r>
        <w:rPr>
          <w:color w:val="auto"/>
        </w:rPr>
        <w:fldChar w:fldCharType="begin"/>
      </w:r>
      <w:r>
        <w:rPr>
          <w:color w:val="auto"/>
        </w:rPr>
        <w:instrText xml:space="preserve"> HYPERLINK "mailto:13888410901@163.com" </w:instrText>
      </w:r>
      <w:r>
        <w:rPr>
          <w:color w:val="auto"/>
        </w:rPr>
        <w:fldChar w:fldCharType="separate"/>
      </w:r>
      <w:r>
        <w:rPr>
          <w:rStyle w:val="17"/>
          <w:rFonts w:hint="eastAsia" w:ascii="Times New Roman" w:hAnsi="Times New Roman" w:cs="Times New Roman"/>
          <w:color w:val="auto"/>
          <w:sz w:val="24"/>
          <w:szCs w:val="32"/>
        </w:rPr>
        <w:t>13888410901@163.com</w:t>
      </w:r>
      <w:r>
        <w:rPr>
          <w:rStyle w:val="17"/>
          <w:rFonts w:hint="eastAsia" w:ascii="Times New Roman" w:hAnsi="Times New Roman" w:cs="Times New Roman"/>
          <w:color w:val="auto"/>
          <w:sz w:val="24"/>
          <w:szCs w:val="32"/>
        </w:rPr>
        <w:fldChar w:fldCharType="end"/>
      </w:r>
      <w:r>
        <w:rPr>
          <w:rFonts w:hint="eastAsia" w:ascii="Times New Roman" w:hAnsi="Times New Roman" w:cs="Times New Roman"/>
          <w:color w:val="auto"/>
          <w:sz w:val="24"/>
          <w:szCs w:val="32"/>
        </w:rPr>
        <w:t xml:space="preserve"> </w:t>
      </w:r>
      <w:r>
        <w:rPr>
          <w:rFonts w:ascii="Times New Roman" w:hAnsi="Times New Roman" w:cs="Times New Roman"/>
          <w:color w:val="auto"/>
          <w:sz w:val="24"/>
          <w:szCs w:val="32"/>
        </w:rPr>
        <w:t>(Lin</w:t>
      </w:r>
      <w:r>
        <w:rPr>
          <w:rFonts w:hint="eastAsia" w:ascii="Times New Roman" w:hAnsi="Times New Roman" w:cs="Times New Roman"/>
          <w:color w:val="auto"/>
          <w:sz w:val="24"/>
          <w:szCs w:val="32"/>
        </w:rPr>
        <w:t xml:space="preserve"> </w:t>
      </w:r>
      <w:r>
        <w:rPr>
          <w:rFonts w:ascii="Times New Roman" w:hAnsi="Times New Roman" w:cs="Times New Roman"/>
          <w:color w:val="auto"/>
          <w:sz w:val="24"/>
          <w:szCs w:val="32"/>
        </w:rPr>
        <w:t xml:space="preserve">Zhao), </w:t>
      </w:r>
      <w:r>
        <w:rPr>
          <w:color w:val="auto"/>
        </w:rPr>
        <w:fldChar w:fldCharType="begin"/>
      </w:r>
      <w:r>
        <w:rPr>
          <w:color w:val="auto"/>
        </w:rPr>
        <w:instrText xml:space="preserve"> HYPERLINK "mailto:caoxia@kmmu.edu.cn" </w:instrText>
      </w:r>
      <w:r>
        <w:rPr>
          <w:color w:val="auto"/>
        </w:rPr>
        <w:fldChar w:fldCharType="separate"/>
      </w:r>
      <w:r>
        <w:rPr>
          <w:rStyle w:val="17"/>
          <w:rFonts w:ascii="Times New Roman" w:hAnsi="Times New Roman" w:cs="Times New Roman"/>
          <w:color w:val="auto"/>
          <w:sz w:val="24"/>
          <w:szCs w:val="32"/>
        </w:rPr>
        <w:t>caoxia@kmmu.edu.cn</w:t>
      </w:r>
      <w:r>
        <w:rPr>
          <w:rStyle w:val="17"/>
          <w:rFonts w:ascii="Times New Roman" w:hAnsi="Times New Roman" w:cs="Times New Roman"/>
          <w:color w:val="auto"/>
          <w:sz w:val="24"/>
          <w:szCs w:val="32"/>
        </w:rPr>
        <w:fldChar w:fldCharType="end"/>
      </w:r>
      <w:r>
        <w:rPr>
          <w:rFonts w:hint="eastAsia" w:ascii="Times New Roman" w:hAnsi="Times New Roman" w:cs="Times New Roman"/>
          <w:color w:val="auto"/>
          <w:sz w:val="24"/>
          <w:szCs w:val="32"/>
        </w:rPr>
        <w:t xml:space="preserve"> (</w:t>
      </w:r>
      <w:r>
        <w:rPr>
          <w:rFonts w:ascii="Times New Roman" w:hAnsi="Times New Roman" w:cs="Times New Roman"/>
          <w:color w:val="auto"/>
          <w:sz w:val="24"/>
          <w:szCs w:val="32"/>
        </w:rPr>
        <w:t>Xia</w:t>
      </w:r>
      <w:r>
        <w:rPr>
          <w:rFonts w:hint="eastAsia" w:ascii="Times New Roman" w:hAnsi="Times New Roman" w:cs="Times New Roman"/>
          <w:color w:val="auto"/>
          <w:sz w:val="24"/>
          <w:szCs w:val="32"/>
        </w:rPr>
        <w:t xml:space="preserve"> </w:t>
      </w:r>
      <w:r>
        <w:rPr>
          <w:rFonts w:ascii="Times New Roman" w:hAnsi="Times New Roman" w:cs="Times New Roman"/>
          <w:color w:val="auto"/>
          <w:sz w:val="24"/>
          <w:szCs w:val="32"/>
        </w:rPr>
        <w:t>Cao).</w:t>
      </w:r>
    </w:p>
    <w:p w14:paraId="59CB9440">
      <w:pPr>
        <w:rPr>
          <w:rFonts w:ascii="Times New Roman" w:hAnsi="Times New Roman" w:cs="Times New Roman"/>
          <w:b/>
          <w:bCs/>
          <w:color w:val="auto"/>
          <w:sz w:val="28"/>
          <w:szCs w:val="36"/>
        </w:rPr>
      </w:pPr>
      <w:bookmarkStart w:id="1" w:name="OLE_LINK96"/>
      <w:bookmarkStart w:id="2" w:name="OLE_LINK97"/>
      <w:r>
        <w:rPr>
          <w:rFonts w:ascii="Times New Roman" w:hAnsi="Times New Roman" w:cs="Times New Roman"/>
          <w:b/>
          <w:bCs/>
          <w:color w:val="auto"/>
          <w:sz w:val="28"/>
          <w:szCs w:val="36"/>
        </w:rPr>
        <w:br w:type="page"/>
      </w:r>
    </w:p>
    <w:p w14:paraId="3C7A7A5C">
      <w:pPr>
        <w:spacing w:line="360" w:lineRule="auto"/>
        <w:rPr>
          <w:rFonts w:ascii="Times New Roman" w:hAnsi="Times New Roman" w:cs="Times New Roman"/>
          <w:color w:val="auto"/>
          <w:sz w:val="24"/>
          <w:szCs w:val="32"/>
        </w:rPr>
      </w:pPr>
      <w:r>
        <w:rPr>
          <w:rFonts w:hint="eastAsia" w:ascii="Times New Roman" w:hAnsi="Times New Roman" w:cs="Times New Roman"/>
          <w:b/>
          <w:bCs/>
          <w:color w:val="auto"/>
          <w:sz w:val="28"/>
          <w:szCs w:val="36"/>
        </w:rPr>
        <w:t>Case report: Observed improvements in immune parameters and behavioral symptoms following low-dose IL-2 treatment in four autistic children with immune dysfunction</w:t>
      </w:r>
    </w:p>
    <w:p w14:paraId="7FF046D6">
      <w:pPr>
        <w:spacing w:line="360" w:lineRule="auto"/>
        <w:rPr>
          <w:rFonts w:ascii="Times New Roman" w:hAnsi="Times New Roman" w:cs="Times New Roman"/>
          <w:color w:val="auto"/>
          <w:sz w:val="24"/>
          <w:szCs w:val="32"/>
          <w:vertAlign w:val="superscript"/>
        </w:rPr>
      </w:pPr>
      <w:r>
        <w:rPr>
          <w:rFonts w:ascii="Times New Roman" w:hAnsi="Times New Roman" w:cs="Times New Roman"/>
          <w:color w:val="auto"/>
          <w:sz w:val="24"/>
          <w:szCs w:val="32"/>
        </w:rPr>
        <w:t>Huiling</w:t>
      </w:r>
      <w:r>
        <w:rPr>
          <w:rFonts w:hint="eastAsia" w:ascii="Times New Roman" w:hAnsi="Times New Roman" w:cs="Times New Roman"/>
          <w:color w:val="auto"/>
          <w:sz w:val="24"/>
          <w:szCs w:val="32"/>
        </w:rPr>
        <w:t xml:space="preserve"> </w:t>
      </w:r>
      <w:r>
        <w:rPr>
          <w:rFonts w:ascii="Times New Roman" w:hAnsi="Times New Roman" w:cs="Times New Roman"/>
          <w:color w:val="auto"/>
          <w:sz w:val="24"/>
          <w:szCs w:val="32"/>
        </w:rPr>
        <w:t>Chen</w:t>
      </w:r>
      <w:r>
        <w:rPr>
          <w:rFonts w:ascii="Times New Roman" w:hAnsi="Times New Roman" w:cs="Times New Roman"/>
          <w:color w:val="auto"/>
          <w:sz w:val="24"/>
          <w:szCs w:val="32"/>
          <w:vertAlign w:val="superscript"/>
        </w:rPr>
        <w:t>a</w:t>
      </w:r>
      <w:r>
        <w:rPr>
          <w:rFonts w:ascii="Times New Roman" w:hAnsi="Times New Roman" w:cs="Times New Roman"/>
          <w:color w:val="auto"/>
          <w:sz w:val="24"/>
          <w:szCs w:val="32"/>
        </w:rPr>
        <w:t>; Meng</w:t>
      </w:r>
      <w:r>
        <w:rPr>
          <w:rFonts w:hint="eastAsia" w:ascii="Times New Roman" w:hAnsi="Times New Roman" w:cs="Times New Roman"/>
          <w:color w:val="auto"/>
          <w:sz w:val="24"/>
          <w:szCs w:val="32"/>
        </w:rPr>
        <w:t xml:space="preserve"> </w:t>
      </w:r>
      <w:r>
        <w:rPr>
          <w:rFonts w:ascii="Times New Roman" w:hAnsi="Times New Roman" w:cs="Times New Roman"/>
          <w:color w:val="auto"/>
          <w:sz w:val="24"/>
          <w:szCs w:val="32"/>
        </w:rPr>
        <w:t>Li</w:t>
      </w:r>
      <w:r>
        <w:rPr>
          <w:rFonts w:ascii="Times New Roman" w:hAnsi="Times New Roman" w:cs="Times New Roman"/>
          <w:color w:val="auto"/>
          <w:sz w:val="24"/>
          <w:szCs w:val="32"/>
          <w:vertAlign w:val="superscript"/>
        </w:rPr>
        <w:t>a</w:t>
      </w:r>
      <w:r>
        <w:rPr>
          <w:rFonts w:ascii="Times New Roman" w:hAnsi="Times New Roman" w:cs="Times New Roman"/>
          <w:color w:val="auto"/>
          <w:sz w:val="24"/>
          <w:szCs w:val="32"/>
        </w:rPr>
        <w:t>; Penghao</w:t>
      </w:r>
      <w:r>
        <w:rPr>
          <w:rFonts w:hint="eastAsia" w:ascii="Times New Roman" w:hAnsi="Times New Roman" w:cs="Times New Roman"/>
          <w:color w:val="auto"/>
          <w:sz w:val="24"/>
          <w:szCs w:val="32"/>
        </w:rPr>
        <w:t xml:space="preserve"> </w:t>
      </w:r>
      <w:r>
        <w:rPr>
          <w:rFonts w:ascii="Times New Roman" w:hAnsi="Times New Roman" w:cs="Times New Roman"/>
          <w:color w:val="auto"/>
          <w:sz w:val="24"/>
          <w:szCs w:val="32"/>
        </w:rPr>
        <w:t>Yao</w:t>
      </w:r>
      <w:r>
        <w:rPr>
          <w:rFonts w:ascii="Times New Roman" w:hAnsi="Times New Roman" w:cs="Times New Roman"/>
          <w:color w:val="auto"/>
          <w:sz w:val="24"/>
          <w:szCs w:val="32"/>
          <w:vertAlign w:val="superscript"/>
        </w:rPr>
        <w:t>a</w:t>
      </w:r>
      <w:r>
        <w:rPr>
          <w:rFonts w:ascii="Times New Roman" w:hAnsi="Times New Roman" w:cs="Times New Roman"/>
          <w:color w:val="auto"/>
          <w:sz w:val="24"/>
          <w:szCs w:val="32"/>
        </w:rPr>
        <w:t>; Zuqing</w:t>
      </w:r>
      <w:r>
        <w:rPr>
          <w:rFonts w:hint="eastAsia" w:ascii="Times New Roman" w:hAnsi="Times New Roman" w:cs="Times New Roman"/>
          <w:color w:val="auto"/>
          <w:sz w:val="24"/>
          <w:szCs w:val="32"/>
        </w:rPr>
        <w:t xml:space="preserve"> </w:t>
      </w:r>
      <w:r>
        <w:rPr>
          <w:rFonts w:ascii="Times New Roman" w:hAnsi="Times New Roman" w:cs="Times New Roman"/>
          <w:color w:val="auto"/>
          <w:sz w:val="24"/>
          <w:szCs w:val="32"/>
        </w:rPr>
        <w:t>Nie</w:t>
      </w:r>
      <w:r>
        <w:rPr>
          <w:rFonts w:ascii="Times New Roman" w:hAnsi="Times New Roman" w:cs="Times New Roman"/>
          <w:color w:val="auto"/>
          <w:sz w:val="24"/>
          <w:szCs w:val="32"/>
          <w:vertAlign w:val="superscript"/>
        </w:rPr>
        <w:t>a</w:t>
      </w:r>
      <w:r>
        <w:rPr>
          <w:rFonts w:ascii="Times New Roman" w:hAnsi="Times New Roman" w:cs="Times New Roman"/>
          <w:color w:val="auto"/>
          <w:sz w:val="24"/>
          <w:szCs w:val="32"/>
        </w:rPr>
        <w:t>; Li</w:t>
      </w:r>
      <w:r>
        <w:rPr>
          <w:rFonts w:hint="eastAsia" w:ascii="Times New Roman" w:hAnsi="Times New Roman" w:cs="Times New Roman"/>
          <w:color w:val="auto"/>
          <w:sz w:val="24"/>
          <w:szCs w:val="32"/>
        </w:rPr>
        <w:t xml:space="preserve"> </w:t>
      </w:r>
      <w:r>
        <w:rPr>
          <w:rFonts w:ascii="Times New Roman" w:hAnsi="Times New Roman" w:cs="Times New Roman"/>
          <w:color w:val="auto"/>
          <w:sz w:val="24"/>
          <w:szCs w:val="32"/>
        </w:rPr>
        <w:t>Xu</w:t>
      </w:r>
      <w:r>
        <w:rPr>
          <w:rFonts w:ascii="Times New Roman" w:hAnsi="Times New Roman" w:cs="Times New Roman"/>
          <w:color w:val="auto"/>
          <w:sz w:val="24"/>
          <w:szCs w:val="32"/>
          <w:vertAlign w:val="superscript"/>
        </w:rPr>
        <w:t>c</w:t>
      </w:r>
      <w:r>
        <w:rPr>
          <w:rFonts w:ascii="Times New Roman" w:hAnsi="Times New Roman" w:cs="Times New Roman"/>
          <w:color w:val="auto"/>
          <w:sz w:val="24"/>
          <w:szCs w:val="32"/>
        </w:rPr>
        <w:t>; Yan</w:t>
      </w:r>
      <w:r>
        <w:rPr>
          <w:rFonts w:hint="eastAsia" w:ascii="Times New Roman" w:hAnsi="Times New Roman" w:cs="Times New Roman"/>
          <w:color w:val="auto"/>
          <w:sz w:val="24"/>
          <w:szCs w:val="32"/>
        </w:rPr>
        <w:t xml:space="preserve"> </w:t>
      </w:r>
      <w:r>
        <w:rPr>
          <w:rFonts w:ascii="Times New Roman" w:hAnsi="Times New Roman" w:cs="Times New Roman"/>
          <w:color w:val="auto"/>
          <w:sz w:val="24"/>
          <w:szCs w:val="32"/>
        </w:rPr>
        <w:t>Zhang</w:t>
      </w:r>
      <w:r>
        <w:rPr>
          <w:rFonts w:ascii="Times New Roman" w:hAnsi="Times New Roman" w:cs="Times New Roman"/>
          <w:color w:val="auto"/>
          <w:sz w:val="24"/>
          <w:szCs w:val="32"/>
          <w:vertAlign w:val="superscript"/>
        </w:rPr>
        <w:t>c</w:t>
      </w:r>
      <w:r>
        <w:rPr>
          <w:rFonts w:ascii="Times New Roman" w:hAnsi="Times New Roman" w:cs="Times New Roman"/>
          <w:color w:val="auto"/>
          <w:sz w:val="24"/>
          <w:szCs w:val="32"/>
        </w:rPr>
        <w:t>; Xinyi</w:t>
      </w:r>
      <w:r>
        <w:rPr>
          <w:rFonts w:hint="eastAsia" w:ascii="Times New Roman" w:hAnsi="Times New Roman" w:cs="Times New Roman"/>
          <w:color w:val="auto"/>
          <w:sz w:val="24"/>
          <w:szCs w:val="32"/>
        </w:rPr>
        <w:t xml:space="preserve"> </w:t>
      </w:r>
      <w:r>
        <w:rPr>
          <w:rFonts w:ascii="Times New Roman" w:hAnsi="Times New Roman" w:cs="Times New Roman"/>
          <w:color w:val="auto"/>
          <w:sz w:val="24"/>
          <w:szCs w:val="32"/>
        </w:rPr>
        <w:t>Xu</w:t>
      </w:r>
      <w:r>
        <w:rPr>
          <w:rFonts w:ascii="Times New Roman" w:hAnsi="Times New Roman" w:cs="Times New Roman"/>
          <w:color w:val="auto"/>
          <w:sz w:val="24"/>
          <w:szCs w:val="32"/>
          <w:vertAlign w:val="superscript"/>
        </w:rPr>
        <w:t>a</w:t>
      </w:r>
      <w:r>
        <w:rPr>
          <w:rFonts w:ascii="Times New Roman" w:hAnsi="Times New Roman" w:cs="Times New Roman"/>
          <w:color w:val="auto"/>
          <w:sz w:val="24"/>
          <w:szCs w:val="32"/>
        </w:rPr>
        <w:t>; Chen</w:t>
      </w:r>
      <w:r>
        <w:rPr>
          <w:rFonts w:hint="eastAsia" w:ascii="Times New Roman" w:hAnsi="Times New Roman" w:cs="Times New Roman"/>
          <w:color w:val="auto"/>
          <w:sz w:val="24"/>
          <w:szCs w:val="32"/>
        </w:rPr>
        <w:t xml:space="preserve"> </w:t>
      </w:r>
      <w:r>
        <w:rPr>
          <w:rFonts w:ascii="Times New Roman" w:hAnsi="Times New Roman" w:cs="Times New Roman"/>
          <w:color w:val="auto"/>
          <w:sz w:val="24"/>
          <w:szCs w:val="32"/>
        </w:rPr>
        <w:t>Shen</w:t>
      </w:r>
      <w:r>
        <w:rPr>
          <w:rFonts w:ascii="Times New Roman" w:hAnsi="Times New Roman" w:cs="Times New Roman"/>
          <w:color w:val="auto"/>
          <w:sz w:val="24"/>
          <w:szCs w:val="32"/>
          <w:vertAlign w:val="superscript"/>
        </w:rPr>
        <w:t>a</w:t>
      </w:r>
      <w:r>
        <w:rPr>
          <w:rFonts w:ascii="Times New Roman" w:hAnsi="Times New Roman" w:cs="Times New Roman"/>
          <w:color w:val="auto"/>
          <w:sz w:val="24"/>
          <w:szCs w:val="32"/>
        </w:rPr>
        <w:t xml:space="preserve">; </w:t>
      </w:r>
      <w:r>
        <w:rPr>
          <w:rFonts w:hint="eastAsia" w:ascii="Times New Roman" w:hAnsi="Times New Roman" w:cs="Times New Roman"/>
          <w:color w:val="auto"/>
          <w:sz w:val="24"/>
          <w:szCs w:val="32"/>
        </w:rPr>
        <w:t>Juli Huang</w:t>
      </w:r>
      <w:r>
        <w:rPr>
          <w:rFonts w:hint="eastAsia" w:ascii="Times New Roman" w:hAnsi="Times New Roman" w:cs="Times New Roman"/>
          <w:color w:val="auto"/>
          <w:sz w:val="24"/>
          <w:szCs w:val="32"/>
          <w:vertAlign w:val="superscript"/>
        </w:rPr>
        <w:t>b</w:t>
      </w:r>
      <w:r>
        <w:rPr>
          <w:rFonts w:hint="eastAsia" w:ascii="Times New Roman" w:hAnsi="Times New Roman" w:cs="Times New Roman"/>
          <w:color w:val="auto"/>
          <w:sz w:val="24"/>
          <w:szCs w:val="32"/>
        </w:rPr>
        <w:t>; Yan Liu</w:t>
      </w:r>
      <w:r>
        <w:rPr>
          <w:rFonts w:hint="eastAsia" w:ascii="Times New Roman" w:hAnsi="Times New Roman" w:cs="Times New Roman"/>
          <w:color w:val="auto"/>
          <w:sz w:val="24"/>
          <w:szCs w:val="32"/>
          <w:vertAlign w:val="superscript"/>
        </w:rPr>
        <w:t>b</w:t>
      </w:r>
      <w:r>
        <w:rPr>
          <w:rFonts w:hint="eastAsia" w:ascii="Times New Roman" w:hAnsi="Times New Roman" w:cs="Times New Roman"/>
          <w:color w:val="auto"/>
          <w:sz w:val="24"/>
          <w:szCs w:val="32"/>
        </w:rPr>
        <w:t xml:space="preserve">; </w:t>
      </w:r>
      <w:r>
        <w:rPr>
          <w:rFonts w:ascii="Times New Roman" w:hAnsi="Times New Roman" w:cs="Times New Roman"/>
          <w:color w:val="auto"/>
          <w:sz w:val="24"/>
          <w:szCs w:val="32"/>
        </w:rPr>
        <w:t>Zhiwei</w:t>
      </w:r>
      <w:r>
        <w:rPr>
          <w:rFonts w:hint="eastAsia" w:ascii="Times New Roman" w:hAnsi="Times New Roman" w:cs="Times New Roman"/>
          <w:color w:val="auto"/>
          <w:sz w:val="24"/>
          <w:szCs w:val="32"/>
        </w:rPr>
        <w:t xml:space="preserve"> </w:t>
      </w:r>
      <w:r>
        <w:rPr>
          <w:rFonts w:ascii="Times New Roman" w:hAnsi="Times New Roman" w:cs="Times New Roman"/>
          <w:color w:val="auto"/>
          <w:sz w:val="24"/>
          <w:szCs w:val="32"/>
        </w:rPr>
        <w:t>Li</w:t>
      </w:r>
      <w:r>
        <w:rPr>
          <w:rFonts w:ascii="Times New Roman" w:hAnsi="Times New Roman" w:cs="Times New Roman"/>
          <w:color w:val="auto"/>
          <w:sz w:val="24"/>
          <w:szCs w:val="32"/>
          <w:vertAlign w:val="superscript"/>
        </w:rPr>
        <w:t>a</w:t>
      </w:r>
      <w:r>
        <w:rPr>
          <w:rFonts w:ascii="Times New Roman" w:hAnsi="Times New Roman" w:cs="Times New Roman"/>
          <w:color w:val="auto"/>
          <w:sz w:val="24"/>
          <w:szCs w:val="32"/>
        </w:rPr>
        <w:t>; Jie</w:t>
      </w:r>
      <w:r>
        <w:rPr>
          <w:rFonts w:hint="eastAsia" w:ascii="Times New Roman" w:hAnsi="Times New Roman" w:cs="Times New Roman"/>
          <w:color w:val="auto"/>
          <w:sz w:val="24"/>
          <w:szCs w:val="32"/>
        </w:rPr>
        <w:t xml:space="preserve"> </w:t>
      </w:r>
      <w:r>
        <w:rPr>
          <w:rFonts w:ascii="Times New Roman" w:hAnsi="Times New Roman" w:cs="Times New Roman"/>
          <w:color w:val="auto"/>
          <w:sz w:val="24"/>
          <w:szCs w:val="32"/>
        </w:rPr>
        <w:t>Wen</w:t>
      </w:r>
      <w:r>
        <w:rPr>
          <w:rFonts w:ascii="Times New Roman" w:hAnsi="Times New Roman" w:cs="Times New Roman"/>
          <w:color w:val="auto"/>
          <w:sz w:val="24"/>
          <w:szCs w:val="32"/>
          <w:vertAlign w:val="superscript"/>
        </w:rPr>
        <w:t>a</w:t>
      </w:r>
      <w:r>
        <w:rPr>
          <w:rFonts w:ascii="Times New Roman" w:hAnsi="Times New Roman" w:cs="Times New Roman"/>
          <w:color w:val="auto"/>
          <w:sz w:val="24"/>
          <w:szCs w:val="32"/>
        </w:rPr>
        <w:t>; Lin</w:t>
      </w:r>
      <w:r>
        <w:rPr>
          <w:rFonts w:hint="eastAsia" w:ascii="Times New Roman" w:hAnsi="Times New Roman" w:cs="Times New Roman"/>
          <w:color w:val="auto"/>
          <w:sz w:val="24"/>
          <w:szCs w:val="32"/>
        </w:rPr>
        <w:t xml:space="preserve"> </w:t>
      </w:r>
      <w:r>
        <w:rPr>
          <w:rFonts w:ascii="Times New Roman" w:hAnsi="Times New Roman" w:cs="Times New Roman"/>
          <w:color w:val="auto"/>
          <w:sz w:val="24"/>
          <w:szCs w:val="32"/>
        </w:rPr>
        <w:t>Zha</w:t>
      </w:r>
      <w:r>
        <w:rPr>
          <w:rFonts w:hint="eastAsia" w:ascii="Times New Roman" w:hAnsi="Times New Roman" w:cs="Times New Roman"/>
          <w:color w:val="auto"/>
          <w:sz w:val="24"/>
          <w:szCs w:val="32"/>
        </w:rPr>
        <w:t>o</w:t>
      </w:r>
      <w:r>
        <w:rPr>
          <w:rFonts w:ascii="Times New Roman" w:hAnsi="Times New Roman" w:cs="Times New Roman"/>
          <w:color w:val="auto"/>
          <w:sz w:val="24"/>
          <w:szCs w:val="32"/>
          <w:vertAlign w:val="superscript"/>
        </w:rPr>
        <w:t>*b</w:t>
      </w:r>
      <w:r>
        <w:rPr>
          <w:rFonts w:ascii="Times New Roman" w:hAnsi="Times New Roman" w:cs="Times New Roman"/>
          <w:color w:val="auto"/>
          <w:sz w:val="24"/>
          <w:szCs w:val="32"/>
        </w:rPr>
        <w:t>; Xia</w:t>
      </w:r>
      <w:r>
        <w:rPr>
          <w:rFonts w:hint="eastAsia" w:ascii="Times New Roman" w:hAnsi="Times New Roman" w:cs="Times New Roman"/>
          <w:color w:val="auto"/>
          <w:sz w:val="24"/>
          <w:szCs w:val="32"/>
        </w:rPr>
        <w:t xml:space="preserve"> </w:t>
      </w:r>
      <w:r>
        <w:rPr>
          <w:rFonts w:ascii="Times New Roman" w:hAnsi="Times New Roman" w:cs="Times New Roman"/>
          <w:color w:val="auto"/>
          <w:sz w:val="24"/>
          <w:szCs w:val="32"/>
        </w:rPr>
        <w:t>Cao</w:t>
      </w:r>
      <w:r>
        <w:rPr>
          <w:rFonts w:ascii="Times New Roman" w:hAnsi="Times New Roman" w:cs="Times New Roman"/>
          <w:color w:val="auto"/>
          <w:sz w:val="24"/>
          <w:szCs w:val="32"/>
          <w:vertAlign w:val="superscript"/>
        </w:rPr>
        <w:t>*</w:t>
      </w:r>
      <w:r>
        <w:rPr>
          <w:rFonts w:hint="eastAsia" w:ascii="Times New Roman" w:hAnsi="Times New Roman" w:cs="Times New Roman"/>
          <w:color w:val="auto"/>
          <w:sz w:val="24"/>
          <w:szCs w:val="32"/>
          <w:vertAlign w:val="superscript"/>
          <w:lang w:val="en-US" w:eastAsia="zh-CN"/>
        </w:rPr>
        <w:t>d</w:t>
      </w:r>
    </w:p>
    <w:p w14:paraId="3FDA6C77">
      <w:pPr>
        <w:spacing w:line="360" w:lineRule="auto"/>
        <w:rPr>
          <w:rFonts w:ascii="Times New Roman" w:hAnsi="Times New Roman" w:cs="Times New Roman"/>
          <w:color w:val="auto"/>
          <w:sz w:val="24"/>
          <w:szCs w:val="32"/>
          <w:vertAlign w:val="superscript"/>
        </w:rPr>
      </w:pPr>
    </w:p>
    <w:p w14:paraId="397FDA49">
      <w:pPr>
        <w:spacing w:line="360" w:lineRule="auto"/>
        <w:rPr>
          <w:rFonts w:ascii="Times New Roman" w:hAnsi="Times New Roman" w:cs="Times New Roman"/>
          <w:color w:val="auto"/>
          <w:sz w:val="24"/>
          <w:szCs w:val="32"/>
        </w:rPr>
      </w:pPr>
      <w:r>
        <w:rPr>
          <w:rFonts w:ascii="Times New Roman" w:hAnsi="Times New Roman" w:cs="Times New Roman"/>
          <w:color w:val="auto"/>
          <w:sz w:val="24"/>
          <w:szCs w:val="32"/>
          <w:vertAlign w:val="superscript"/>
        </w:rPr>
        <w:t>a</w:t>
      </w:r>
      <w:r>
        <w:rPr>
          <w:rFonts w:ascii="Times New Roman" w:hAnsi="Times New Roman" w:cs="Times New Roman"/>
          <w:color w:val="auto"/>
          <w:sz w:val="24"/>
          <w:szCs w:val="32"/>
        </w:rPr>
        <w:t>The Key Laboratory, The 2nd Affiliated Hospital of Kunming Medical University, Kunming, Yunnan, China</w:t>
      </w:r>
    </w:p>
    <w:p w14:paraId="78E6002D">
      <w:pPr>
        <w:spacing w:line="360" w:lineRule="auto"/>
        <w:rPr>
          <w:rFonts w:ascii="Times New Roman" w:hAnsi="Times New Roman" w:cs="Times New Roman"/>
          <w:color w:val="auto"/>
          <w:sz w:val="24"/>
          <w:szCs w:val="32"/>
        </w:rPr>
      </w:pPr>
      <w:r>
        <w:rPr>
          <w:rFonts w:ascii="Times New Roman" w:hAnsi="Times New Roman" w:cs="Times New Roman"/>
          <w:color w:val="auto"/>
          <w:sz w:val="24"/>
          <w:szCs w:val="32"/>
          <w:vertAlign w:val="superscript"/>
        </w:rPr>
        <w:t>b</w:t>
      </w:r>
      <w:r>
        <w:rPr>
          <w:rFonts w:ascii="Times New Roman" w:hAnsi="Times New Roman" w:cs="Times New Roman"/>
          <w:color w:val="auto"/>
          <w:sz w:val="24"/>
          <w:szCs w:val="32"/>
        </w:rPr>
        <w:t>Pediatrics Department, The 2nd Affiliated Hospital of Kunming Medical University, Kunming, Yunnan, China</w:t>
      </w:r>
    </w:p>
    <w:p w14:paraId="2AA1C080">
      <w:pPr>
        <w:spacing w:line="360" w:lineRule="auto"/>
        <w:rPr>
          <w:rFonts w:ascii="Times New Roman" w:hAnsi="Times New Roman" w:cs="Times New Roman"/>
          <w:color w:val="auto"/>
          <w:sz w:val="24"/>
          <w:szCs w:val="32"/>
        </w:rPr>
      </w:pPr>
      <w:r>
        <w:rPr>
          <w:rFonts w:ascii="Times New Roman" w:hAnsi="Times New Roman" w:cs="Times New Roman"/>
          <w:color w:val="auto"/>
          <w:sz w:val="24"/>
          <w:szCs w:val="32"/>
          <w:vertAlign w:val="superscript"/>
        </w:rPr>
        <w:t>c</w:t>
      </w:r>
      <w:r>
        <w:rPr>
          <w:rFonts w:ascii="Times New Roman" w:hAnsi="Times New Roman" w:cs="Times New Roman"/>
          <w:color w:val="auto"/>
          <w:sz w:val="24"/>
          <w:szCs w:val="32"/>
        </w:rPr>
        <w:t>Psychiatric Department, The 2nd Affiliated Hospital of Kunming Medical University, Kunming, Yunnan, China</w:t>
      </w:r>
    </w:p>
    <w:p w14:paraId="22E1CD7F">
      <w:pPr>
        <w:spacing w:line="360" w:lineRule="auto"/>
        <w:rPr>
          <w:rFonts w:ascii="Times New Roman" w:hAnsi="Times New Roman" w:cs="Times New Roman"/>
          <w:color w:val="auto"/>
          <w:sz w:val="24"/>
          <w:szCs w:val="32"/>
        </w:rPr>
      </w:pPr>
      <w:r>
        <w:rPr>
          <w:rFonts w:hint="eastAsia" w:ascii="Times New Roman" w:hAnsi="Times New Roman" w:cs="Times New Roman"/>
          <w:color w:val="auto"/>
          <w:sz w:val="24"/>
          <w:szCs w:val="32"/>
          <w:vertAlign w:val="superscript"/>
          <w:lang w:val="en-US" w:eastAsia="zh-CN"/>
        </w:rPr>
        <w:t>d</w:t>
      </w:r>
      <w:r>
        <w:rPr>
          <w:rFonts w:hint="eastAsia" w:ascii="Times New Roman" w:hAnsi="Times New Roman" w:cs="Times New Roman"/>
          <w:color w:val="auto"/>
          <w:sz w:val="24"/>
          <w:szCs w:val="32"/>
        </w:rPr>
        <w:t>Outpatient Department</w:t>
      </w:r>
      <w:r>
        <w:rPr>
          <w:rFonts w:hint="eastAsia" w:ascii="Times New Roman" w:hAnsi="Times New Roman" w:cs="Times New Roman"/>
          <w:color w:val="auto"/>
          <w:sz w:val="24"/>
          <w:szCs w:val="32"/>
          <w:lang w:eastAsia="zh-CN"/>
        </w:rPr>
        <w:t>，</w:t>
      </w:r>
      <w:r>
        <w:rPr>
          <w:rFonts w:ascii="Times New Roman" w:hAnsi="Times New Roman" w:cs="Times New Roman"/>
          <w:color w:val="auto"/>
          <w:sz w:val="24"/>
          <w:szCs w:val="32"/>
        </w:rPr>
        <w:t>The 2nd Affiliated Hospital of Kunming Medical University, Kunming, Yunnan, China</w:t>
      </w:r>
    </w:p>
    <w:p w14:paraId="1A62B59C">
      <w:pPr>
        <w:spacing w:line="360" w:lineRule="auto"/>
        <w:rPr>
          <w:rFonts w:ascii="Times New Roman" w:hAnsi="Times New Roman" w:cs="Times New Roman"/>
          <w:color w:val="auto"/>
          <w:sz w:val="24"/>
          <w:szCs w:val="32"/>
        </w:rPr>
      </w:pPr>
      <w:r>
        <w:rPr>
          <w:rFonts w:ascii="Times New Roman" w:hAnsi="Times New Roman" w:cs="Times New Roman"/>
          <w:color w:val="auto"/>
          <w:sz w:val="24"/>
          <w:szCs w:val="32"/>
          <w:vertAlign w:val="superscript"/>
        </w:rPr>
        <w:t>*</w:t>
      </w:r>
      <w:r>
        <w:rPr>
          <w:rFonts w:ascii="Times New Roman" w:hAnsi="Times New Roman" w:cs="Times New Roman"/>
          <w:color w:val="auto"/>
          <w:sz w:val="24"/>
          <w:szCs w:val="32"/>
        </w:rPr>
        <w:t>Corresponding Author</w:t>
      </w:r>
      <w:r>
        <w:rPr>
          <w:rFonts w:hint="eastAsia" w:ascii="Times New Roman" w:hAnsi="Times New Roman" w:cs="Times New Roman"/>
          <w:color w:val="auto"/>
          <w:sz w:val="24"/>
          <w:szCs w:val="32"/>
        </w:rPr>
        <w:t xml:space="preserve"> </w:t>
      </w:r>
      <w:r>
        <w:rPr>
          <w:rFonts w:ascii="Times New Roman" w:hAnsi="Times New Roman" w:cs="Times New Roman"/>
          <w:color w:val="auto"/>
          <w:sz w:val="24"/>
          <w:szCs w:val="32"/>
        </w:rPr>
        <w:t xml:space="preserve">E-mail addresses: </w:t>
      </w:r>
      <w:r>
        <w:rPr>
          <w:color w:val="auto"/>
        </w:rPr>
        <w:fldChar w:fldCharType="begin"/>
      </w:r>
      <w:r>
        <w:rPr>
          <w:color w:val="auto"/>
        </w:rPr>
        <w:instrText xml:space="preserve"> HYPERLINK "mailto:13888410901@163.com" </w:instrText>
      </w:r>
      <w:r>
        <w:rPr>
          <w:color w:val="auto"/>
        </w:rPr>
        <w:fldChar w:fldCharType="separate"/>
      </w:r>
      <w:r>
        <w:rPr>
          <w:rStyle w:val="17"/>
          <w:rFonts w:hint="eastAsia" w:ascii="Times New Roman" w:hAnsi="Times New Roman" w:cs="Times New Roman"/>
          <w:color w:val="auto"/>
          <w:sz w:val="24"/>
          <w:szCs w:val="32"/>
        </w:rPr>
        <w:t>13888410901@163.com</w:t>
      </w:r>
      <w:r>
        <w:rPr>
          <w:rStyle w:val="17"/>
          <w:rFonts w:hint="eastAsia" w:ascii="Times New Roman" w:hAnsi="Times New Roman" w:cs="Times New Roman"/>
          <w:color w:val="auto"/>
          <w:sz w:val="24"/>
          <w:szCs w:val="32"/>
        </w:rPr>
        <w:fldChar w:fldCharType="end"/>
      </w:r>
      <w:r>
        <w:rPr>
          <w:rFonts w:hint="eastAsia" w:ascii="Times New Roman" w:hAnsi="Times New Roman" w:cs="Times New Roman"/>
          <w:color w:val="auto"/>
          <w:sz w:val="24"/>
          <w:szCs w:val="32"/>
        </w:rPr>
        <w:t xml:space="preserve"> </w:t>
      </w:r>
      <w:r>
        <w:rPr>
          <w:rFonts w:ascii="Times New Roman" w:hAnsi="Times New Roman" w:cs="Times New Roman"/>
          <w:color w:val="auto"/>
          <w:sz w:val="24"/>
          <w:szCs w:val="32"/>
        </w:rPr>
        <w:t>(Lin</w:t>
      </w:r>
      <w:r>
        <w:rPr>
          <w:rFonts w:hint="eastAsia" w:ascii="Times New Roman" w:hAnsi="Times New Roman" w:cs="Times New Roman"/>
          <w:color w:val="auto"/>
          <w:sz w:val="24"/>
          <w:szCs w:val="32"/>
        </w:rPr>
        <w:t xml:space="preserve"> </w:t>
      </w:r>
      <w:r>
        <w:rPr>
          <w:rFonts w:ascii="Times New Roman" w:hAnsi="Times New Roman" w:cs="Times New Roman"/>
          <w:color w:val="auto"/>
          <w:sz w:val="24"/>
          <w:szCs w:val="32"/>
        </w:rPr>
        <w:t xml:space="preserve">Zhao), </w:t>
      </w:r>
      <w:r>
        <w:rPr>
          <w:color w:val="auto"/>
        </w:rPr>
        <w:fldChar w:fldCharType="begin"/>
      </w:r>
      <w:r>
        <w:rPr>
          <w:color w:val="auto"/>
        </w:rPr>
        <w:instrText xml:space="preserve"> HYPERLINK "mailto:caoxia@kmmu.edu.cn" </w:instrText>
      </w:r>
      <w:r>
        <w:rPr>
          <w:color w:val="auto"/>
        </w:rPr>
        <w:fldChar w:fldCharType="separate"/>
      </w:r>
      <w:r>
        <w:rPr>
          <w:rStyle w:val="17"/>
          <w:rFonts w:hint="eastAsia" w:ascii="Times New Roman" w:hAnsi="Times New Roman" w:cs="Times New Roman"/>
          <w:color w:val="auto"/>
          <w:sz w:val="24"/>
          <w:szCs w:val="32"/>
        </w:rPr>
        <w:t>caoxia@kmmu.edu.cn</w:t>
      </w:r>
      <w:r>
        <w:rPr>
          <w:rStyle w:val="17"/>
          <w:rFonts w:hint="eastAsia" w:ascii="Times New Roman" w:hAnsi="Times New Roman" w:cs="Times New Roman"/>
          <w:color w:val="auto"/>
          <w:sz w:val="24"/>
          <w:szCs w:val="32"/>
        </w:rPr>
        <w:fldChar w:fldCharType="end"/>
      </w:r>
      <w:r>
        <w:rPr>
          <w:rFonts w:hint="eastAsia" w:ascii="Times New Roman" w:hAnsi="Times New Roman" w:cs="Times New Roman"/>
          <w:color w:val="auto"/>
          <w:sz w:val="24"/>
          <w:szCs w:val="32"/>
        </w:rPr>
        <w:t xml:space="preserve"> (</w:t>
      </w:r>
      <w:r>
        <w:rPr>
          <w:rFonts w:ascii="Times New Roman" w:hAnsi="Times New Roman" w:cs="Times New Roman"/>
          <w:color w:val="auto"/>
          <w:sz w:val="24"/>
          <w:szCs w:val="32"/>
        </w:rPr>
        <w:t>Xia</w:t>
      </w:r>
      <w:r>
        <w:rPr>
          <w:rFonts w:hint="eastAsia" w:ascii="Times New Roman" w:hAnsi="Times New Roman" w:cs="Times New Roman"/>
          <w:color w:val="auto"/>
          <w:sz w:val="24"/>
          <w:szCs w:val="32"/>
        </w:rPr>
        <w:t xml:space="preserve"> </w:t>
      </w:r>
      <w:r>
        <w:rPr>
          <w:rFonts w:ascii="Times New Roman" w:hAnsi="Times New Roman" w:cs="Times New Roman"/>
          <w:color w:val="auto"/>
          <w:sz w:val="24"/>
          <w:szCs w:val="32"/>
        </w:rPr>
        <w:t>Cao).</w:t>
      </w:r>
    </w:p>
    <w:p w14:paraId="57DDE39C">
      <w:pPr>
        <w:rPr>
          <w:rFonts w:ascii="Times New Roman" w:hAnsi="Times New Roman" w:cs="Times New Roman"/>
          <w:b/>
          <w:bCs/>
          <w:color w:val="auto"/>
          <w:sz w:val="28"/>
          <w:szCs w:val="36"/>
        </w:rPr>
      </w:pPr>
      <w:r>
        <w:rPr>
          <w:rFonts w:ascii="Times New Roman" w:hAnsi="Times New Roman" w:cs="Times New Roman"/>
          <w:b/>
          <w:bCs/>
          <w:color w:val="auto"/>
          <w:sz w:val="28"/>
          <w:szCs w:val="36"/>
        </w:rPr>
        <w:t>Abstract</w:t>
      </w:r>
    </w:p>
    <w:p w14:paraId="7671AB83">
      <w:pPr>
        <w:spacing w:line="360" w:lineRule="auto"/>
        <w:rPr>
          <w:rFonts w:ascii="Times New Roman" w:hAnsi="Times New Roman" w:cs="Times New Roman"/>
          <w:color w:val="auto"/>
          <w:sz w:val="24"/>
          <w:szCs w:val="32"/>
        </w:rPr>
      </w:pPr>
      <w:r>
        <w:rPr>
          <w:rFonts w:hint="eastAsia" w:ascii="Times New Roman" w:hAnsi="Times New Roman" w:cs="Times New Roman"/>
          <w:color w:val="auto"/>
          <w:sz w:val="24"/>
          <w:szCs w:val="32"/>
        </w:rPr>
        <w:t>Background</w:t>
      </w:r>
    </w:p>
    <w:p w14:paraId="4D9CD718">
      <w:pPr>
        <w:spacing w:line="360" w:lineRule="auto"/>
        <w:ind w:firstLine="480" w:firstLineChars="200"/>
        <w:rPr>
          <w:rFonts w:hint="eastAsia" w:ascii="Times New Roman" w:hAnsi="Times New Roman" w:cs="Times New Roman"/>
          <w:color w:val="auto"/>
          <w:sz w:val="24"/>
          <w:szCs w:val="32"/>
        </w:rPr>
      </w:pPr>
      <w:r>
        <w:rPr>
          <w:rFonts w:hint="eastAsia" w:ascii="Times New Roman" w:hAnsi="Times New Roman" w:cs="Times New Roman"/>
          <w:color w:val="auto"/>
          <w:sz w:val="24"/>
          <w:szCs w:val="32"/>
        </w:rPr>
        <w:t xml:space="preserve">Autism spectrum disorder (ASD) is a complex neurodevelopmental condition for which there are no definitive medications targeting core symptoms. Growing evidence indicates that individuals with ASD exhibit immune dysfunction and </w:t>
      </w:r>
      <w:r>
        <w:rPr>
          <w:rFonts w:hint="eastAsia" w:ascii="Times New Roman" w:hAnsi="Times New Roman" w:cs="Times New Roman"/>
          <w:color w:val="auto"/>
          <w:sz w:val="24"/>
          <w:szCs w:val="32"/>
          <w:lang w:eastAsia="zh-CN"/>
        </w:rPr>
        <w:t xml:space="preserve">evidence of </w:t>
      </w:r>
      <w:r>
        <w:rPr>
          <w:rFonts w:hint="eastAsia" w:ascii="Times New Roman" w:hAnsi="Times New Roman" w:cs="Times New Roman"/>
          <w:color w:val="auto"/>
          <w:sz w:val="24"/>
          <w:szCs w:val="32"/>
        </w:rPr>
        <w:t>peripheral and central inflammation. Immunotherapy interventions have shown promise in addressing this dysregulation. Notably, low-dose Interleukin-2 (Ld IL-2), an established treatment for certain autoimmune diseases, represents a potential therapeutic approach. Our study aims to investigate the association between Ld IL-2-induced immune modulation and behavioral improvements in children with ASD. This research may offer novel insights into potential treatment strategies for ASD.</w:t>
      </w:r>
    </w:p>
    <w:p w14:paraId="4EE28CA0">
      <w:pPr>
        <w:spacing w:line="360" w:lineRule="auto"/>
        <w:rPr>
          <w:rFonts w:ascii="Times New Roman" w:hAnsi="Times New Roman" w:cs="Times New Roman"/>
          <w:color w:val="auto"/>
          <w:sz w:val="24"/>
          <w:szCs w:val="32"/>
        </w:rPr>
      </w:pPr>
      <w:r>
        <w:rPr>
          <w:rFonts w:hint="eastAsia" w:ascii="Times New Roman" w:hAnsi="Times New Roman" w:cs="Times New Roman"/>
          <w:color w:val="auto"/>
          <w:sz w:val="24"/>
          <w:szCs w:val="32"/>
        </w:rPr>
        <w:t>Case presentation</w:t>
      </w:r>
    </w:p>
    <w:p w14:paraId="04D78A27">
      <w:pPr>
        <w:spacing w:line="360" w:lineRule="auto"/>
        <w:ind w:firstLine="480" w:firstLineChars="200"/>
        <w:rPr>
          <w:rFonts w:hint="default" w:ascii="Times New Roman" w:hAnsi="Times New Roman" w:cs="Times New Roman"/>
          <w:color w:val="auto"/>
          <w:sz w:val="24"/>
          <w:szCs w:val="32"/>
          <w:lang w:val="en-US" w:eastAsia="zh-CN"/>
        </w:rPr>
      </w:pPr>
      <w:r>
        <w:rPr>
          <w:rFonts w:ascii="Times New Roman" w:hAnsi="Times New Roman" w:cs="Times New Roman"/>
          <w:color w:val="auto"/>
          <w:sz w:val="24"/>
          <w:szCs w:val="32"/>
        </w:rPr>
        <w:t xml:space="preserve">In our previously completed single-arm, self-controlled clinical study (data unpublished), 24 ASD children with immune abnormalities received </w:t>
      </w:r>
      <w:r>
        <w:rPr>
          <w:rFonts w:hint="eastAsia" w:ascii="Times New Roman" w:hAnsi="Times New Roman" w:cs="Times New Roman"/>
          <w:color w:val="auto"/>
          <w:sz w:val="24"/>
          <w:szCs w:val="32"/>
        </w:rPr>
        <w:t xml:space="preserve">Ld IL-2 </w:t>
      </w:r>
      <w:r>
        <w:rPr>
          <w:rFonts w:ascii="Times New Roman" w:hAnsi="Times New Roman" w:cs="Times New Roman"/>
          <w:color w:val="auto"/>
          <w:sz w:val="24"/>
          <w:szCs w:val="32"/>
        </w:rPr>
        <w:t xml:space="preserve"> treatment, all of whom showed varying degrees of symptom improvement. This paper presents case reports of four </w:t>
      </w:r>
      <w:r>
        <w:rPr>
          <w:rFonts w:hint="eastAsia" w:ascii="Times New Roman" w:hAnsi="Times New Roman" w:cs="Times New Roman"/>
          <w:color w:val="auto"/>
          <w:sz w:val="24"/>
          <w:szCs w:val="32"/>
          <w:lang w:val="en-US" w:eastAsia="zh-CN"/>
        </w:rPr>
        <w:t>ASD</w:t>
      </w:r>
      <w:r>
        <w:rPr>
          <w:rFonts w:ascii="Times New Roman" w:hAnsi="Times New Roman" w:cs="Times New Roman"/>
          <w:color w:val="auto"/>
          <w:sz w:val="24"/>
          <w:szCs w:val="32"/>
        </w:rPr>
        <w:t xml:space="preserve"> children who demonstrated marked clinical improvement and substantial correction of immune imbalance following treatment.</w:t>
      </w:r>
      <w:r>
        <w:rPr>
          <w:rFonts w:hint="eastAsia" w:ascii="Times New Roman" w:hAnsi="Times New Roman" w:cs="Times New Roman"/>
          <w:color w:val="auto"/>
          <w:sz w:val="24"/>
          <w:szCs w:val="32"/>
        </w:rPr>
        <w:t xml:space="preserve"> The average age of 4 participants was approximately 6 years old, comprising two boys and two girls. </w:t>
      </w:r>
      <w:r>
        <w:rPr>
          <w:rFonts w:ascii="Times New Roman" w:hAnsi="Times New Roman" w:cs="Times New Roman"/>
          <w:color w:val="auto"/>
          <w:sz w:val="24"/>
          <w:szCs w:val="32"/>
        </w:rPr>
        <w:t>Assessments using the Childhood Autism Rating Scale</w:t>
      </w:r>
      <w:r>
        <w:rPr>
          <w:rFonts w:hint="eastAsia" w:ascii="Times New Roman" w:hAnsi="Times New Roman" w:cs="Times New Roman"/>
          <w:color w:val="auto"/>
          <w:sz w:val="24"/>
          <w:szCs w:val="32"/>
          <w:lang w:eastAsia="zh-CN"/>
        </w:rPr>
        <w:t>（</w:t>
      </w:r>
      <w:r>
        <w:rPr>
          <w:rFonts w:hint="eastAsia" w:ascii="Times New Roman" w:hAnsi="Times New Roman" w:cs="Times New Roman"/>
          <w:color w:val="auto"/>
          <w:sz w:val="24"/>
          <w:szCs w:val="32"/>
          <w:lang w:val="en-US" w:eastAsia="zh-CN"/>
        </w:rPr>
        <w:t>CARS</w:t>
      </w:r>
      <w:r>
        <w:rPr>
          <w:rFonts w:hint="eastAsia" w:ascii="Times New Roman" w:hAnsi="Times New Roman" w:cs="Times New Roman"/>
          <w:color w:val="auto"/>
          <w:sz w:val="24"/>
          <w:szCs w:val="32"/>
          <w:lang w:eastAsia="zh-CN"/>
        </w:rPr>
        <w:t>）</w:t>
      </w:r>
      <w:r>
        <w:rPr>
          <w:rFonts w:ascii="Times New Roman" w:hAnsi="Times New Roman" w:cs="Times New Roman"/>
          <w:color w:val="auto"/>
          <w:sz w:val="24"/>
          <w:szCs w:val="32"/>
        </w:rPr>
        <w:t>, Aberrant Behavior Checklist</w:t>
      </w:r>
      <w:r>
        <w:rPr>
          <w:rFonts w:hint="eastAsia" w:ascii="Times New Roman" w:hAnsi="Times New Roman" w:cs="Times New Roman"/>
          <w:color w:val="auto"/>
          <w:sz w:val="24"/>
          <w:szCs w:val="32"/>
          <w:lang w:val="en-US" w:eastAsia="zh-CN"/>
        </w:rPr>
        <w:t xml:space="preserve"> (ABC)</w:t>
      </w:r>
      <w:r>
        <w:rPr>
          <w:rFonts w:ascii="Times New Roman" w:hAnsi="Times New Roman" w:cs="Times New Roman"/>
          <w:color w:val="auto"/>
          <w:sz w:val="24"/>
          <w:szCs w:val="32"/>
        </w:rPr>
        <w:t>, Autism Treatment Evaluation Checklist</w:t>
      </w:r>
      <w:r>
        <w:rPr>
          <w:rFonts w:hint="eastAsia" w:ascii="Times New Roman" w:hAnsi="Times New Roman" w:cs="Times New Roman"/>
          <w:color w:val="auto"/>
          <w:sz w:val="24"/>
          <w:szCs w:val="32"/>
          <w:lang w:val="en-US" w:eastAsia="zh-CN"/>
        </w:rPr>
        <w:t xml:space="preserve"> (ATEC)</w:t>
      </w:r>
      <w:r>
        <w:rPr>
          <w:rFonts w:ascii="Times New Roman" w:hAnsi="Times New Roman" w:cs="Times New Roman"/>
          <w:color w:val="auto"/>
          <w:sz w:val="24"/>
          <w:szCs w:val="32"/>
        </w:rPr>
        <w:t>, Clancy Autism Behavior Scale</w:t>
      </w:r>
      <w:r>
        <w:rPr>
          <w:rFonts w:hint="eastAsia" w:ascii="Times New Roman" w:hAnsi="Times New Roman" w:cs="Times New Roman"/>
          <w:color w:val="auto"/>
          <w:sz w:val="24"/>
          <w:szCs w:val="32"/>
          <w:lang w:val="en-US" w:eastAsia="zh-CN"/>
        </w:rPr>
        <w:t xml:space="preserve"> (CABS)</w:t>
      </w:r>
      <w:r>
        <w:rPr>
          <w:rFonts w:ascii="Times New Roman" w:hAnsi="Times New Roman" w:cs="Times New Roman"/>
          <w:color w:val="auto"/>
          <w:sz w:val="24"/>
          <w:szCs w:val="32"/>
        </w:rPr>
        <w:t>, Hospital Anxiety and Depression Scale</w:t>
      </w:r>
      <w:r>
        <w:rPr>
          <w:rFonts w:hint="eastAsia" w:ascii="Times New Roman" w:hAnsi="Times New Roman" w:cs="Times New Roman"/>
          <w:color w:val="auto"/>
          <w:sz w:val="24"/>
          <w:szCs w:val="32"/>
          <w:lang w:val="en-US" w:eastAsia="zh-CN"/>
        </w:rPr>
        <w:t xml:space="preserve"> (HADS)</w:t>
      </w:r>
      <w:r>
        <w:rPr>
          <w:rFonts w:ascii="Times New Roman" w:hAnsi="Times New Roman" w:cs="Times New Roman"/>
          <w:color w:val="auto"/>
          <w:sz w:val="24"/>
          <w:szCs w:val="32"/>
        </w:rPr>
        <w:t>, and Caregiver Strain Questionnaire</w:t>
      </w:r>
      <w:r>
        <w:rPr>
          <w:rFonts w:hint="eastAsia" w:ascii="Times New Roman" w:hAnsi="Times New Roman" w:cs="Times New Roman"/>
          <w:color w:val="auto"/>
          <w:sz w:val="24"/>
          <w:szCs w:val="32"/>
          <w:lang w:val="en-US" w:eastAsia="zh-CN"/>
        </w:rPr>
        <w:t xml:space="preserve"> </w:t>
      </w:r>
      <w:r>
        <w:rPr>
          <w:rFonts w:ascii="Times New Roman" w:hAnsi="Times New Roman" w:cs="Times New Roman"/>
          <w:color w:val="auto"/>
          <w:sz w:val="24"/>
        </w:rPr>
        <w:t>(CGSQ)</w:t>
      </w:r>
      <w:r>
        <w:rPr>
          <w:rFonts w:ascii="Times New Roman" w:hAnsi="Times New Roman" w:cs="Times New Roman"/>
          <w:color w:val="auto"/>
          <w:sz w:val="24"/>
          <w:szCs w:val="32"/>
        </w:rPr>
        <w:t xml:space="preserve">revealed </w:t>
      </w:r>
      <w:r>
        <w:rPr>
          <w:rFonts w:hint="eastAsia" w:ascii="Times New Roman" w:hAnsi="Times New Roman" w:cs="Times New Roman"/>
          <w:color w:val="auto"/>
          <w:sz w:val="24"/>
          <w:szCs w:val="32"/>
          <w:lang w:eastAsia="zh-CN"/>
        </w:rPr>
        <w:t>substantial</w:t>
      </w:r>
      <w:r>
        <w:rPr>
          <w:rFonts w:ascii="Times New Roman" w:hAnsi="Times New Roman" w:cs="Times New Roman"/>
          <w:color w:val="auto"/>
          <w:sz w:val="24"/>
          <w:szCs w:val="32"/>
        </w:rPr>
        <w:t xml:space="preserve"> behavioral improvements and no adverse events. Improvements persisted for three months post-treatment, with notable progress in Speech/Language/Communication and body/health/behavior domains. </w:t>
      </w:r>
      <w:r>
        <w:rPr>
          <w:rFonts w:hint="eastAsia" w:ascii="Times New Roman" w:hAnsi="Times New Roman" w:cs="Times New Roman"/>
          <w:color w:val="auto"/>
          <w:sz w:val="24"/>
          <w:szCs w:val="32"/>
        </w:rPr>
        <w:t xml:space="preserve">According to caregivers, there has been a </w:t>
      </w:r>
      <w:r>
        <w:rPr>
          <w:rFonts w:hint="eastAsia" w:ascii="Times New Roman" w:hAnsi="Times New Roman" w:cs="Times New Roman"/>
          <w:color w:val="auto"/>
          <w:sz w:val="24"/>
          <w:szCs w:val="32"/>
          <w:lang w:val="en-US" w:eastAsia="zh-CN"/>
        </w:rPr>
        <w:t>observed</w:t>
      </w:r>
      <w:r>
        <w:rPr>
          <w:rFonts w:hint="eastAsia" w:ascii="Times New Roman" w:hAnsi="Times New Roman" w:cs="Times New Roman"/>
          <w:color w:val="auto"/>
          <w:sz w:val="24"/>
          <w:szCs w:val="32"/>
        </w:rPr>
        <w:t xml:space="preserve"> improvement in the subjects' sleep quality, accompanied by a gradual restoration of overall physical health.</w:t>
      </w:r>
      <w:r>
        <w:rPr>
          <w:rFonts w:hint="eastAsia" w:ascii="Times New Roman" w:hAnsi="Times New Roman" w:cs="Times New Roman"/>
          <w:color w:val="auto"/>
          <w:sz w:val="24"/>
          <w:szCs w:val="32"/>
          <w:lang w:val="en-US" w:eastAsia="zh-CN"/>
        </w:rPr>
        <w:t xml:space="preserve"> </w:t>
      </w:r>
      <w:r>
        <w:rPr>
          <w:rFonts w:hint="default" w:ascii="Times New Roman" w:hAnsi="Times New Roman" w:cs="Times New Roman"/>
          <w:color w:val="auto"/>
          <w:sz w:val="24"/>
          <w:szCs w:val="32"/>
          <w:lang w:val="en-US" w:eastAsia="zh-CN"/>
        </w:rPr>
        <w:t xml:space="preserve">Immune testing in the four pediatric patients revealed a </w:t>
      </w:r>
      <w:r>
        <w:rPr>
          <w:rFonts w:hint="eastAsia" w:ascii="Times New Roman" w:hAnsi="Times New Roman" w:cs="Times New Roman"/>
          <w:color w:val="auto"/>
          <w:sz w:val="24"/>
          <w:szCs w:val="32"/>
          <w:lang w:val="en-US" w:eastAsia="zh-CN"/>
        </w:rPr>
        <w:t>marked</w:t>
      </w:r>
      <w:r>
        <w:rPr>
          <w:rFonts w:hint="default" w:ascii="Times New Roman" w:hAnsi="Times New Roman" w:cs="Times New Roman"/>
          <w:color w:val="auto"/>
          <w:sz w:val="24"/>
          <w:szCs w:val="32"/>
          <w:lang w:val="en-US" w:eastAsia="zh-CN"/>
        </w:rPr>
        <w:t xml:space="preserve"> decrease in both the proportion of Type 1 cytotoxic T cells (T</w:t>
      </w:r>
      <w:r>
        <w:rPr>
          <w:rFonts w:hint="eastAsia" w:ascii="Times New Roman" w:hAnsi="Times New Roman" w:cs="Times New Roman"/>
          <w:color w:val="auto"/>
          <w:sz w:val="24"/>
          <w:szCs w:val="32"/>
          <w:lang w:val="en-US" w:eastAsia="zh-CN"/>
        </w:rPr>
        <w:t>c</w:t>
      </w:r>
      <w:r>
        <w:rPr>
          <w:rFonts w:hint="default" w:ascii="Times New Roman" w:hAnsi="Times New Roman" w:cs="Times New Roman"/>
          <w:color w:val="auto"/>
          <w:sz w:val="24"/>
          <w:szCs w:val="32"/>
          <w:lang w:val="en-US" w:eastAsia="zh-CN"/>
        </w:rPr>
        <w:t>1) and the T</w:t>
      </w:r>
      <w:r>
        <w:rPr>
          <w:rFonts w:hint="eastAsia" w:ascii="Times New Roman" w:hAnsi="Times New Roman" w:cs="Times New Roman"/>
          <w:color w:val="auto"/>
          <w:sz w:val="24"/>
          <w:szCs w:val="32"/>
          <w:lang w:val="en-US" w:eastAsia="zh-CN"/>
        </w:rPr>
        <w:t>c</w:t>
      </w:r>
      <w:r>
        <w:rPr>
          <w:rFonts w:hint="default" w:ascii="Times New Roman" w:hAnsi="Times New Roman" w:cs="Times New Roman"/>
          <w:color w:val="auto"/>
          <w:sz w:val="24"/>
          <w:szCs w:val="32"/>
          <w:lang w:val="en-US" w:eastAsia="zh-CN"/>
        </w:rPr>
        <w:t>1/Regulatory T cell</w:t>
      </w:r>
      <w:r>
        <w:rPr>
          <w:rFonts w:hint="eastAsia" w:ascii="Times New Roman" w:hAnsi="Times New Roman" w:cs="Times New Roman"/>
          <w:color w:val="auto"/>
          <w:sz w:val="24"/>
          <w:szCs w:val="32"/>
          <w:lang w:val="en-US" w:eastAsia="zh-CN"/>
        </w:rPr>
        <w:t xml:space="preserve"> </w:t>
      </w:r>
      <w:r>
        <w:rPr>
          <w:rFonts w:hint="default" w:ascii="Times New Roman" w:hAnsi="Times New Roman" w:cs="Times New Roman"/>
          <w:color w:val="auto"/>
          <w:sz w:val="24"/>
          <w:szCs w:val="32"/>
          <w:lang w:val="en-US" w:eastAsia="zh-CN"/>
        </w:rPr>
        <w:t>ratio.</w:t>
      </w:r>
    </w:p>
    <w:p w14:paraId="15BB8CEA">
      <w:pPr>
        <w:spacing w:line="360" w:lineRule="auto"/>
        <w:rPr>
          <w:rFonts w:ascii="Times New Roman" w:hAnsi="Times New Roman" w:cs="Times New Roman"/>
          <w:color w:val="auto"/>
          <w:sz w:val="24"/>
          <w:szCs w:val="32"/>
        </w:rPr>
      </w:pPr>
      <w:r>
        <w:rPr>
          <w:rFonts w:hint="eastAsia" w:ascii="Times New Roman" w:hAnsi="Times New Roman" w:cs="Times New Roman"/>
          <w:color w:val="auto"/>
          <w:sz w:val="24"/>
          <w:szCs w:val="32"/>
        </w:rPr>
        <w:t>Conclusions</w:t>
      </w:r>
    </w:p>
    <w:p w14:paraId="594762A7">
      <w:pPr>
        <w:spacing w:line="360" w:lineRule="auto"/>
        <w:ind w:firstLine="480" w:firstLineChars="200"/>
        <w:rPr>
          <w:rFonts w:ascii="Times New Roman" w:hAnsi="Times New Roman" w:cs="Times New Roman"/>
          <w:b/>
          <w:bCs/>
          <w:color w:val="auto"/>
          <w:sz w:val="24"/>
          <w:szCs w:val="32"/>
          <w:highlight w:val="yellow"/>
          <w:rPrChange w:id="2" w:author="smile" w:date="2025-08-10T21:18:44Z">
            <w:rPr>
              <w:rFonts w:ascii="Times New Roman" w:hAnsi="Times New Roman" w:cs="Times New Roman"/>
              <w:b/>
              <w:bCs/>
              <w:color w:val="auto"/>
              <w:sz w:val="24"/>
              <w:szCs w:val="32"/>
            </w:rPr>
          </w:rPrChange>
        </w:rPr>
      </w:pPr>
      <w:r>
        <w:rPr>
          <w:rFonts w:hint="eastAsia" w:ascii="Times New Roman" w:hAnsi="Times New Roman" w:cs="Times New Roman"/>
          <w:color w:val="auto"/>
          <w:sz w:val="24"/>
          <w:szCs w:val="32"/>
          <w:highlight w:val="yellow"/>
          <w:rPrChange w:id="3" w:author="smile" w:date="2025-08-10T21:18:44Z">
            <w:rPr>
              <w:rFonts w:hint="eastAsia" w:ascii="Times New Roman" w:hAnsi="Times New Roman" w:cs="Times New Roman"/>
              <w:color w:val="auto"/>
              <w:sz w:val="24"/>
              <w:szCs w:val="32"/>
            </w:rPr>
          </w:rPrChange>
        </w:rPr>
        <w:t>Our findings in these four cases describe an association between Ld IL-2 treatment and observed improvements in ASD symptoms, potentially linked to immune modulation.</w:t>
      </w:r>
    </w:p>
    <w:p w14:paraId="0F6D6CDB">
      <w:pPr>
        <w:spacing w:line="360" w:lineRule="auto"/>
        <w:rPr>
          <w:rFonts w:ascii="Times New Roman" w:hAnsi="Times New Roman" w:cs="Times New Roman"/>
          <w:color w:val="auto"/>
          <w:sz w:val="24"/>
          <w:szCs w:val="32"/>
        </w:rPr>
      </w:pPr>
      <w:r>
        <w:rPr>
          <w:rFonts w:ascii="Times New Roman" w:hAnsi="Times New Roman" w:cs="Times New Roman"/>
          <w:b/>
          <w:bCs/>
          <w:color w:val="auto"/>
          <w:sz w:val="24"/>
          <w:szCs w:val="32"/>
        </w:rPr>
        <w:t xml:space="preserve">Key words: </w:t>
      </w:r>
      <w:r>
        <w:rPr>
          <w:rFonts w:ascii="Times New Roman" w:hAnsi="Times New Roman" w:cs="Times New Roman"/>
          <w:color w:val="auto"/>
          <w:sz w:val="24"/>
          <w:szCs w:val="32"/>
        </w:rPr>
        <w:t>Autism spectrum disorders, low-dose IL-2, immune dysfunction, Regulatory T cell, Cytokines.</w:t>
      </w:r>
    </w:p>
    <w:p w14:paraId="73F5D45D">
      <w:pPr>
        <w:spacing w:line="360" w:lineRule="auto"/>
        <w:rPr>
          <w:rFonts w:ascii="Times New Roman" w:hAnsi="Times New Roman" w:cs="Times New Roman"/>
          <w:b/>
          <w:bCs/>
          <w:color w:val="auto"/>
          <w:sz w:val="24"/>
          <w:szCs w:val="32"/>
        </w:rPr>
      </w:pPr>
      <w:r>
        <w:rPr>
          <w:rFonts w:ascii="Times New Roman" w:hAnsi="Times New Roman" w:cs="Times New Roman"/>
          <w:b/>
          <w:bCs/>
          <w:color w:val="auto"/>
          <w:sz w:val="24"/>
          <w:szCs w:val="32"/>
        </w:rPr>
        <w:t>Background</w:t>
      </w:r>
    </w:p>
    <w:p w14:paraId="6E232112">
      <w:pPr>
        <w:spacing w:line="360" w:lineRule="auto"/>
        <w:ind w:firstLine="480" w:firstLineChars="200"/>
        <w:rPr>
          <w:rFonts w:ascii="Times New Roman" w:hAnsi="Times New Roman" w:cs="Times New Roman"/>
          <w:color w:val="auto"/>
          <w:sz w:val="24"/>
          <w:szCs w:val="32"/>
        </w:rPr>
      </w:pPr>
      <w:r>
        <w:rPr>
          <w:rFonts w:ascii="Times New Roman" w:hAnsi="Times New Roman" w:cs="Times New Roman"/>
          <w:color w:val="auto"/>
          <w:sz w:val="24"/>
          <w:szCs w:val="32"/>
        </w:rPr>
        <w:t>Autism spectrum disorder (ASD) is a neurodevelopmental condition characterized by deficits in social interaction, communication, and repetitive behaviors [1]. The exact causes of ASD remain unclear, but factors such as genetics, environment, and immune system abnormalities are believed to contribute to its abnormal neurological development</w:t>
      </w:r>
      <w:r>
        <w:rPr>
          <w:rFonts w:hint="eastAsia" w:ascii="Times New Roman" w:hAnsi="Times New Roman" w:cs="Times New Roman"/>
          <w:color w:val="auto"/>
          <w:sz w:val="24"/>
          <w:szCs w:val="32"/>
        </w:rPr>
        <w:t xml:space="preserve"> [2]</w:t>
      </w:r>
      <w:r>
        <w:rPr>
          <w:rFonts w:ascii="Times New Roman" w:hAnsi="Times New Roman" w:cs="Times New Roman"/>
          <w:color w:val="auto"/>
          <w:sz w:val="24"/>
          <w:szCs w:val="32"/>
        </w:rPr>
        <w:t>. The prevalence of ASD has been increasing, affecting approximately 1 in 36 children aged 8 years, with boys being 3.8 times more likely to be diagnosed than girls [</w:t>
      </w:r>
      <w:r>
        <w:rPr>
          <w:rFonts w:hint="eastAsia" w:ascii="Times New Roman" w:hAnsi="Times New Roman" w:cs="Times New Roman"/>
          <w:color w:val="auto"/>
          <w:sz w:val="24"/>
          <w:szCs w:val="32"/>
        </w:rPr>
        <w:t>3</w:t>
      </w:r>
      <w:r>
        <w:rPr>
          <w:rFonts w:ascii="Times New Roman" w:hAnsi="Times New Roman" w:cs="Times New Roman"/>
          <w:color w:val="auto"/>
          <w:sz w:val="24"/>
          <w:szCs w:val="32"/>
        </w:rPr>
        <w:t>]. Current treatment strategies primarily involve behavioral interventions, although medications like risperidone and aripiprazole, approved for managing behavioral symptoms, do not address core ASD features and come with varying side effects</w:t>
      </w:r>
      <w:r>
        <w:rPr>
          <w:rFonts w:hint="eastAsia" w:ascii="Times New Roman" w:hAnsi="Times New Roman" w:cs="Times New Roman"/>
          <w:color w:val="auto"/>
          <w:sz w:val="24"/>
          <w:szCs w:val="32"/>
        </w:rPr>
        <w:t xml:space="preserve"> </w:t>
      </w:r>
      <w:r>
        <w:rPr>
          <w:rFonts w:ascii="Times New Roman" w:hAnsi="Times New Roman" w:cs="Times New Roman"/>
          <w:color w:val="auto"/>
          <w:sz w:val="24"/>
          <w:szCs w:val="32"/>
        </w:rPr>
        <w:t>[</w:t>
      </w:r>
      <w:r>
        <w:rPr>
          <w:rFonts w:hint="eastAsia" w:ascii="Times New Roman" w:hAnsi="Times New Roman" w:cs="Times New Roman"/>
          <w:color w:val="auto"/>
          <w:sz w:val="24"/>
          <w:szCs w:val="32"/>
        </w:rPr>
        <w:t>4</w:t>
      </w:r>
      <w:r>
        <w:rPr>
          <w:rFonts w:ascii="Times New Roman" w:hAnsi="Times New Roman" w:cs="Times New Roman"/>
          <w:color w:val="auto"/>
          <w:sz w:val="24"/>
          <w:szCs w:val="32"/>
        </w:rPr>
        <w:t>]. Many individuals with ASD, around 70%, also contend with anxiety, hyperactivity, insomnia, and difficulties in social interactions and repetitive behaviors. Additionally, about half of ASD patients exhibit mild to severe intellectual disability</w:t>
      </w:r>
      <w:r>
        <w:rPr>
          <w:rFonts w:hint="eastAsia" w:ascii="Times New Roman" w:hAnsi="Times New Roman" w:cs="Times New Roman"/>
          <w:color w:val="auto"/>
          <w:sz w:val="24"/>
          <w:szCs w:val="32"/>
        </w:rPr>
        <w:t xml:space="preserve"> </w:t>
      </w:r>
      <w:r>
        <w:rPr>
          <w:rFonts w:ascii="Times New Roman" w:hAnsi="Times New Roman" w:cs="Times New Roman"/>
          <w:color w:val="auto"/>
          <w:sz w:val="24"/>
          <w:szCs w:val="32"/>
        </w:rPr>
        <w:t>[</w:t>
      </w:r>
      <w:r>
        <w:rPr>
          <w:rFonts w:hint="eastAsia" w:ascii="Times New Roman" w:hAnsi="Times New Roman" w:cs="Times New Roman"/>
          <w:color w:val="auto"/>
          <w:sz w:val="24"/>
          <w:szCs w:val="32"/>
        </w:rPr>
        <w:t>2</w:t>
      </w:r>
      <w:r>
        <w:rPr>
          <w:rFonts w:ascii="Times New Roman" w:hAnsi="Times New Roman" w:cs="Times New Roman"/>
          <w:color w:val="auto"/>
          <w:sz w:val="24"/>
          <w:szCs w:val="32"/>
        </w:rPr>
        <w:t>]. Given ASD's diverse manifestations, there is a growing emphasis on classifying patients more precisely and developing targeted treatments. Recent research suggests that immune system dysregulation, particularly reduced levels of regulatory T cells (Tregs), may be prevalent in some individuals with ASD</w:t>
      </w:r>
      <w:r>
        <w:rPr>
          <w:rFonts w:hint="eastAsia" w:ascii="Times New Roman" w:hAnsi="Times New Roman" w:cs="Times New Roman"/>
          <w:color w:val="auto"/>
          <w:sz w:val="24"/>
          <w:szCs w:val="32"/>
        </w:rPr>
        <w:t xml:space="preserve"> [5, 6]</w:t>
      </w:r>
      <w:r>
        <w:rPr>
          <w:rFonts w:ascii="Times New Roman" w:hAnsi="Times New Roman" w:cs="Times New Roman"/>
          <w:color w:val="auto"/>
          <w:sz w:val="24"/>
          <w:szCs w:val="32"/>
        </w:rPr>
        <w:t>. Clinical trials investigating immunotherapy have shown promising results</w:t>
      </w:r>
      <w:r>
        <w:rPr>
          <w:rFonts w:hint="eastAsia" w:ascii="Times New Roman" w:hAnsi="Times New Roman" w:cs="Times New Roman"/>
          <w:color w:val="auto"/>
          <w:sz w:val="24"/>
          <w:szCs w:val="32"/>
        </w:rPr>
        <w:t xml:space="preserve"> </w:t>
      </w:r>
      <w:r>
        <w:rPr>
          <w:rFonts w:ascii="Times New Roman" w:hAnsi="Times New Roman" w:cs="Times New Roman"/>
          <w:color w:val="auto"/>
          <w:sz w:val="24"/>
          <w:szCs w:val="32"/>
        </w:rPr>
        <w:t>[</w:t>
      </w:r>
      <w:r>
        <w:rPr>
          <w:rFonts w:hint="eastAsia" w:ascii="Times New Roman" w:hAnsi="Times New Roman" w:cs="Times New Roman"/>
          <w:color w:val="auto"/>
          <w:sz w:val="24"/>
          <w:szCs w:val="32"/>
        </w:rPr>
        <w:t>7</w:t>
      </w:r>
      <w:r>
        <w:rPr>
          <w:rFonts w:ascii="Times New Roman" w:hAnsi="Times New Roman" w:cs="Times New Roman"/>
          <w:color w:val="auto"/>
          <w:sz w:val="24"/>
          <w:szCs w:val="32"/>
        </w:rPr>
        <w:t>-</w:t>
      </w:r>
      <w:r>
        <w:rPr>
          <w:rFonts w:hint="eastAsia" w:ascii="Times New Roman" w:hAnsi="Times New Roman" w:cs="Times New Roman"/>
          <w:color w:val="auto"/>
          <w:sz w:val="24"/>
          <w:szCs w:val="32"/>
        </w:rPr>
        <w:t>9</w:t>
      </w:r>
      <w:r>
        <w:rPr>
          <w:rFonts w:ascii="Times New Roman" w:hAnsi="Times New Roman" w:cs="Times New Roman"/>
          <w:color w:val="auto"/>
          <w:sz w:val="24"/>
          <w:szCs w:val="32"/>
        </w:rPr>
        <w:t>]. Interleukin-2 (IL-2), a cytokine with diverse biological effects, modulates lymphocyte activity by interacting with IL-2 receptors on various immune cells, thereby influencing immune response and cytokine production</w:t>
      </w:r>
      <w:r>
        <w:rPr>
          <w:rFonts w:hint="eastAsia" w:ascii="Times New Roman" w:hAnsi="Times New Roman" w:cs="Times New Roman"/>
          <w:color w:val="auto"/>
          <w:sz w:val="24"/>
          <w:szCs w:val="32"/>
        </w:rPr>
        <w:t xml:space="preserve"> </w:t>
      </w:r>
      <w:r>
        <w:rPr>
          <w:rFonts w:ascii="Times New Roman" w:hAnsi="Times New Roman" w:cs="Times New Roman"/>
          <w:color w:val="auto"/>
          <w:sz w:val="24"/>
          <w:szCs w:val="32"/>
        </w:rPr>
        <w:t>[</w:t>
      </w:r>
      <w:r>
        <w:rPr>
          <w:rFonts w:hint="eastAsia" w:ascii="Times New Roman" w:hAnsi="Times New Roman" w:cs="Times New Roman"/>
          <w:color w:val="auto"/>
          <w:sz w:val="24"/>
          <w:szCs w:val="32"/>
        </w:rPr>
        <w:t>10</w:t>
      </w:r>
      <w:r>
        <w:rPr>
          <w:rFonts w:ascii="Times New Roman" w:hAnsi="Times New Roman" w:cs="Times New Roman"/>
          <w:color w:val="auto"/>
          <w:sz w:val="24"/>
          <w:szCs w:val="32"/>
        </w:rPr>
        <w:t xml:space="preserve">, </w:t>
      </w:r>
      <w:r>
        <w:rPr>
          <w:rFonts w:hint="eastAsia" w:ascii="Times New Roman" w:hAnsi="Times New Roman" w:cs="Times New Roman"/>
          <w:color w:val="auto"/>
          <w:sz w:val="24"/>
          <w:szCs w:val="32"/>
        </w:rPr>
        <w:t>11</w:t>
      </w:r>
      <w:r>
        <w:rPr>
          <w:rFonts w:ascii="Times New Roman" w:hAnsi="Times New Roman" w:cs="Times New Roman"/>
          <w:color w:val="auto"/>
          <w:sz w:val="24"/>
          <w:szCs w:val="32"/>
        </w:rPr>
        <w:t xml:space="preserve">]. </w:t>
      </w:r>
      <w:r>
        <w:rPr>
          <w:rFonts w:hint="eastAsia" w:ascii="Times New Roman" w:hAnsi="Times New Roman" w:cs="Times New Roman"/>
          <w:color w:val="auto"/>
          <w:sz w:val="24"/>
          <w:szCs w:val="32"/>
        </w:rPr>
        <w:t>In most autoimmune diseases (AIDs) and inflammatory diseases, there is a effector T cells</w:t>
      </w:r>
      <w:r>
        <w:rPr>
          <w:rFonts w:hint="eastAsia" w:ascii="Times New Roman" w:hAnsi="Times New Roman" w:cs="Times New Roman"/>
          <w:color w:val="auto"/>
          <w:sz w:val="24"/>
          <w:szCs w:val="32"/>
          <w:lang w:val="en-US" w:eastAsia="zh-CN"/>
        </w:rPr>
        <w:t xml:space="preserve"> (</w:t>
      </w:r>
      <w:r>
        <w:rPr>
          <w:rFonts w:hint="eastAsia" w:ascii="Times New Roman" w:hAnsi="Times New Roman" w:cs="Times New Roman"/>
          <w:color w:val="auto"/>
          <w:sz w:val="24"/>
          <w:szCs w:val="32"/>
        </w:rPr>
        <w:t>Teff</w:t>
      </w:r>
      <w:r>
        <w:rPr>
          <w:rFonts w:hint="eastAsia" w:ascii="Times New Roman" w:hAnsi="Times New Roman" w:cs="Times New Roman"/>
          <w:color w:val="auto"/>
          <w:sz w:val="24"/>
          <w:szCs w:val="32"/>
          <w:lang w:val="en-US" w:eastAsia="zh-CN"/>
        </w:rPr>
        <w:t>)</w:t>
      </w:r>
      <w:r>
        <w:rPr>
          <w:rFonts w:hint="eastAsia" w:ascii="Times New Roman" w:hAnsi="Times New Roman" w:cs="Times New Roman"/>
          <w:color w:val="auto"/>
          <w:sz w:val="24"/>
          <w:szCs w:val="32"/>
        </w:rPr>
        <w:t xml:space="preserve">/Treg imbalance [12, 13]. </w:t>
      </w:r>
      <w:r>
        <w:rPr>
          <w:rFonts w:hint="eastAsia" w:ascii="Times New Roman" w:hAnsi="Times New Roman" w:cs="Times New Roman"/>
          <w:color w:val="auto"/>
          <w:sz w:val="24"/>
          <w:szCs w:val="32"/>
          <w:highlight w:val="yellow"/>
        </w:rPr>
        <w:t>Immune imbalance refers to abnormal ratios of Teffs</w:t>
      </w:r>
      <w:r>
        <w:rPr>
          <w:rFonts w:hint="eastAsia" w:ascii="Times New Roman" w:hAnsi="Times New Roman" w:cs="Times New Roman"/>
          <w:color w:val="auto"/>
          <w:sz w:val="24"/>
          <w:szCs w:val="32"/>
          <w:highlight w:val="yellow"/>
          <w:lang w:val="en-US" w:eastAsia="zh-CN"/>
        </w:rPr>
        <w:t>-</w:t>
      </w:r>
      <w:r>
        <w:rPr>
          <w:rFonts w:hint="eastAsia" w:ascii="Times New Roman" w:hAnsi="Times New Roman" w:cs="Times New Roman"/>
          <w:color w:val="auto"/>
          <w:sz w:val="24"/>
          <w:szCs w:val="32"/>
          <w:highlight w:val="yellow"/>
        </w:rPr>
        <w:t>including T helper type 1 (Th1), type 2 (Th2), type 17 (Th17), and cytotoxic T type 1 (Tc1) cells</w:t>
      </w:r>
      <w:r>
        <w:rPr>
          <w:rFonts w:hint="eastAsia" w:ascii="Times New Roman" w:hAnsi="Times New Roman" w:cs="Times New Roman"/>
          <w:color w:val="auto"/>
          <w:sz w:val="24"/>
          <w:szCs w:val="32"/>
          <w:highlight w:val="yellow"/>
          <w:lang w:val="en-US" w:eastAsia="zh-CN"/>
        </w:rPr>
        <w:t>-</w:t>
      </w:r>
      <w:r>
        <w:rPr>
          <w:rFonts w:hint="eastAsia" w:ascii="Times New Roman" w:hAnsi="Times New Roman" w:cs="Times New Roman"/>
          <w:color w:val="auto"/>
          <w:sz w:val="24"/>
          <w:szCs w:val="32"/>
          <w:highlight w:val="yellow"/>
        </w:rPr>
        <w:t>to Tregs, specifically values exceeding reference ranges established in healthy populations.</w:t>
      </w:r>
      <w:r>
        <w:rPr>
          <w:rFonts w:hint="eastAsia" w:ascii="Times New Roman" w:hAnsi="Times New Roman" w:cs="Times New Roman"/>
          <w:color w:val="auto"/>
          <w:sz w:val="24"/>
          <w:szCs w:val="32"/>
          <w:highlight w:val="yellow"/>
          <w:lang w:val="en-US" w:eastAsia="zh-CN"/>
        </w:rPr>
        <w:t xml:space="preserve"> </w:t>
      </w:r>
      <w:r>
        <w:rPr>
          <w:rFonts w:hint="eastAsia" w:ascii="Times New Roman" w:hAnsi="Times New Roman" w:cs="Times New Roman"/>
          <w:color w:val="auto"/>
          <w:sz w:val="24"/>
          <w:szCs w:val="32"/>
        </w:rPr>
        <w:t xml:space="preserve">However, </w:t>
      </w:r>
      <w:r>
        <w:rPr>
          <w:rFonts w:ascii="Times New Roman" w:hAnsi="Times New Roman" w:cs="Times New Roman"/>
          <w:color w:val="auto"/>
          <w:sz w:val="24"/>
          <w:szCs w:val="32"/>
        </w:rPr>
        <w:t>Low-dose IL-2 (Ld IL-2)</w:t>
      </w:r>
      <w:r>
        <w:rPr>
          <w:rFonts w:hint="eastAsia" w:ascii="Times New Roman" w:hAnsi="Times New Roman" w:cs="Times New Roman"/>
          <w:color w:val="auto"/>
          <w:sz w:val="24"/>
          <w:szCs w:val="32"/>
        </w:rPr>
        <w:t xml:space="preserve"> treatment can preferentially expand the Treg population, thereby re-establishing immune tolerance [14]. Ld IL-2 enhances the level and function of Treg cells, and inhibits the inflammatory response caused by effector Teff cells such as Tfh and Th17 cells, thereby improving </w:t>
      </w:r>
      <w:r>
        <w:rPr>
          <w:rFonts w:ascii="Times New Roman" w:hAnsi="Times New Roman" w:cs="Times New Roman"/>
          <w:color w:val="auto"/>
          <w:sz w:val="24"/>
          <w:szCs w:val="32"/>
        </w:rPr>
        <w:t>AIDs</w:t>
      </w:r>
      <w:r>
        <w:rPr>
          <w:rFonts w:hint="eastAsia" w:ascii="Times New Roman" w:hAnsi="Times New Roman" w:cs="Times New Roman"/>
          <w:color w:val="auto"/>
          <w:sz w:val="24"/>
          <w:szCs w:val="32"/>
        </w:rPr>
        <w:t xml:space="preserve"> [15, 16]. </w:t>
      </w:r>
      <w:r>
        <w:rPr>
          <w:rFonts w:ascii="Times New Roman" w:hAnsi="Times New Roman" w:cs="Times New Roman"/>
          <w:color w:val="auto"/>
          <w:sz w:val="24"/>
          <w:szCs w:val="32"/>
        </w:rPr>
        <w:t>Ld IL-2 has been effective in ameliorating symptoms and immune dysfunction in AIDs [</w:t>
      </w:r>
      <w:r>
        <w:rPr>
          <w:rFonts w:hint="eastAsia" w:ascii="Times New Roman" w:hAnsi="Times New Roman" w:cs="Times New Roman"/>
          <w:color w:val="auto"/>
          <w:sz w:val="24"/>
          <w:szCs w:val="32"/>
        </w:rPr>
        <w:t>17</w:t>
      </w:r>
      <w:r>
        <w:rPr>
          <w:rFonts w:ascii="Times New Roman" w:hAnsi="Times New Roman" w:cs="Times New Roman"/>
          <w:color w:val="auto"/>
          <w:sz w:val="24"/>
          <w:szCs w:val="32"/>
        </w:rPr>
        <w:t xml:space="preserve">]. </w:t>
      </w:r>
      <w:r>
        <w:rPr>
          <w:rFonts w:hint="eastAsia" w:ascii="Times New Roman" w:hAnsi="Times New Roman" w:cs="Times New Roman"/>
          <w:color w:val="auto"/>
          <w:sz w:val="24"/>
          <w:szCs w:val="32"/>
        </w:rPr>
        <w:t xml:space="preserve">Elevated levels of proinflammatory cytokines, including IL-6, IL-17A, tumor necrosis factor-alpha </w:t>
      </w:r>
      <w:r>
        <w:rPr>
          <w:rFonts w:ascii="Times New Roman" w:hAnsi="Times New Roman" w:cs="Times New Roman"/>
          <w:color w:val="auto"/>
          <w:sz w:val="24"/>
          <w:szCs w:val="32"/>
        </w:rPr>
        <w:t>(TNF-α), and interferon-gamma (IFN-γ), have bee</w:t>
      </w:r>
      <w:r>
        <w:rPr>
          <w:rFonts w:hint="eastAsia" w:ascii="Times New Roman" w:hAnsi="Times New Roman" w:cs="Times New Roman"/>
          <w:color w:val="auto"/>
          <w:sz w:val="24"/>
          <w:szCs w:val="32"/>
        </w:rPr>
        <w:t>n observed in some children with ASD. Some studies suggest a strong association between ASD and AIDs [18-20]. Therefore, t</w:t>
      </w:r>
      <w:r>
        <w:rPr>
          <w:rFonts w:ascii="Times New Roman" w:hAnsi="Times New Roman" w:cs="Times New Roman"/>
          <w:color w:val="auto"/>
          <w:sz w:val="24"/>
          <w:szCs w:val="32"/>
        </w:rPr>
        <w:t xml:space="preserve">his </w:t>
      </w:r>
      <w:r>
        <w:rPr>
          <w:rFonts w:hint="eastAsia" w:ascii="Times New Roman" w:hAnsi="Times New Roman" w:cs="Times New Roman"/>
          <w:color w:val="auto"/>
          <w:sz w:val="24"/>
          <w:szCs w:val="32"/>
        </w:rPr>
        <w:t>exploratory case report</w:t>
      </w:r>
      <w:r>
        <w:rPr>
          <w:rFonts w:ascii="Times New Roman" w:hAnsi="Times New Roman" w:cs="Times New Roman"/>
          <w:color w:val="auto"/>
          <w:sz w:val="24"/>
          <w:szCs w:val="32"/>
        </w:rPr>
        <w:t xml:space="preserve"> examines the effects of Ld IL-2 treatment on core ASD symptoms and the quality of life for four children with ASD</w:t>
      </w:r>
      <w:r>
        <w:rPr>
          <w:rFonts w:hint="eastAsia" w:ascii="Times New Roman" w:hAnsi="Times New Roman" w:cs="Times New Roman"/>
          <w:color w:val="auto"/>
          <w:sz w:val="24"/>
          <w:szCs w:val="32"/>
        </w:rPr>
        <w:t xml:space="preserve"> </w:t>
      </w:r>
      <w:r>
        <w:rPr>
          <w:rFonts w:ascii="Times New Roman" w:hAnsi="Times New Roman" w:cs="Times New Roman"/>
          <w:color w:val="auto"/>
          <w:sz w:val="24"/>
          <w:szCs w:val="32"/>
        </w:rPr>
        <w:t>with immune dysregulation</w:t>
      </w:r>
      <w:r>
        <w:rPr>
          <w:rFonts w:hint="eastAsia" w:ascii="Times New Roman" w:hAnsi="Times New Roman" w:cs="Times New Roman"/>
          <w:color w:val="auto"/>
          <w:sz w:val="24"/>
          <w:szCs w:val="32"/>
        </w:rPr>
        <w:t xml:space="preserve">. </w:t>
      </w:r>
    </w:p>
    <w:p w14:paraId="26FA79BC">
      <w:pPr>
        <w:rPr>
          <w:rFonts w:ascii="Times New Roman" w:hAnsi="Times New Roman" w:cs="Times New Roman"/>
          <w:b/>
          <w:bCs/>
          <w:color w:val="auto"/>
          <w:sz w:val="24"/>
          <w:szCs w:val="32"/>
        </w:rPr>
      </w:pPr>
      <w:r>
        <w:rPr>
          <w:rFonts w:ascii="Times New Roman" w:hAnsi="Times New Roman" w:cs="Times New Roman"/>
          <w:b/>
          <w:bCs/>
          <w:color w:val="auto"/>
          <w:sz w:val="28"/>
          <w:szCs w:val="36"/>
        </w:rPr>
        <w:t>Case report</w:t>
      </w:r>
    </w:p>
    <w:p w14:paraId="27DD16E3">
      <w:pPr>
        <w:spacing w:line="360" w:lineRule="auto"/>
        <w:ind w:firstLine="480" w:firstLineChars="200"/>
        <w:rPr>
          <w:rFonts w:hint="default" w:ascii="Times New Roman" w:hAnsi="Times New Roman" w:cs="Times New Roman" w:eastAsiaTheme="minorEastAsia"/>
          <w:color w:val="auto"/>
          <w:sz w:val="24"/>
          <w:lang w:val="en-US" w:eastAsia="zh-CN"/>
        </w:rPr>
      </w:pPr>
      <w:bookmarkStart w:id="3" w:name="OLE_LINK101"/>
      <w:bookmarkStart w:id="4" w:name="OLE_LINK102"/>
      <w:r>
        <w:rPr>
          <w:rFonts w:hint="eastAsia" w:ascii="Times New Roman" w:hAnsi="Times New Roman" w:cs="Times New Roman"/>
          <w:b w:val="0"/>
          <w:bCs w:val="0"/>
          <w:color w:val="auto"/>
          <w:sz w:val="24"/>
          <w:highlight w:val="yellow"/>
        </w:rPr>
        <w:t>These four participants were selected from a registered clinical trial (ChiCTR2000040836), which investigates Ld IL-2 in ASD children with immune dysregulation</w:t>
      </w:r>
      <w:r>
        <w:rPr>
          <w:rFonts w:hint="eastAsia" w:ascii="Times New Roman" w:hAnsi="Times New Roman" w:cs="Times New Roman"/>
          <w:b w:val="0"/>
          <w:bCs w:val="0"/>
          <w:color w:val="auto"/>
          <w:sz w:val="24"/>
          <w:highlight w:val="yellow"/>
          <w:lang w:val="en-US" w:eastAsia="zh-CN"/>
        </w:rPr>
        <w:t xml:space="preserve"> (</w:t>
      </w:r>
      <w:r>
        <w:rPr>
          <w:rFonts w:ascii="Times New Roman" w:hAnsi="Times New Roman" w:cs="Times New Roman"/>
          <w:color w:val="auto"/>
          <w:sz w:val="24"/>
          <w:szCs w:val="32"/>
          <w:highlight w:val="yellow"/>
        </w:rPr>
        <w:t>data unpublished</w:t>
      </w:r>
      <w:r>
        <w:rPr>
          <w:rFonts w:hint="eastAsia" w:ascii="Times New Roman" w:hAnsi="Times New Roman" w:cs="Times New Roman"/>
          <w:b w:val="0"/>
          <w:bCs w:val="0"/>
          <w:color w:val="auto"/>
          <w:sz w:val="24"/>
          <w:highlight w:val="yellow"/>
          <w:lang w:val="en-US" w:eastAsia="zh-CN"/>
        </w:rPr>
        <w:t>)，</w:t>
      </w:r>
      <w:r>
        <w:rPr>
          <w:rFonts w:hint="eastAsia" w:ascii="Times New Roman" w:hAnsi="Times New Roman" w:cs="Times New Roman"/>
          <w:color w:val="auto"/>
          <w:sz w:val="24"/>
          <w:highlight w:val="yellow"/>
        </w:rPr>
        <w:t xml:space="preserve">and received ethical approval (Review-PJ-2020-102). </w:t>
      </w:r>
      <w:r>
        <w:rPr>
          <w:rFonts w:hint="eastAsia" w:ascii="Times New Roman" w:hAnsi="Times New Roman" w:cs="Times New Roman"/>
          <w:b w:val="0"/>
          <w:bCs w:val="0"/>
          <w:color w:val="auto"/>
          <w:sz w:val="24"/>
          <w:szCs w:val="32"/>
          <w:highlight w:val="yellow"/>
          <w:lang w:val="en-US" w:eastAsia="zh-CN"/>
        </w:rPr>
        <w:t>All participants were screened according to the inclusion/exclusion criteria before enrollment.</w:t>
      </w:r>
      <w:r>
        <w:rPr>
          <w:rFonts w:hint="eastAsia" w:ascii="Times New Roman" w:hAnsi="Times New Roman" w:cs="Times New Roman"/>
          <w:color w:val="auto"/>
          <w:sz w:val="24"/>
          <w:highlight w:val="yellow"/>
        </w:rPr>
        <w:t>The inclusion and exclusion criteria were based on data from a previous study [21]</w:t>
      </w:r>
      <w:r>
        <w:rPr>
          <w:rFonts w:hint="eastAsia" w:ascii="Times New Roman" w:hAnsi="Times New Roman" w:cs="Times New Roman"/>
          <w:color w:val="auto"/>
          <w:sz w:val="24"/>
        </w:rPr>
        <w:t xml:space="preserve">. </w:t>
      </w:r>
    </w:p>
    <w:p w14:paraId="6CEE89D1">
      <w:pPr>
        <w:spacing w:line="360" w:lineRule="auto"/>
        <w:ind w:firstLine="480" w:firstLineChars="200"/>
        <w:rPr>
          <w:rFonts w:hint="eastAsia" w:ascii="Times New Roman" w:hAnsi="Times New Roman" w:cs="Times New Roman"/>
          <w:color w:val="auto"/>
          <w:sz w:val="24"/>
          <w:szCs w:val="32"/>
          <w:lang w:val="en-US" w:eastAsia="zh-CN"/>
        </w:rPr>
      </w:pPr>
      <w:r>
        <w:rPr>
          <w:rFonts w:ascii="Times New Roman" w:hAnsi="Times New Roman" w:cs="Times New Roman"/>
          <w:color w:val="auto"/>
          <w:sz w:val="24"/>
          <w:szCs w:val="32"/>
        </w:rPr>
        <w:t xml:space="preserve">Subject 1 is a 6-year-old girl born at full term with a birth weight of 2.95 kg and no history of perinatal asphyxia or allergies. During the neonatal period, she had elevated serum bilirubin levels (17-18 mg/dL). Developmentally, she achieved normal milestones before the age of 1, including eye contact, visual tracking, and laughter, without nystagmus or athetosis. However, she displayed stereotypic movements and sleep disturbances. Her </w:t>
      </w:r>
      <w:r>
        <w:rPr>
          <w:rFonts w:hint="eastAsia" w:ascii="Times New Roman" w:hAnsi="Times New Roman" w:cs="Times New Roman"/>
          <w:color w:val="auto"/>
          <w:sz w:val="24"/>
          <w:szCs w:val="32"/>
        </w:rPr>
        <w:t>Electroencephalogram (</w:t>
      </w:r>
      <w:r>
        <w:rPr>
          <w:rFonts w:ascii="Times New Roman" w:hAnsi="Times New Roman" w:cs="Times New Roman"/>
          <w:color w:val="auto"/>
          <w:sz w:val="24"/>
          <w:szCs w:val="32"/>
        </w:rPr>
        <w:t>EEG</w:t>
      </w:r>
      <w:r>
        <w:rPr>
          <w:rFonts w:hint="eastAsia" w:ascii="Times New Roman" w:hAnsi="Times New Roman" w:cs="Times New Roman"/>
          <w:color w:val="auto"/>
          <w:sz w:val="24"/>
          <w:szCs w:val="32"/>
        </w:rPr>
        <w:t>)</w:t>
      </w:r>
      <w:r>
        <w:rPr>
          <w:rFonts w:ascii="Times New Roman" w:hAnsi="Times New Roman" w:cs="Times New Roman"/>
          <w:color w:val="auto"/>
          <w:sz w:val="24"/>
          <w:szCs w:val="32"/>
        </w:rPr>
        <w:t xml:space="preserve"> findings were normal, and her hearing was within the normal range. She was diagnosed with ASD according to </w:t>
      </w:r>
      <w:r>
        <w:rPr>
          <w:rFonts w:hint="eastAsia" w:ascii="Times New Roman" w:hAnsi="Times New Roman" w:cs="Times New Roman"/>
          <w:color w:val="auto"/>
          <w:sz w:val="24"/>
          <w:szCs w:val="32"/>
        </w:rPr>
        <w:t>The diagnostic and statistical manual of mental disorders</w:t>
      </w:r>
      <w:r>
        <w:rPr>
          <w:rFonts w:hint="eastAsia" w:ascii="Times New Roman" w:hAnsi="Times New Roman" w:cs="Times New Roman"/>
          <w:color w:val="auto"/>
          <w:sz w:val="24"/>
          <w:szCs w:val="32"/>
          <w:lang w:val="en-US" w:eastAsia="zh-CN"/>
        </w:rPr>
        <w:t>, 5th Edition (</w:t>
      </w:r>
      <w:r>
        <w:rPr>
          <w:rFonts w:ascii="Times New Roman" w:hAnsi="Times New Roman" w:cs="Times New Roman"/>
          <w:color w:val="auto"/>
          <w:sz w:val="24"/>
          <w:szCs w:val="32"/>
        </w:rPr>
        <w:t>DSM-5</w:t>
      </w:r>
      <w:r>
        <w:rPr>
          <w:rFonts w:hint="eastAsia" w:ascii="Times New Roman" w:hAnsi="Times New Roman" w:cs="Times New Roman"/>
          <w:color w:val="auto"/>
          <w:sz w:val="24"/>
          <w:szCs w:val="32"/>
          <w:lang w:val="en-US" w:eastAsia="zh-CN"/>
        </w:rPr>
        <w:t>)</w:t>
      </w:r>
      <w:r>
        <w:rPr>
          <w:rFonts w:ascii="Times New Roman" w:hAnsi="Times New Roman" w:cs="Times New Roman"/>
          <w:color w:val="auto"/>
          <w:sz w:val="24"/>
          <w:szCs w:val="32"/>
        </w:rPr>
        <w:t xml:space="preserve"> criteria</w:t>
      </w:r>
      <w:r>
        <w:rPr>
          <w:rFonts w:hint="eastAsia" w:ascii="Times New Roman" w:hAnsi="Times New Roman" w:cs="Times New Roman"/>
          <w:color w:val="auto"/>
          <w:sz w:val="24"/>
          <w:szCs w:val="32"/>
        </w:rPr>
        <w:t xml:space="preserve"> (</w:t>
      </w:r>
      <w:r>
        <w:rPr>
          <w:color w:val="auto"/>
        </w:rPr>
        <w:fldChar w:fldCharType="begin"/>
      </w:r>
      <w:r>
        <w:rPr>
          <w:color w:val="auto"/>
        </w:rPr>
        <w:instrText xml:space="preserve"> HYPERLINK "https://psycnet.apa.org/record/2013-14907-000" </w:instrText>
      </w:r>
      <w:r>
        <w:rPr>
          <w:color w:val="auto"/>
        </w:rPr>
        <w:fldChar w:fldCharType="separate"/>
      </w:r>
      <w:r>
        <w:rPr>
          <w:rStyle w:val="14"/>
          <w:rFonts w:hint="eastAsia" w:ascii="Times New Roman" w:hAnsi="Times New Roman" w:eastAsia="宋体"/>
          <w:color w:val="auto"/>
        </w:rPr>
        <w:t>https://psycnet.apa.org/record/2013-14907-000</w:t>
      </w:r>
      <w:r>
        <w:rPr>
          <w:rStyle w:val="14"/>
          <w:rFonts w:hint="eastAsia" w:ascii="Times New Roman" w:hAnsi="Times New Roman" w:eastAsia="宋体"/>
          <w:color w:val="auto"/>
        </w:rPr>
        <w:fldChar w:fldCharType="end"/>
      </w:r>
      <w:r>
        <w:rPr>
          <w:rFonts w:hint="eastAsia" w:ascii="Times New Roman" w:hAnsi="Times New Roman" w:cs="Times New Roman"/>
          <w:color w:val="auto"/>
          <w:sz w:val="24"/>
          <w:szCs w:val="32"/>
        </w:rPr>
        <w:t>)</w:t>
      </w:r>
      <w:r>
        <w:rPr>
          <w:rFonts w:ascii="Times New Roman" w:hAnsi="Times New Roman" w:cs="Times New Roman"/>
          <w:color w:val="auto"/>
          <w:sz w:val="24"/>
          <w:szCs w:val="32"/>
        </w:rPr>
        <w:t xml:space="preserve"> by </w:t>
      </w:r>
      <w:r>
        <w:rPr>
          <w:rFonts w:hint="eastAsia" w:ascii="Times New Roman" w:hAnsi="Times New Roman" w:cs="Times New Roman"/>
          <w:color w:val="auto"/>
          <w:sz w:val="24"/>
          <w:szCs w:val="32"/>
          <w:highlight w:val="yellow"/>
        </w:rPr>
        <w:t>licensed medical doctors (MDs)</w:t>
      </w:r>
      <w:r>
        <w:rPr>
          <w:rFonts w:ascii="Times New Roman" w:hAnsi="Times New Roman" w:cs="Times New Roman"/>
          <w:color w:val="auto"/>
          <w:sz w:val="24"/>
          <w:szCs w:val="32"/>
        </w:rPr>
        <w:t xml:space="preserve">. Presently, she weighs 17 kg and measures 117 cm in height. Subject 1 experiences frequent constipation and has been undergoing rehabilitation for nearly five years. She exhibits occasional responses but does not speak, cannot perform tasks upon command, and requires assistance with basic daily activities. She has poor sleep quality and experiences walking instability leading to frequent falls. Subject 1 had received acupuncture previously but had not undergone medical therapy in the preceding six months. </w:t>
      </w:r>
      <w:r>
        <w:rPr>
          <w:rFonts w:hint="eastAsia" w:ascii="Times New Roman" w:hAnsi="Times New Roman" w:cs="Times New Roman"/>
          <w:color w:val="auto"/>
          <w:sz w:val="24"/>
          <w:szCs w:val="32"/>
          <w:highlight w:val="yellow"/>
        </w:rPr>
        <w:t xml:space="preserve">Written informed consent was obtained from the parents or legal guardians of Patient </w:t>
      </w:r>
      <w:r>
        <w:rPr>
          <w:rFonts w:hint="eastAsia" w:ascii="Times New Roman" w:hAnsi="Times New Roman" w:cs="Times New Roman"/>
          <w:color w:val="auto"/>
          <w:sz w:val="24"/>
          <w:szCs w:val="32"/>
          <w:highlight w:val="yellow"/>
          <w:lang w:val="en-US" w:eastAsia="zh-CN"/>
        </w:rPr>
        <w:t>1</w:t>
      </w:r>
      <w:r>
        <w:rPr>
          <w:rFonts w:hint="eastAsia" w:ascii="Times New Roman" w:hAnsi="Times New Roman" w:cs="Times New Roman"/>
          <w:color w:val="auto"/>
          <w:sz w:val="24"/>
          <w:szCs w:val="32"/>
          <w:highlight w:val="yellow"/>
        </w:rPr>
        <w:t xml:space="preserve"> for their child’s participation in the study and the publication of anonymized case details.</w:t>
      </w:r>
      <w:r>
        <w:rPr>
          <w:rFonts w:hint="eastAsia" w:ascii="Times New Roman" w:hAnsi="Times New Roman" w:cs="Times New Roman"/>
          <w:color w:val="auto"/>
          <w:sz w:val="24"/>
          <w:szCs w:val="32"/>
          <w:lang w:val="en-US" w:eastAsia="zh-CN"/>
        </w:rPr>
        <w:t>Reasons for inclusion: Patient 1 exhibited an elevated proportion of Th1, Th2, and Tc1 cells,  with an imbalance between Th1/Treg ratios (≥0.63) and Th2/Treg ratios (≥0.17) Among them, the proportion of Tc1 cells (15.01%) was markedly higher than one of the inclusion criteria based on our previous data (the proportion of Tc1 cells ≥7.39%).</w:t>
      </w:r>
    </w:p>
    <w:p w14:paraId="0277E0F2">
      <w:pPr>
        <w:spacing w:line="360" w:lineRule="auto"/>
        <w:ind w:firstLine="480" w:firstLineChars="200"/>
        <w:rPr>
          <w:rFonts w:ascii="Times New Roman" w:hAnsi="Times New Roman" w:cs="Times New Roman"/>
          <w:color w:val="auto"/>
          <w:sz w:val="24"/>
          <w:szCs w:val="32"/>
        </w:rPr>
      </w:pPr>
      <w:r>
        <w:rPr>
          <w:rFonts w:ascii="Times New Roman" w:hAnsi="Times New Roman" w:cs="Times New Roman"/>
          <w:color w:val="auto"/>
          <w:sz w:val="24"/>
          <w:szCs w:val="32"/>
        </w:rPr>
        <w:t xml:space="preserve">Subject 2 is a 6-year-old boy born at term with a birth weight of 3.2 kg and no history of birth asphyxia or allergies. He frequently experiences colds. Before the age of 2, he exhibited delayed language development, lack of responsiveness, and hyperactivity. At 2 years and 4 months old, hearing tests and cranial MRI results were normal, while EEG showed abnormalities suggestive of developmental delay. </w:t>
      </w:r>
      <w:r>
        <w:rPr>
          <w:rFonts w:ascii="Times New Roman" w:hAnsi="Times New Roman" w:cs="Times New Roman"/>
          <w:color w:val="auto"/>
          <w:sz w:val="24"/>
          <w:szCs w:val="32"/>
          <w:highlight w:val="yellow"/>
        </w:rPr>
        <w:t>He was diagnosed with ASD</w:t>
      </w:r>
      <w:r>
        <w:rPr>
          <w:rFonts w:hint="eastAsia" w:ascii="Times New Roman" w:hAnsi="Times New Roman" w:cs="Times New Roman"/>
          <w:color w:val="auto"/>
          <w:sz w:val="24"/>
          <w:szCs w:val="32"/>
          <w:highlight w:val="yellow"/>
          <w:lang w:val="en-US" w:eastAsia="zh-CN"/>
        </w:rPr>
        <w:t xml:space="preserve"> by </w:t>
      </w:r>
      <w:r>
        <w:rPr>
          <w:rFonts w:hint="eastAsia" w:ascii="Times New Roman" w:hAnsi="Times New Roman" w:cs="Times New Roman"/>
          <w:color w:val="auto"/>
          <w:sz w:val="24"/>
          <w:szCs w:val="32"/>
          <w:highlight w:val="yellow"/>
        </w:rPr>
        <w:t>licensed MDs</w:t>
      </w:r>
      <w:r>
        <w:rPr>
          <w:rFonts w:hint="eastAsia" w:ascii="Times New Roman" w:hAnsi="Times New Roman" w:cs="Times New Roman"/>
          <w:color w:val="auto"/>
          <w:sz w:val="24"/>
          <w:szCs w:val="32"/>
          <w:highlight w:val="yellow"/>
          <w:lang w:val="en-US" w:eastAsia="zh-CN"/>
        </w:rPr>
        <w:t xml:space="preserve"> according to DSM-5 criteria</w:t>
      </w:r>
      <w:r>
        <w:rPr>
          <w:rFonts w:ascii="Times New Roman" w:hAnsi="Times New Roman" w:cs="Times New Roman"/>
          <w:color w:val="auto"/>
          <w:sz w:val="24"/>
          <w:szCs w:val="32"/>
        </w:rPr>
        <w:t xml:space="preserve">, and for the past 4 years, he has received rehabilitation therapy, showing some improvement in language skills and mood. Currently, he weighs 20.5 kg and measures 115.5 cm in height. Subject 2 can perform self-care activities but requires assistance with eating, and he experiences poor sleep quality. His ASD diagnosis was confirmed according to DSM-5 criteria. His parents are in good health, and he has one elder sister who is developing typically. </w:t>
      </w:r>
      <w:r>
        <w:rPr>
          <w:rFonts w:hint="eastAsia" w:ascii="Times New Roman" w:hAnsi="Times New Roman" w:cs="Times New Roman"/>
          <w:color w:val="auto"/>
          <w:sz w:val="24"/>
          <w:szCs w:val="32"/>
          <w:highlight w:val="yellow"/>
        </w:rPr>
        <w:t xml:space="preserve">Written informed consent was obtained from the parents or legal guardians of Patient </w:t>
      </w:r>
      <w:r>
        <w:rPr>
          <w:rFonts w:hint="eastAsia" w:ascii="Times New Roman" w:hAnsi="Times New Roman" w:cs="Times New Roman"/>
          <w:color w:val="auto"/>
          <w:sz w:val="24"/>
          <w:szCs w:val="32"/>
          <w:highlight w:val="yellow"/>
          <w:lang w:val="en-US" w:eastAsia="zh-CN"/>
        </w:rPr>
        <w:t>2</w:t>
      </w:r>
      <w:r>
        <w:rPr>
          <w:rFonts w:hint="eastAsia" w:ascii="Times New Roman" w:hAnsi="Times New Roman" w:cs="Times New Roman"/>
          <w:color w:val="auto"/>
          <w:sz w:val="24"/>
          <w:szCs w:val="32"/>
          <w:highlight w:val="yellow"/>
        </w:rPr>
        <w:t xml:space="preserve"> for their child’s participation in the study and the publication of anonymized case details.</w:t>
      </w:r>
      <w:r>
        <w:rPr>
          <w:rFonts w:hint="eastAsia" w:ascii="Times New Roman" w:hAnsi="Times New Roman" w:cs="Times New Roman"/>
          <w:color w:val="auto"/>
          <w:sz w:val="24"/>
          <w:szCs w:val="32"/>
          <w:highlight w:val="yellow"/>
          <w:lang w:val="en-US" w:eastAsia="zh-CN"/>
        </w:rPr>
        <w:t xml:space="preserve"> </w:t>
      </w:r>
      <w:r>
        <w:rPr>
          <w:rFonts w:hint="eastAsia" w:ascii="Times New Roman" w:hAnsi="Times New Roman" w:cs="Times New Roman"/>
          <w:color w:val="auto"/>
          <w:sz w:val="24"/>
          <w:szCs w:val="32"/>
          <w:lang w:val="en-US" w:eastAsia="zh-CN"/>
        </w:rPr>
        <w:t>Reasons for inclusion: In Patient 2, the proportion of Treg cells (0.4%) was too low (one of our inclusion criteria was that the number of Treg cells ≤2.21%). and an imbalance was also observed between Th1/Treg and Th2/Treg ratios.</w:t>
      </w:r>
    </w:p>
    <w:p w14:paraId="54BDC84A">
      <w:pPr>
        <w:spacing w:line="360" w:lineRule="auto"/>
        <w:ind w:firstLine="720" w:firstLineChars="300"/>
        <w:rPr>
          <w:rFonts w:hint="eastAsia" w:ascii="Times New Roman" w:hAnsi="Times New Roman" w:cs="Times New Roman"/>
          <w:color w:val="auto"/>
          <w:sz w:val="24"/>
          <w:szCs w:val="32"/>
          <w:lang w:val="en-US" w:eastAsia="zh-CN"/>
        </w:rPr>
      </w:pPr>
      <w:r>
        <w:rPr>
          <w:rFonts w:ascii="Times New Roman" w:hAnsi="Times New Roman" w:cs="Times New Roman"/>
          <w:color w:val="auto"/>
          <w:sz w:val="24"/>
          <w:szCs w:val="32"/>
        </w:rPr>
        <w:t xml:space="preserve">Subject 3 is a 4-year-old girl born at full term with a birth weight of 2.75 kg and no history of birth asphyxia or allergies. At 1 year of age, she was hospitalized due to rotavirus infection, after which she began exhibiting preferences in diet, along with delays in language, fine motor skills, and cognitive development. She also showed emotional irritability, insecurity, a tendency to play with hands, stereotyped movements, and difficulty maintaining eye contact. Subject 3 struggles to follow commands and experiences poor sleep, though she can produce simple pronunciations. </w:t>
      </w:r>
      <w:r>
        <w:rPr>
          <w:rFonts w:ascii="Times New Roman" w:hAnsi="Times New Roman" w:cs="Times New Roman"/>
          <w:color w:val="auto"/>
          <w:sz w:val="24"/>
          <w:szCs w:val="32"/>
          <w:highlight w:val="yellow"/>
        </w:rPr>
        <w:t xml:space="preserve">A diagnosis of ASD was made according to DSM-5 criteria by </w:t>
      </w:r>
      <w:r>
        <w:rPr>
          <w:rFonts w:hint="eastAsia" w:ascii="Times New Roman" w:hAnsi="Times New Roman" w:cs="Times New Roman"/>
          <w:color w:val="auto"/>
          <w:sz w:val="24"/>
          <w:szCs w:val="32"/>
          <w:highlight w:val="yellow"/>
        </w:rPr>
        <w:t>licensed MDs</w:t>
      </w:r>
      <w:r>
        <w:rPr>
          <w:rFonts w:ascii="Times New Roman" w:hAnsi="Times New Roman" w:cs="Times New Roman"/>
          <w:color w:val="auto"/>
          <w:sz w:val="24"/>
          <w:szCs w:val="32"/>
          <w:highlight w:val="yellow"/>
        </w:rPr>
        <w:t xml:space="preserve"> involved in this study.</w:t>
      </w:r>
      <w:r>
        <w:rPr>
          <w:rFonts w:ascii="Times New Roman" w:hAnsi="Times New Roman" w:cs="Times New Roman"/>
          <w:color w:val="auto"/>
          <w:sz w:val="24"/>
          <w:szCs w:val="32"/>
        </w:rPr>
        <w:t xml:space="preserve"> At the time of assessment, she weighed 11.5 kg and measured 94.5 cm in height. Her father is in good health, while her mother has allergic rhinitis. </w:t>
      </w:r>
      <w:r>
        <w:rPr>
          <w:rFonts w:hint="eastAsia" w:ascii="Times New Roman" w:hAnsi="Times New Roman" w:cs="Times New Roman"/>
          <w:color w:val="auto"/>
          <w:sz w:val="24"/>
          <w:szCs w:val="32"/>
          <w:highlight w:val="yellow"/>
        </w:rPr>
        <w:t xml:space="preserve">Written informed consent for participation in the study and for the publication of anonymized case details was obtained from the parents or legal guardians of Patient </w:t>
      </w:r>
      <w:r>
        <w:rPr>
          <w:rFonts w:hint="eastAsia" w:ascii="Times New Roman" w:hAnsi="Times New Roman" w:cs="Times New Roman"/>
          <w:color w:val="auto"/>
          <w:sz w:val="24"/>
          <w:szCs w:val="32"/>
          <w:highlight w:val="yellow"/>
          <w:lang w:val="en-US" w:eastAsia="zh-CN"/>
        </w:rPr>
        <w:t>3</w:t>
      </w:r>
      <w:r>
        <w:rPr>
          <w:rFonts w:hint="eastAsia" w:ascii="Times New Roman" w:hAnsi="Times New Roman" w:cs="Times New Roman"/>
          <w:color w:val="auto"/>
          <w:sz w:val="24"/>
          <w:szCs w:val="32"/>
          <w:highlight w:val="yellow"/>
        </w:rPr>
        <w:t>.</w:t>
      </w:r>
      <w:r>
        <w:rPr>
          <w:rFonts w:hint="eastAsia" w:ascii="Times New Roman" w:hAnsi="Times New Roman" w:cs="Times New Roman"/>
          <w:color w:val="auto"/>
          <w:sz w:val="24"/>
          <w:szCs w:val="32"/>
          <w:lang w:val="en-US" w:eastAsia="zh-CN"/>
        </w:rPr>
        <w:t xml:space="preserve"> </w:t>
      </w:r>
      <w:r>
        <w:rPr>
          <w:rFonts w:hint="eastAsia" w:ascii="Times New Roman" w:hAnsi="Times New Roman" w:cs="Times New Roman"/>
          <w:color w:val="auto"/>
          <w:sz w:val="24"/>
          <w:szCs w:val="32"/>
        </w:rPr>
        <w:t xml:space="preserve">Reasons for inclusion: </w:t>
      </w:r>
      <w:r>
        <w:rPr>
          <w:rFonts w:hint="eastAsia" w:ascii="Times New Roman" w:hAnsi="Times New Roman" w:cs="Times New Roman"/>
          <w:color w:val="auto"/>
          <w:sz w:val="24"/>
          <w:szCs w:val="32"/>
          <w:lang w:val="en-US" w:eastAsia="zh-CN"/>
        </w:rPr>
        <w:t>Patient 3 showed a marked increase in the proportion of Tc1 cells (</w:t>
      </w:r>
      <w:r>
        <w:rPr>
          <w:rFonts w:ascii="Times New Roman" w:hAnsi="Times New Roman" w:eastAsia="宋体" w:cs="Times New Roman"/>
          <w:color w:val="auto"/>
          <w:kern w:val="0"/>
          <w:sz w:val="22"/>
          <w:szCs w:val="22"/>
          <w:lang w:bidi="ar"/>
        </w:rPr>
        <w:t>15.07</w:t>
      </w:r>
      <w:r>
        <w:rPr>
          <w:rFonts w:hint="eastAsia" w:ascii="Times New Roman" w:hAnsi="Times New Roman" w:eastAsia="宋体" w:cs="Times New Roman"/>
          <w:color w:val="auto"/>
          <w:kern w:val="0"/>
          <w:sz w:val="22"/>
          <w:szCs w:val="22"/>
          <w:lang w:val="en-US" w:eastAsia="zh-CN" w:bidi="ar"/>
        </w:rPr>
        <w:t>%</w:t>
      </w:r>
      <w:r>
        <w:rPr>
          <w:rFonts w:hint="eastAsia" w:ascii="Times New Roman" w:hAnsi="Times New Roman" w:cs="Times New Roman"/>
          <w:color w:val="auto"/>
          <w:sz w:val="24"/>
          <w:szCs w:val="32"/>
          <w:lang w:val="en-US" w:eastAsia="zh-CN"/>
        </w:rPr>
        <w:t xml:space="preserve">). </w:t>
      </w:r>
    </w:p>
    <w:bookmarkEnd w:id="3"/>
    <w:bookmarkEnd w:id="4"/>
    <w:p w14:paraId="59A829EA">
      <w:pPr>
        <w:spacing w:line="360" w:lineRule="auto"/>
        <w:ind w:firstLine="480" w:firstLineChars="200"/>
        <w:rPr>
          <w:rFonts w:hint="eastAsia" w:ascii="Times New Roman" w:hAnsi="Times New Roman" w:cs="Times New Roman"/>
          <w:color w:val="auto"/>
          <w:sz w:val="24"/>
          <w:szCs w:val="32"/>
        </w:rPr>
      </w:pPr>
      <w:r>
        <w:rPr>
          <w:rFonts w:ascii="Times New Roman" w:hAnsi="Times New Roman" w:cs="Times New Roman"/>
          <w:color w:val="auto"/>
          <w:sz w:val="24"/>
          <w:szCs w:val="32"/>
        </w:rPr>
        <w:t xml:space="preserve">Subject 4 is an 8-year-old boy born at term with a birth weight of 3.25 kg and no history of neonatal intensive care unit admission or allergies. He began vocalizing "papa, mama" at 1 year of age but later exhibited frequent falls, reluctance to speak, reduced eye contact, and a glazed expression by 18 months. At 3 years old, he underwent cerebrospinal fluid analysis, which confirmed rubella viral encephalitis (IgM). EEG findings were abnormal, while cranial MRI showed no anomalies. </w:t>
      </w:r>
      <w:r>
        <w:rPr>
          <w:rFonts w:hint="eastAsia" w:ascii="Times New Roman" w:hAnsi="Times New Roman" w:cs="Times New Roman"/>
          <w:color w:val="auto"/>
          <w:sz w:val="24"/>
          <w:szCs w:val="32"/>
        </w:rPr>
        <w:t xml:space="preserve">The treatment regimen included antiviral therapy, intravenous fluids, interferon injections, oral antiviral medications, hyperbaric oxygen therapy, corticosteroid treatment, and oral Chinese medicine. Following this comprehensive treatment approach, the patient demonstrated recovery. </w:t>
      </w:r>
      <w:r>
        <w:rPr>
          <w:rFonts w:ascii="Times New Roman" w:hAnsi="Times New Roman" w:cs="Times New Roman"/>
          <w:color w:val="auto"/>
          <w:sz w:val="24"/>
          <w:szCs w:val="32"/>
        </w:rPr>
        <w:t xml:space="preserve">Currently, he independently performs activities of daily living and experiences restful sleep. </w:t>
      </w:r>
      <w:r>
        <w:rPr>
          <w:rFonts w:ascii="Times New Roman" w:hAnsi="Times New Roman" w:cs="Times New Roman"/>
          <w:color w:val="auto"/>
          <w:sz w:val="24"/>
          <w:szCs w:val="32"/>
          <w:highlight w:val="yellow"/>
        </w:rPr>
        <w:t xml:space="preserve">ASD was diagnosed according to DSM-5 criteria by </w:t>
      </w:r>
      <w:r>
        <w:rPr>
          <w:rFonts w:hint="eastAsia" w:ascii="Times New Roman" w:hAnsi="Times New Roman" w:cs="Times New Roman"/>
          <w:color w:val="auto"/>
          <w:sz w:val="24"/>
          <w:szCs w:val="32"/>
          <w:highlight w:val="yellow"/>
        </w:rPr>
        <w:t>licensed MDs</w:t>
      </w:r>
      <w:r>
        <w:rPr>
          <w:rFonts w:ascii="Times New Roman" w:hAnsi="Times New Roman" w:cs="Times New Roman"/>
          <w:color w:val="auto"/>
          <w:sz w:val="24"/>
          <w:szCs w:val="32"/>
          <w:highlight w:val="yellow"/>
        </w:rPr>
        <w:t xml:space="preserve"> involved in this study</w:t>
      </w:r>
      <w:r>
        <w:rPr>
          <w:rFonts w:ascii="Times New Roman" w:hAnsi="Times New Roman" w:cs="Times New Roman"/>
          <w:color w:val="auto"/>
          <w:sz w:val="24"/>
          <w:szCs w:val="32"/>
        </w:rPr>
        <w:t xml:space="preserve">. </w:t>
      </w:r>
      <w:r>
        <w:rPr>
          <w:rFonts w:hint="eastAsia" w:ascii="Times New Roman" w:hAnsi="Times New Roman" w:cs="Times New Roman"/>
          <w:color w:val="auto"/>
          <w:sz w:val="24"/>
          <w:szCs w:val="32"/>
        </w:rPr>
        <w:t>H</w:t>
      </w:r>
      <w:r>
        <w:rPr>
          <w:rFonts w:ascii="Times New Roman" w:hAnsi="Times New Roman" w:cs="Times New Roman"/>
          <w:color w:val="auto"/>
          <w:sz w:val="24"/>
          <w:szCs w:val="32"/>
        </w:rPr>
        <w:t xml:space="preserve">e weighed </w:t>
      </w:r>
      <w:r>
        <w:rPr>
          <w:rFonts w:hint="eastAsia" w:ascii="Times New Roman" w:hAnsi="Times New Roman" w:cs="Times New Roman"/>
          <w:color w:val="auto"/>
          <w:sz w:val="24"/>
          <w:szCs w:val="32"/>
        </w:rPr>
        <w:t>27</w:t>
      </w:r>
      <w:r>
        <w:rPr>
          <w:rFonts w:ascii="Times New Roman" w:hAnsi="Times New Roman" w:cs="Times New Roman"/>
          <w:color w:val="auto"/>
          <w:sz w:val="24"/>
          <w:szCs w:val="32"/>
        </w:rPr>
        <w:t xml:space="preserve"> kg and measured </w:t>
      </w:r>
      <w:r>
        <w:rPr>
          <w:rFonts w:hint="eastAsia" w:ascii="Times New Roman" w:hAnsi="Times New Roman" w:cs="Times New Roman"/>
          <w:color w:val="auto"/>
          <w:sz w:val="24"/>
          <w:szCs w:val="32"/>
        </w:rPr>
        <w:t>136</w:t>
      </w:r>
      <w:r>
        <w:rPr>
          <w:rFonts w:ascii="Times New Roman" w:hAnsi="Times New Roman" w:cs="Times New Roman"/>
          <w:color w:val="auto"/>
          <w:sz w:val="24"/>
          <w:szCs w:val="32"/>
        </w:rPr>
        <w:t xml:space="preserve"> cm in height.</w:t>
      </w:r>
      <w:r>
        <w:rPr>
          <w:rFonts w:hint="eastAsia" w:ascii="Times New Roman" w:hAnsi="Times New Roman" w:cs="Times New Roman"/>
          <w:color w:val="auto"/>
          <w:sz w:val="24"/>
          <w:szCs w:val="32"/>
        </w:rPr>
        <w:t xml:space="preserve"> </w:t>
      </w:r>
      <w:r>
        <w:rPr>
          <w:rFonts w:ascii="Times New Roman" w:hAnsi="Times New Roman" w:cs="Times New Roman"/>
          <w:color w:val="auto"/>
          <w:sz w:val="24"/>
          <w:szCs w:val="32"/>
        </w:rPr>
        <w:t xml:space="preserve">Subject 4's family has no history of psychiatric disorders; his sister, father, and mother are in good health. </w:t>
      </w:r>
      <w:r>
        <w:rPr>
          <w:rFonts w:hint="eastAsia" w:ascii="Times New Roman" w:hAnsi="Times New Roman" w:cs="Times New Roman"/>
          <w:color w:val="auto"/>
          <w:sz w:val="24"/>
          <w:szCs w:val="32"/>
          <w:highlight w:val="yellow"/>
        </w:rPr>
        <w:t>Written informed consent for participation in the study and for the publication of anonymized case details was obtained from the parents or legal guardians of Patient 4.</w:t>
      </w:r>
      <w:r>
        <w:rPr>
          <w:rFonts w:hint="eastAsia" w:ascii="Times New Roman" w:hAnsi="Times New Roman" w:cs="Times New Roman"/>
          <w:color w:val="auto"/>
          <w:sz w:val="24"/>
          <w:szCs w:val="32"/>
        </w:rPr>
        <w:t xml:space="preserve"> Reasons for inclusion: Patient 4 had a reduced proportion of Treg cells (2.21%) and elevated Th2/Treg (0.25).</w:t>
      </w:r>
      <w:r>
        <w:rPr>
          <w:rFonts w:hint="eastAsia" w:ascii="Times New Roman" w:hAnsi="Times New Roman" w:cs="Times New Roman"/>
          <w:color w:val="auto"/>
          <w:sz w:val="24"/>
          <w:szCs w:val="32"/>
          <w:lang w:val="en-US" w:eastAsia="zh-CN"/>
        </w:rPr>
        <w:t xml:space="preserve"> </w:t>
      </w:r>
      <w:r>
        <w:rPr>
          <w:rFonts w:hint="eastAsia" w:ascii="Times New Roman" w:hAnsi="Times New Roman" w:cs="Times New Roman"/>
          <w:color w:val="auto"/>
          <w:sz w:val="24"/>
          <w:szCs w:val="32"/>
        </w:rPr>
        <w:t>A summary of basic information can be found in Table 1.</w:t>
      </w:r>
    </w:p>
    <w:p w14:paraId="3D3D7A32">
      <w:pPr>
        <w:spacing w:line="360" w:lineRule="auto"/>
        <w:jc w:val="center"/>
        <w:rPr>
          <w:rFonts w:ascii="Times New Roman" w:hAnsi="Times New Roman" w:cs="Times New Roman"/>
          <w:color w:val="auto"/>
          <w:sz w:val="24"/>
          <w:szCs w:val="32"/>
        </w:rPr>
      </w:pPr>
      <w:r>
        <w:rPr>
          <w:rFonts w:hint="eastAsia" w:ascii="Times New Roman" w:hAnsi="Times New Roman" w:cs="Times New Roman"/>
          <w:color w:val="auto"/>
          <w:sz w:val="24"/>
          <w:szCs w:val="32"/>
        </w:rPr>
        <w:t xml:space="preserve">Table 1 Social demographic data </w:t>
      </w:r>
    </w:p>
    <w:tbl>
      <w:tblPr>
        <w:tblStyle w:val="10"/>
        <w:tblW w:w="5000"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656"/>
        <w:gridCol w:w="1379"/>
        <w:gridCol w:w="2003"/>
        <w:gridCol w:w="1693"/>
        <w:gridCol w:w="1693"/>
      </w:tblGrid>
      <w:tr w14:paraId="7131B99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1409" w:type="pct"/>
            <w:tcBorders>
              <w:left w:val="nil"/>
              <w:bottom w:val="single" w:color="auto" w:sz="6" w:space="0"/>
              <w:right w:val="nil"/>
            </w:tcBorders>
            <w:shd w:val="clear" w:color="auto" w:fill="auto"/>
            <w:noWrap/>
            <w:vAlign w:val="center"/>
          </w:tcPr>
          <w:p w14:paraId="7A85AB20">
            <w:pPr>
              <w:spacing w:line="360" w:lineRule="auto"/>
              <w:jc w:val="center"/>
              <w:rPr>
                <w:rFonts w:ascii="Times New Roman" w:hAnsi="Times New Roman" w:cs="Times New Roman"/>
                <w:color w:val="auto"/>
                <w:sz w:val="24"/>
                <w:szCs w:val="32"/>
              </w:rPr>
            </w:pPr>
          </w:p>
        </w:tc>
        <w:tc>
          <w:tcPr>
            <w:tcW w:w="731" w:type="pct"/>
            <w:tcBorders>
              <w:left w:val="nil"/>
              <w:bottom w:val="single" w:color="auto" w:sz="6" w:space="0"/>
              <w:right w:val="nil"/>
            </w:tcBorders>
            <w:shd w:val="clear" w:color="auto" w:fill="auto"/>
            <w:noWrap/>
            <w:vAlign w:val="center"/>
          </w:tcPr>
          <w:p w14:paraId="7502D818">
            <w:pPr>
              <w:spacing w:line="360" w:lineRule="auto"/>
              <w:jc w:val="center"/>
              <w:rPr>
                <w:rFonts w:ascii="Times New Roman" w:hAnsi="Times New Roman" w:cs="Times New Roman"/>
                <w:color w:val="auto"/>
                <w:sz w:val="24"/>
                <w:szCs w:val="32"/>
              </w:rPr>
            </w:pPr>
            <w:r>
              <w:rPr>
                <w:rFonts w:hint="eastAsia" w:ascii="Times New Roman" w:hAnsi="Times New Roman" w:cs="Times New Roman"/>
                <w:color w:val="auto"/>
                <w:sz w:val="24"/>
                <w:szCs w:val="32"/>
              </w:rPr>
              <w:t>Patient 1</w:t>
            </w:r>
          </w:p>
        </w:tc>
        <w:tc>
          <w:tcPr>
            <w:tcW w:w="1062" w:type="pct"/>
            <w:tcBorders>
              <w:left w:val="nil"/>
              <w:bottom w:val="single" w:color="auto" w:sz="6" w:space="0"/>
              <w:right w:val="nil"/>
            </w:tcBorders>
            <w:shd w:val="clear" w:color="auto" w:fill="auto"/>
            <w:noWrap/>
            <w:vAlign w:val="center"/>
          </w:tcPr>
          <w:p w14:paraId="0928F919">
            <w:pPr>
              <w:spacing w:line="360" w:lineRule="auto"/>
              <w:jc w:val="center"/>
              <w:rPr>
                <w:rFonts w:ascii="Times New Roman" w:hAnsi="Times New Roman" w:cs="Times New Roman"/>
                <w:color w:val="auto"/>
                <w:sz w:val="24"/>
                <w:szCs w:val="32"/>
              </w:rPr>
            </w:pPr>
            <w:r>
              <w:rPr>
                <w:rFonts w:hint="eastAsia" w:ascii="Times New Roman" w:hAnsi="Times New Roman" w:cs="Times New Roman"/>
                <w:color w:val="auto"/>
                <w:sz w:val="24"/>
                <w:szCs w:val="32"/>
              </w:rPr>
              <w:t>Patient 2</w:t>
            </w:r>
          </w:p>
        </w:tc>
        <w:tc>
          <w:tcPr>
            <w:tcW w:w="898" w:type="pct"/>
            <w:tcBorders>
              <w:left w:val="nil"/>
              <w:bottom w:val="single" w:color="auto" w:sz="6" w:space="0"/>
              <w:right w:val="nil"/>
            </w:tcBorders>
            <w:shd w:val="clear" w:color="auto" w:fill="auto"/>
            <w:noWrap/>
            <w:vAlign w:val="center"/>
          </w:tcPr>
          <w:p w14:paraId="03E8E89C">
            <w:pPr>
              <w:spacing w:line="360" w:lineRule="auto"/>
              <w:jc w:val="center"/>
              <w:rPr>
                <w:rFonts w:ascii="Times New Roman" w:hAnsi="Times New Roman" w:cs="Times New Roman"/>
                <w:color w:val="auto"/>
                <w:sz w:val="24"/>
                <w:szCs w:val="32"/>
              </w:rPr>
            </w:pPr>
            <w:r>
              <w:rPr>
                <w:rFonts w:hint="eastAsia" w:ascii="Times New Roman" w:hAnsi="Times New Roman" w:cs="Times New Roman"/>
                <w:color w:val="auto"/>
                <w:sz w:val="24"/>
                <w:szCs w:val="32"/>
              </w:rPr>
              <w:t>Patient 3</w:t>
            </w:r>
          </w:p>
        </w:tc>
        <w:tc>
          <w:tcPr>
            <w:tcW w:w="898" w:type="pct"/>
            <w:tcBorders>
              <w:left w:val="nil"/>
              <w:bottom w:val="single" w:color="auto" w:sz="6" w:space="0"/>
              <w:right w:val="nil"/>
            </w:tcBorders>
            <w:shd w:val="clear" w:color="auto" w:fill="auto"/>
            <w:noWrap/>
            <w:vAlign w:val="center"/>
          </w:tcPr>
          <w:p w14:paraId="193068D0">
            <w:pPr>
              <w:spacing w:line="360" w:lineRule="auto"/>
              <w:jc w:val="center"/>
              <w:rPr>
                <w:rFonts w:ascii="Times New Roman" w:hAnsi="Times New Roman" w:cs="Times New Roman"/>
                <w:color w:val="auto"/>
                <w:sz w:val="24"/>
                <w:szCs w:val="32"/>
              </w:rPr>
            </w:pPr>
            <w:r>
              <w:rPr>
                <w:rFonts w:hint="eastAsia" w:ascii="Times New Roman" w:hAnsi="Times New Roman" w:cs="Times New Roman"/>
                <w:color w:val="auto"/>
                <w:sz w:val="24"/>
                <w:szCs w:val="32"/>
              </w:rPr>
              <w:t>Patient 4</w:t>
            </w:r>
          </w:p>
        </w:tc>
      </w:tr>
      <w:tr w14:paraId="1AF24D4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09" w:type="pct"/>
            <w:tcBorders>
              <w:top w:val="single" w:color="auto" w:sz="6" w:space="0"/>
              <w:left w:val="nil"/>
              <w:bottom w:val="nil"/>
              <w:right w:val="nil"/>
            </w:tcBorders>
            <w:shd w:val="clear" w:color="auto" w:fill="auto"/>
            <w:noWrap/>
            <w:vAlign w:val="center"/>
          </w:tcPr>
          <w:p w14:paraId="1BAADC3C">
            <w:pPr>
              <w:spacing w:line="360" w:lineRule="auto"/>
              <w:jc w:val="center"/>
              <w:rPr>
                <w:rFonts w:ascii="Times New Roman" w:hAnsi="Times New Roman" w:cs="Times New Roman"/>
                <w:color w:val="auto"/>
                <w:sz w:val="24"/>
                <w:szCs w:val="32"/>
              </w:rPr>
            </w:pPr>
            <w:r>
              <w:rPr>
                <w:rFonts w:hint="eastAsia" w:ascii="Times New Roman" w:hAnsi="Times New Roman" w:cs="Times New Roman"/>
                <w:color w:val="auto"/>
                <w:sz w:val="24"/>
                <w:szCs w:val="32"/>
              </w:rPr>
              <w:t>Gender</w:t>
            </w:r>
          </w:p>
        </w:tc>
        <w:tc>
          <w:tcPr>
            <w:tcW w:w="731" w:type="pct"/>
            <w:tcBorders>
              <w:top w:val="single" w:color="auto" w:sz="6" w:space="0"/>
              <w:left w:val="nil"/>
              <w:bottom w:val="nil"/>
              <w:right w:val="nil"/>
            </w:tcBorders>
            <w:shd w:val="clear" w:color="auto" w:fill="auto"/>
            <w:noWrap/>
            <w:vAlign w:val="center"/>
          </w:tcPr>
          <w:p w14:paraId="04CFAAC3">
            <w:pPr>
              <w:spacing w:line="360" w:lineRule="auto"/>
              <w:jc w:val="center"/>
              <w:rPr>
                <w:rFonts w:ascii="Times New Roman" w:hAnsi="Times New Roman" w:cs="Times New Roman"/>
                <w:color w:val="auto"/>
                <w:sz w:val="24"/>
                <w:szCs w:val="32"/>
              </w:rPr>
            </w:pPr>
            <w:r>
              <w:rPr>
                <w:rFonts w:hint="eastAsia" w:ascii="Times New Roman" w:hAnsi="Times New Roman" w:cs="Times New Roman"/>
                <w:color w:val="auto"/>
                <w:sz w:val="24"/>
                <w:szCs w:val="32"/>
              </w:rPr>
              <w:t>female</w:t>
            </w:r>
          </w:p>
        </w:tc>
        <w:tc>
          <w:tcPr>
            <w:tcW w:w="1062" w:type="pct"/>
            <w:tcBorders>
              <w:top w:val="single" w:color="auto" w:sz="6" w:space="0"/>
              <w:left w:val="nil"/>
              <w:bottom w:val="nil"/>
              <w:right w:val="nil"/>
            </w:tcBorders>
            <w:shd w:val="clear" w:color="auto" w:fill="auto"/>
            <w:noWrap/>
            <w:vAlign w:val="center"/>
          </w:tcPr>
          <w:p w14:paraId="2DD6C0D3">
            <w:pPr>
              <w:spacing w:line="360" w:lineRule="auto"/>
              <w:jc w:val="center"/>
              <w:rPr>
                <w:rFonts w:ascii="Times New Roman" w:hAnsi="Times New Roman" w:cs="Times New Roman"/>
                <w:color w:val="auto"/>
                <w:sz w:val="24"/>
                <w:szCs w:val="32"/>
              </w:rPr>
            </w:pPr>
            <w:r>
              <w:rPr>
                <w:rFonts w:hint="eastAsia" w:ascii="Times New Roman" w:hAnsi="Times New Roman" w:cs="Times New Roman"/>
                <w:color w:val="auto"/>
                <w:sz w:val="24"/>
                <w:szCs w:val="32"/>
              </w:rPr>
              <w:t>male</w:t>
            </w:r>
          </w:p>
        </w:tc>
        <w:tc>
          <w:tcPr>
            <w:tcW w:w="898" w:type="pct"/>
            <w:tcBorders>
              <w:top w:val="single" w:color="auto" w:sz="6" w:space="0"/>
              <w:left w:val="nil"/>
              <w:bottom w:val="nil"/>
              <w:right w:val="nil"/>
            </w:tcBorders>
            <w:shd w:val="clear" w:color="auto" w:fill="auto"/>
            <w:noWrap/>
            <w:vAlign w:val="center"/>
          </w:tcPr>
          <w:p w14:paraId="22B02B28">
            <w:pPr>
              <w:spacing w:line="360" w:lineRule="auto"/>
              <w:jc w:val="center"/>
              <w:rPr>
                <w:rFonts w:ascii="Times New Roman" w:hAnsi="Times New Roman" w:cs="Times New Roman"/>
                <w:color w:val="auto"/>
                <w:sz w:val="24"/>
                <w:szCs w:val="32"/>
              </w:rPr>
            </w:pPr>
            <w:r>
              <w:rPr>
                <w:rFonts w:hint="eastAsia" w:ascii="Times New Roman" w:hAnsi="Times New Roman" w:cs="Times New Roman"/>
                <w:color w:val="auto"/>
                <w:sz w:val="24"/>
                <w:szCs w:val="32"/>
              </w:rPr>
              <w:t>female</w:t>
            </w:r>
          </w:p>
        </w:tc>
        <w:tc>
          <w:tcPr>
            <w:tcW w:w="898" w:type="pct"/>
            <w:tcBorders>
              <w:top w:val="single" w:color="auto" w:sz="6" w:space="0"/>
              <w:left w:val="nil"/>
              <w:bottom w:val="nil"/>
              <w:right w:val="nil"/>
            </w:tcBorders>
            <w:shd w:val="clear" w:color="auto" w:fill="auto"/>
            <w:noWrap/>
            <w:vAlign w:val="center"/>
          </w:tcPr>
          <w:p w14:paraId="5B746277">
            <w:pPr>
              <w:spacing w:line="360" w:lineRule="auto"/>
              <w:jc w:val="center"/>
              <w:rPr>
                <w:rFonts w:ascii="Times New Roman" w:hAnsi="Times New Roman" w:cs="Times New Roman"/>
                <w:color w:val="auto"/>
                <w:sz w:val="24"/>
                <w:szCs w:val="32"/>
              </w:rPr>
            </w:pPr>
            <w:r>
              <w:rPr>
                <w:rFonts w:hint="eastAsia" w:ascii="Times New Roman" w:hAnsi="Times New Roman" w:cs="Times New Roman"/>
                <w:color w:val="auto"/>
                <w:sz w:val="24"/>
                <w:szCs w:val="32"/>
              </w:rPr>
              <w:t>male</w:t>
            </w:r>
          </w:p>
        </w:tc>
      </w:tr>
      <w:tr w14:paraId="63C1B38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09" w:type="pct"/>
            <w:tcBorders>
              <w:top w:val="nil"/>
              <w:left w:val="nil"/>
              <w:bottom w:val="nil"/>
              <w:right w:val="nil"/>
            </w:tcBorders>
            <w:shd w:val="clear" w:color="auto" w:fill="auto"/>
            <w:noWrap/>
            <w:vAlign w:val="center"/>
          </w:tcPr>
          <w:p w14:paraId="5C8B01F8">
            <w:pPr>
              <w:spacing w:line="360" w:lineRule="auto"/>
              <w:jc w:val="center"/>
              <w:rPr>
                <w:rFonts w:ascii="Times New Roman" w:hAnsi="Times New Roman" w:cs="Times New Roman"/>
                <w:color w:val="auto"/>
                <w:sz w:val="24"/>
                <w:szCs w:val="32"/>
              </w:rPr>
            </w:pPr>
            <w:r>
              <w:rPr>
                <w:rFonts w:hint="eastAsia" w:ascii="Times New Roman" w:hAnsi="Times New Roman" w:cs="Times New Roman"/>
                <w:color w:val="auto"/>
                <w:sz w:val="24"/>
                <w:szCs w:val="32"/>
              </w:rPr>
              <w:t>Age</w:t>
            </w:r>
          </w:p>
        </w:tc>
        <w:tc>
          <w:tcPr>
            <w:tcW w:w="731" w:type="pct"/>
            <w:tcBorders>
              <w:top w:val="nil"/>
              <w:left w:val="nil"/>
              <w:bottom w:val="nil"/>
              <w:right w:val="nil"/>
            </w:tcBorders>
            <w:shd w:val="clear" w:color="auto" w:fill="auto"/>
            <w:noWrap/>
            <w:vAlign w:val="center"/>
          </w:tcPr>
          <w:p w14:paraId="5BD75FE2">
            <w:pPr>
              <w:spacing w:line="360" w:lineRule="auto"/>
              <w:jc w:val="center"/>
              <w:rPr>
                <w:rFonts w:ascii="Times New Roman" w:hAnsi="Times New Roman" w:cs="Times New Roman"/>
                <w:color w:val="auto"/>
                <w:sz w:val="24"/>
                <w:szCs w:val="32"/>
              </w:rPr>
            </w:pPr>
            <w:r>
              <w:rPr>
                <w:rFonts w:hint="eastAsia" w:ascii="Times New Roman" w:hAnsi="Times New Roman" w:cs="Times New Roman"/>
                <w:color w:val="auto"/>
                <w:sz w:val="24"/>
                <w:szCs w:val="32"/>
              </w:rPr>
              <w:t>6</w:t>
            </w:r>
          </w:p>
        </w:tc>
        <w:tc>
          <w:tcPr>
            <w:tcW w:w="1062" w:type="pct"/>
            <w:tcBorders>
              <w:top w:val="nil"/>
              <w:left w:val="nil"/>
              <w:bottom w:val="nil"/>
              <w:right w:val="nil"/>
            </w:tcBorders>
            <w:shd w:val="clear" w:color="auto" w:fill="auto"/>
            <w:noWrap/>
            <w:vAlign w:val="center"/>
          </w:tcPr>
          <w:p w14:paraId="7086444E">
            <w:pPr>
              <w:spacing w:line="360" w:lineRule="auto"/>
              <w:jc w:val="center"/>
              <w:rPr>
                <w:rFonts w:ascii="Times New Roman" w:hAnsi="Times New Roman" w:cs="Times New Roman"/>
                <w:color w:val="auto"/>
                <w:sz w:val="24"/>
                <w:szCs w:val="32"/>
              </w:rPr>
            </w:pPr>
            <w:r>
              <w:rPr>
                <w:rFonts w:hint="eastAsia" w:ascii="Times New Roman" w:hAnsi="Times New Roman" w:cs="Times New Roman"/>
                <w:color w:val="auto"/>
                <w:sz w:val="24"/>
                <w:szCs w:val="32"/>
              </w:rPr>
              <w:t>6</w:t>
            </w:r>
          </w:p>
        </w:tc>
        <w:tc>
          <w:tcPr>
            <w:tcW w:w="898" w:type="pct"/>
            <w:tcBorders>
              <w:top w:val="nil"/>
              <w:left w:val="nil"/>
              <w:bottom w:val="nil"/>
              <w:right w:val="nil"/>
            </w:tcBorders>
            <w:shd w:val="clear" w:color="auto" w:fill="auto"/>
            <w:noWrap/>
            <w:vAlign w:val="center"/>
          </w:tcPr>
          <w:p w14:paraId="69F7510E">
            <w:pPr>
              <w:spacing w:line="360" w:lineRule="auto"/>
              <w:jc w:val="center"/>
              <w:rPr>
                <w:rFonts w:ascii="Times New Roman" w:hAnsi="Times New Roman" w:cs="Times New Roman"/>
                <w:color w:val="auto"/>
                <w:sz w:val="24"/>
                <w:szCs w:val="32"/>
              </w:rPr>
            </w:pPr>
            <w:r>
              <w:rPr>
                <w:rFonts w:hint="eastAsia" w:ascii="Times New Roman" w:hAnsi="Times New Roman" w:cs="Times New Roman"/>
                <w:color w:val="auto"/>
                <w:sz w:val="24"/>
                <w:szCs w:val="32"/>
              </w:rPr>
              <w:t>4</w:t>
            </w:r>
          </w:p>
        </w:tc>
        <w:tc>
          <w:tcPr>
            <w:tcW w:w="898" w:type="pct"/>
            <w:tcBorders>
              <w:top w:val="nil"/>
              <w:left w:val="nil"/>
              <w:bottom w:val="nil"/>
              <w:right w:val="nil"/>
            </w:tcBorders>
            <w:shd w:val="clear" w:color="auto" w:fill="auto"/>
            <w:noWrap/>
            <w:vAlign w:val="center"/>
          </w:tcPr>
          <w:p w14:paraId="4FED7581">
            <w:pPr>
              <w:spacing w:line="360" w:lineRule="auto"/>
              <w:jc w:val="center"/>
              <w:rPr>
                <w:rFonts w:ascii="Times New Roman" w:hAnsi="Times New Roman" w:cs="Times New Roman"/>
                <w:color w:val="auto"/>
                <w:sz w:val="24"/>
                <w:szCs w:val="32"/>
              </w:rPr>
            </w:pPr>
            <w:r>
              <w:rPr>
                <w:rFonts w:hint="eastAsia" w:ascii="Times New Roman" w:hAnsi="Times New Roman" w:cs="Times New Roman"/>
                <w:color w:val="auto"/>
                <w:sz w:val="24"/>
                <w:szCs w:val="32"/>
              </w:rPr>
              <w:t>8</w:t>
            </w:r>
          </w:p>
        </w:tc>
      </w:tr>
      <w:tr w14:paraId="0625B8B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09" w:type="pct"/>
            <w:tcBorders>
              <w:top w:val="nil"/>
              <w:left w:val="nil"/>
              <w:bottom w:val="nil"/>
              <w:right w:val="nil"/>
            </w:tcBorders>
            <w:shd w:val="clear" w:color="auto" w:fill="auto"/>
            <w:noWrap/>
            <w:vAlign w:val="center"/>
          </w:tcPr>
          <w:p w14:paraId="1910F778">
            <w:pPr>
              <w:spacing w:line="360" w:lineRule="auto"/>
              <w:jc w:val="center"/>
              <w:rPr>
                <w:rFonts w:ascii="Times New Roman" w:hAnsi="Times New Roman" w:cs="Times New Roman"/>
                <w:color w:val="auto"/>
                <w:sz w:val="24"/>
                <w:szCs w:val="32"/>
              </w:rPr>
            </w:pPr>
            <w:r>
              <w:rPr>
                <w:rFonts w:hint="eastAsia" w:ascii="Times New Roman" w:hAnsi="Times New Roman" w:cs="Times New Roman"/>
                <w:color w:val="auto"/>
                <w:sz w:val="24"/>
                <w:szCs w:val="32"/>
              </w:rPr>
              <w:t>Weight (kg)</w:t>
            </w:r>
          </w:p>
        </w:tc>
        <w:tc>
          <w:tcPr>
            <w:tcW w:w="731" w:type="pct"/>
            <w:tcBorders>
              <w:top w:val="nil"/>
              <w:left w:val="nil"/>
              <w:bottom w:val="nil"/>
              <w:right w:val="nil"/>
            </w:tcBorders>
            <w:shd w:val="clear" w:color="auto" w:fill="auto"/>
            <w:noWrap/>
            <w:vAlign w:val="center"/>
          </w:tcPr>
          <w:p w14:paraId="3AF27DA0">
            <w:pPr>
              <w:spacing w:line="360" w:lineRule="auto"/>
              <w:jc w:val="center"/>
              <w:rPr>
                <w:rFonts w:ascii="Times New Roman" w:hAnsi="Times New Roman" w:cs="Times New Roman"/>
                <w:color w:val="auto"/>
                <w:sz w:val="24"/>
                <w:szCs w:val="32"/>
              </w:rPr>
            </w:pPr>
            <w:r>
              <w:rPr>
                <w:rFonts w:hint="eastAsia" w:ascii="Times New Roman" w:hAnsi="Times New Roman" w:cs="Times New Roman"/>
                <w:color w:val="auto"/>
                <w:sz w:val="24"/>
                <w:szCs w:val="32"/>
              </w:rPr>
              <w:t>17</w:t>
            </w:r>
          </w:p>
        </w:tc>
        <w:tc>
          <w:tcPr>
            <w:tcW w:w="1062" w:type="pct"/>
            <w:tcBorders>
              <w:top w:val="nil"/>
              <w:left w:val="nil"/>
              <w:bottom w:val="nil"/>
              <w:right w:val="nil"/>
            </w:tcBorders>
            <w:shd w:val="clear" w:color="auto" w:fill="auto"/>
            <w:noWrap/>
            <w:vAlign w:val="center"/>
          </w:tcPr>
          <w:p w14:paraId="03CA4476">
            <w:pPr>
              <w:spacing w:line="360" w:lineRule="auto"/>
              <w:jc w:val="center"/>
              <w:rPr>
                <w:rFonts w:ascii="Times New Roman" w:hAnsi="Times New Roman" w:cs="Times New Roman"/>
                <w:color w:val="auto"/>
                <w:sz w:val="24"/>
                <w:szCs w:val="32"/>
              </w:rPr>
            </w:pPr>
            <w:r>
              <w:rPr>
                <w:rFonts w:hint="eastAsia" w:ascii="Times New Roman" w:hAnsi="Times New Roman" w:cs="Times New Roman"/>
                <w:color w:val="auto"/>
                <w:sz w:val="24"/>
                <w:szCs w:val="32"/>
              </w:rPr>
              <w:t>20.5</w:t>
            </w:r>
          </w:p>
        </w:tc>
        <w:tc>
          <w:tcPr>
            <w:tcW w:w="898" w:type="pct"/>
            <w:tcBorders>
              <w:top w:val="nil"/>
              <w:left w:val="nil"/>
              <w:bottom w:val="nil"/>
              <w:right w:val="nil"/>
            </w:tcBorders>
            <w:shd w:val="clear" w:color="auto" w:fill="auto"/>
            <w:noWrap/>
            <w:vAlign w:val="center"/>
          </w:tcPr>
          <w:p w14:paraId="01B11479">
            <w:pPr>
              <w:spacing w:line="360" w:lineRule="auto"/>
              <w:jc w:val="center"/>
              <w:rPr>
                <w:rFonts w:ascii="Times New Roman" w:hAnsi="Times New Roman" w:cs="Times New Roman"/>
                <w:color w:val="auto"/>
                <w:sz w:val="24"/>
                <w:szCs w:val="32"/>
              </w:rPr>
            </w:pPr>
            <w:r>
              <w:rPr>
                <w:rFonts w:hint="eastAsia" w:ascii="Times New Roman" w:hAnsi="Times New Roman" w:cs="Times New Roman"/>
                <w:color w:val="auto"/>
                <w:sz w:val="24"/>
                <w:szCs w:val="32"/>
              </w:rPr>
              <w:t>11.5</w:t>
            </w:r>
          </w:p>
        </w:tc>
        <w:tc>
          <w:tcPr>
            <w:tcW w:w="898" w:type="pct"/>
            <w:tcBorders>
              <w:top w:val="nil"/>
              <w:left w:val="nil"/>
              <w:bottom w:val="nil"/>
              <w:right w:val="nil"/>
            </w:tcBorders>
            <w:shd w:val="clear" w:color="auto" w:fill="auto"/>
            <w:noWrap/>
            <w:vAlign w:val="center"/>
          </w:tcPr>
          <w:p w14:paraId="016B22E1">
            <w:pPr>
              <w:spacing w:line="360" w:lineRule="auto"/>
              <w:jc w:val="center"/>
              <w:rPr>
                <w:rFonts w:ascii="Times New Roman" w:hAnsi="Times New Roman" w:cs="Times New Roman"/>
                <w:color w:val="auto"/>
                <w:sz w:val="24"/>
                <w:szCs w:val="32"/>
              </w:rPr>
            </w:pPr>
            <w:r>
              <w:rPr>
                <w:rFonts w:hint="eastAsia" w:ascii="Times New Roman" w:hAnsi="Times New Roman" w:cs="Times New Roman"/>
                <w:color w:val="auto"/>
                <w:sz w:val="24"/>
                <w:szCs w:val="32"/>
              </w:rPr>
              <w:t>27</w:t>
            </w:r>
          </w:p>
        </w:tc>
      </w:tr>
      <w:tr w14:paraId="4DFDC77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09" w:type="pct"/>
            <w:tcBorders>
              <w:top w:val="nil"/>
              <w:left w:val="nil"/>
              <w:bottom w:val="nil"/>
              <w:right w:val="nil"/>
            </w:tcBorders>
            <w:shd w:val="clear" w:color="auto" w:fill="auto"/>
            <w:noWrap/>
            <w:vAlign w:val="center"/>
          </w:tcPr>
          <w:p w14:paraId="702BAD3F">
            <w:pPr>
              <w:spacing w:line="360" w:lineRule="auto"/>
              <w:jc w:val="center"/>
              <w:rPr>
                <w:rFonts w:ascii="Times New Roman" w:hAnsi="Times New Roman" w:cs="Times New Roman"/>
                <w:color w:val="auto"/>
                <w:sz w:val="24"/>
                <w:szCs w:val="32"/>
              </w:rPr>
            </w:pPr>
            <w:r>
              <w:rPr>
                <w:rFonts w:hint="eastAsia" w:ascii="Times New Roman" w:hAnsi="Times New Roman" w:cs="Times New Roman"/>
                <w:color w:val="auto"/>
                <w:sz w:val="24"/>
                <w:szCs w:val="32"/>
              </w:rPr>
              <w:t>Height (cm)</w:t>
            </w:r>
          </w:p>
        </w:tc>
        <w:tc>
          <w:tcPr>
            <w:tcW w:w="731" w:type="pct"/>
            <w:tcBorders>
              <w:top w:val="nil"/>
              <w:left w:val="nil"/>
              <w:bottom w:val="nil"/>
              <w:right w:val="nil"/>
            </w:tcBorders>
            <w:shd w:val="clear" w:color="auto" w:fill="auto"/>
            <w:noWrap/>
            <w:vAlign w:val="center"/>
          </w:tcPr>
          <w:p w14:paraId="56A22B20">
            <w:pPr>
              <w:spacing w:line="360" w:lineRule="auto"/>
              <w:jc w:val="center"/>
              <w:rPr>
                <w:rFonts w:ascii="Times New Roman" w:hAnsi="Times New Roman" w:cs="Times New Roman"/>
                <w:color w:val="auto"/>
                <w:sz w:val="24"/>
                <w:szCs w:val="32"/>
              </w:rPr>
            </w:pPr>
            <w:r>
              <w:rPr>
                <w:rFonts w:hint="eastAsia" w:ascii="Times New Roman" w:hAnsi="Times New Roman" w:cs="Times New Roman"/>
                <w:color w:val="auto"/>
                <w:sz w:val="24"/>
                <w:szCs w:val="32"/>
              </w:rPr>
              <w:t>117</w:t>
            </w:r>
          </w:p>
        </w:tc>
        <w:tc>
          <w:tcPr>
            <w:tcW w:w="1062" w:type="pct"/>
            <w:tcBorders>
              <w:top w:val="nil"/>
              <w:left w:val="nil"/>
              <w:bottom w:val="nil"/>
              <w:right w:val="nil"/>
            </w:tcBorders>
            <w:shd w:val="clear" w:color="auto" w:fill="auto"/>
            <w:noWrap/>
            <w:vAlign w:val="center"/>
          </w:tcPr>
          <w:p w14:paraId="265D4391">
            <w:pPr>
              <w:spacing w:line="360" w:lineRule="auto"/>
              <w:jc w:val="center"/>
              <w:rPr>
                <w:rFonts w:ascii="Times New Roman" w:hAnsi="Times New Roman" w:cs="Times New Roman"/>
                <w:color w:val="auto"/>
                <w:sz w:val="24"/>
                <w:szCs w:val="32"/>
              </w:rPr>
            </w:pPr>
            <w:r>
              <w:rPr>
                <w:rFonts w:hint="eastAsia" w:ascii="Times New Roman" w:hAnsi="Times New Roman" w:cs="Times New Roman"/>
                <w:color w:val="auto"/>
                <w:sz w:val="24"/>
                <w:szCs w:val="32"/>
              </w:rPr>
              <w:t>115.5</w:t>
            </w:r>
          </w:p>
        </w:tc>
        <w:tc>
          <w:tcPr>
            <w:tcW w:w="898" w:type="pct"/>
            <w:tcBorders>
              <w:top w:val="nil"/>
              <w:left w:val="nil"/>
              <w:bottom w:val="nil"/>
              <w:right w:val="nil"/>
            </w:tcBorders>
            <w:shd w:val="clear" w:color="auto" w:fill="auto"/>
            <w:noWrap/>
            <w:vAlign w:val="center"/>
          </w:tcPr>
          <w:p w14:paraId="62F5DC74">
            <w:pPr>
              <w:spacing w:line="360" w:lineRule="auto"/>
              <w:jc w:val="center"/>
              <w:rPr>
                <w:rFonts w:ascii="Times New Roman" w:hAnsi="Times New Roman" w:cs="Times New Roman"/>
                <w:color w:val="auto"/>
                <w:sz w:val="24"/>
                <w:szCs w:val="32"/>
              </w:rPr>
            </w:pPr>
            <w:r>
              <w:rPr>
                <w:rFonts w:hint="eastAsia" w:ascii="Times New Roman" w:hAnsi="Times New Roman" w:cs="Times New Roman"/>
                <w:color w:val="auto"/>
                <w:sz w:val="24"/>
                <w:szCs w:val="32"/>
              </w:rPr>
              <w:t>94.5</w:t>
            </w:r>
          </w:p>
        </w:tc>
        <w:tc>
          <w:tcPr>
            <w:tcW w:w="898" w:type="pct"/>
            <w:tcBorders>
              <w:top w:val="nil"/>
              <w:left w:val="nil"/>
              <w:bottom w:val="nil"/>
              <w:right w:val="nil"/>
            </w:tcBorders>
            <w:shd w:val="clear" w:color="auto" w:fill="auto"/>
            <w:noWrap/>
            <w:vAlign w:val="center"/>
          </w:tcPr>
          <w:p w14:paraId="0D17329F">
            <w:pPr>
              <w:spacing w:line="360" w:lineRule="auto"/>
              <w:jc w:val="center"/>
              <w:rPr>
                <w:rFonts w:ascii="Times New Roman" w:hAnsi="Times New Roman" w:cs="Times New Roman"/>
                <w:color w:val="auto"/>
                <w:sz w:val="24"/>
                <w:szCs w:val="32"/>
              </w:rPr>
            </w:pPr>
            <w:r>
              <w:rPr>
                <w:rFonts w:hint="eastAsia" w:ascii="Times New Roman" w:hAnsi="Times New Roman" w:cs="Times New Roman"/>
                <w:color w:val="auto"/>
                <w:sz w:val="24"/>
                <w:szCs w:val="32"/>
              </w:rPr>
              <w:t>136</w:t>
            </w:r>
          </w:p>
        </w:tc>
      </w:tr>
      <w:tr w14:paraId="655ED51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09" w:type="pct"/>
            <w:tcBorders>
              <w:top w:val="nil"/>
              <w:left w:val="nil"/>
              <w:bottom w:val="nil"/>
              <w:right w:val="nil"/>
            </w:tcBorders>
            <w:shd w:val="clear" w:color="auto" w:fill="auto"/>
            <w:noWrap/>
            <w:vAlign w:val="center"/>
          </w:tcPr>
          <w:p w14:paraId="1BDAFC6D">
            <w:pPr>
              <w:spacing w:line="360" w:lineRule="auto"/>
              <w:jc w:val="center"/>
              <w:rPr>
                <w:rFonts w:ascii="Times New Roman" w:hAnsi="Times New Roman" w:cs="Times New Roman"/>
                <w:color w:val="auto"/>
                <w:sz w:val="24"/>
                <w:szCs w:val="32"/>
              </w:rPr>
            </w:pPr>
            <w:r>
              <w:rPr>
                <w:rFonts w:hint="eastAsia" w:ascii="Times New Roman" w:hAnsi="Times New Roman" w:cs="Times New Roman"/>
                <w:color w:val="auto"/>
                <w:sz w:val="24"/>
                <w:szCs w:val="32"/>
              </w:rPr>
              <w:t>Ethnic groups</w:t>
            </w:r>
          </w:p>
        </w:tc>
        <w:tc>
          <w:tcPr>
            <w:tcW w:w="731" w:type="pct"/>
            <w:tcBorders>
              <w:top w:val="nil"/>
              <w:left w:val="nil"/>
              <w:bottom w:val="nil"/>
              <w:right w:val="nil"/>
            </w:tcBorders>
            <w:shd w:val="clear" w:color="auto" w:fill="auto"/>
            <w:noWrap/>
            <w:vAlign w:val="center"/>
          </w:tcPr>
          <w:p w14:paraId="3B12984C">
            <w:pPr>
              <w:spacing w:line="360" w:lineRule="auto"/>
              <w:jc w:val="center"/>
              <w:rPr>
                <w:rFonts w:ascii="Times New Roman" w:hAnsi="Times New Roman" w:cs="Times New Roman"/>
                <w:color w:val="auto"/>
                <w:sz w:val="24"/>
                <w:szCs w:val="32"/>
              </w:rPr>
            </w:pPr>
            <w:r>
              <w:rPr>
                <w:rFonts w:hint="eastAsia" w:ascii="Times New Roman" w:hAnsi="Times New Roman" w:cs="Times New Roman"/>
                <w:color w:val="auto"/>
                <w:sz w:val="24"/>
                <w:szCs w:val="32"/>
              </w:rPr>
              <w:t>Han</w:t>
            </w:r>
          </w:p>
        </w:tc>
        <w:tc>
          <w:tcPr>
            <w:tcW w:w="1062" w:type="pct"/>
            <w:tcBorders>
              <w:top w:val="nil"/>
              <w:left w:val="nil"/>
              <w:bottom w:val="nil"/>
              <w:right w:val="nil"/>
            </w:tcBorders>
            <w:shd w:val="clear" w:color="auto" w:fill="auto"/>
            <w:noWrap/>
            <w:vAlign w:val="center"/>
          </w:tcPr>
          <w:p w14:paraId="53696603">
            <w:pPr>
              <w:spacing w:line="360" w:lineRule="auto"/>
              <w:jc w:val="center"/>
              <w:rPr>
                <w:rFonts w:ascii="Times New Roman" w:hAnsi="Times New Roman" w:cs="Times New Roman"/>
                <w:color w:val="auto"/>
                <w:sz w:val="24"/>
                <w:szCs w:val="32"/>
              </w:rPr>
            </w:pPr>
            <w:r>
              <w:rPr>
                <w:rFonts w:hint="eastAsia" w:ascii="Times New Roman" w:hAnsi="Times New Roman" w:cs="Times New Roman"/>
                <w:color w:val="auto"/>
                <w:sz w:val="24"/>
                <w:szCs w:val="32"/>
              </w:rPr>
              <w:t>Yi ethnic group</w:t>
            </w:r>
          </w:p>
        </w:tc>
        <w:tc>
          <w:tcPr>
            <w:tcW w:w="898" w:type="pct"/>
            <w:tcBorders>
              <w:top w:val="nil"/>
              <w:left w:val="nil"/>
              <w:bottom w:val="nil"/>
              <w:right w:val="nil"/>
            </w:tcBorders>
            <w:shd w:val="clear" w:color="auto" w:fill="auto"/>
            <w:noWrap/>
            <w:vAlign w:val="center"/>
          </w:tcPr>
          <w:p w14:paraId="0D7B6918">
            <w:pPr>
              <w:spacing w:line="360" w:lineRule="auto"/>
              <w:jc w:val="center"/>
              <w:rPr>
                <w:rFonts w:ascii="Times New Roman" w:hAnsi="Times New Roman" w:cs="Times New Roman"/>
                <w:color w:val="auto"/>
                <w:sz w:val="24"/>
                <w:szCs w:val="32"/>
              </w:rPr>
            </w:pPr>
            <w:r>
              <w:rPr>
                <w:rFonts w:hint="eastAsia" w:ascii="Times New Roman" w:hAnsi="Times New Roman" w:cs="Times New Roman"/>
                <w:color w:val="auto"/>
                <w:sz w:val="24"/>
                <w:szCs w:val="32"/>
              </w:rPr>
              <w:t>Han</w:t>
            </w:r>
          </w:p>
        </w:tc>
        <w:tc>
          <w:tcPr>
            <w:tcW w:w="898" w:type="pct"/>
            <w:tcBorders>
              <w:top w:val="nil"/>
              <w:left w:val="nil"/>
              <w:bottom w:val="nil"/>
              <w:right w:val="nil"/>
            </w:tcBorders>
            <w:shd w:val="clear" w:color="auto" w:fill="auto"/>
            <w:noWrap/>
            <w:vAlign w:val="center"/>
          </w:tcPr>
          <w:p w14:paraId="527B75B0">
            <w:pPr>
              <w:spacing w:line="360" w:lineRule="auto"/>
              <w:jc w:val="center"/>
              <w:rPr>
                <w:rFonts w:ascii="Times New Roman" w:hAnsi="Times New Roman" w:cs="Times New Roman"/>
                <w:color w:val="auto"/>
                <w:sz w:val="24"/>
                <w:szCs w:val="32"/>
              </w:rPr>
            </w:pPr>
            <w:r>
              <w:rPr>
                <w:rFonts w:hint="eastAsia" w:ascii="Times New Roman" w:hAnsi="Times New Roman" w:cs="Times New Roman"/>
                <w:color w:val="auto"/>
                <w:sz w:val="24"/>
                <w:szCs w:val="32"/>
              </w:rPr>
              <w:t>Han</w:t>
            </w:r>
          </w:p>
        </w:tc>
      </w:tr>
      <w:tr w14:paraId="2F9D49F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09" w:type="pct"/>
            <w:tcBorders>
              <w:top w:val="nil"/>
              <w:left w:val="nil"/>
              <w:bottom w:val="nil"/>
              <w:right w:val="nil"/>
            </w:tcBorders>
            <w:shd w:val="clear" w:color="auto" w:fill="auto"/>
            <w:noWrap/>
            <w:vAlign w:val="center"/>
          </w:tcPr>
          <w:p w14:paraId="07DB2EFE">
            <w:pPr>
              <w:spacing w:line="360" w:lineRule="auto"/>
              <w:jc w:val="center"/>
              <w:rPr>
                <w:rFonts w:ascii="Times New Roman" w:hAnsi="Times New Roman" w:cs="Times New Roman"/>
                <w:color w:val="auto"/>
                <w:sz w:val="24"/>
                <w:szCs w:val="32"/>
              </w:rPr>
            </w:pPr>
            <w:r>
              <w:rPr>
                <w:rFonts w:hint="eastAsia" w:ascii="Times New Roman" w:hAnsi="Times New Roman" w:cs="Times New Roman"/>
                <w:color w:val="auto"/>
                <w:sz w:val="24"/>
                <w:szCs w:val="32"/>
              </w:rPr>
              <w:t>siblings</w:t>
            </w:r>
          </w:p>
        </w:tc>
        <w:tc>
          <w:tcPr>
            <w:tcW w:w="731" w:type="pct"/>
            <w:tcBorders>
              <w:top w:val="nil"/>
              <w:left w:val="nil"/>
              <w:bottom w:val="nil"/>
              <w:right w:val="nil"/>
            </w:tcBorders>
            <w:shd w:val="clear" w:color="auto" w:fill="auto"/>
            <w:noWrap/>
            <w:vAlign w:val="center"/>
          </w:tcPr>
          <w:p w14:paraId="7EA67CE5">
            <w:pPr>
              <w:spacing w:line="360" w:lineRule="auto"/>
              <w:jc w:val="center"/>
              <w:rPr>
                <w:rFonts w:ascii="Times New Roman" w:hAnsi="Times New Roman" w:cs="Times New Roman"/>
                <w:color w:val="auto"/>
                <w:sz w:val="24"/>
                <w:szCs w:val="32"/>
              </w:rPr>
            </w:pPr>
            <w:r>
              <w:rPr>
                <w:rFonts w:hint="eastAsia" w:ascii="Times New Roman" w:hAnsi="Times New Roman" w:cs="Times New Roman"/>
                <w:color w:val="auto"/>
                <w:sz w:val="24"/>
                <w:szCs w:val="32"/>
              </w:rPr>
              <w:t>0</w:t>
            </w:r>
          </w:p>
        </w:tc>
        <w:tc>
          <w:tcPr>
            <w:tcW w:w="1062" w:type="pct"/>
            <w:tcBorders>
              <w:top w:val="nil"/>
              <w:left w:val="nil"/>
              <w:bottom w:val="nil"/>
              <w:right w:val="nil"/>
            </w:tcBorders>
            <w:shd w:val="clear" w:color="auto" w:fill="auto"/>
            <w:noWrap/>
            <w:vAlign w:val="center"/>
          </w:tcPr>
          <w:p w14:paraId="541246FD">
            <w:pPr>
              <w:spacing w:line="360" w:lineRule="auto"/>
              <w:jc w:val="center"/>
              <w:rPr>
                <w:rFonts w:ascii="Times New Roman" w:hAnsi="Times New Roman" w:cs="Times New Roman"/>
                <w:color w:val="auto"/>
                <w:sz w:val="24"/>
                <w:szCs w:val="32"/>
              </w:rPr>
            </w:pPr>
            <w:r>
              <w:rPr>
                <w:rFonts w:hint="eastAsia" w:ascii="Times New Roman" w:hAnsi="Times New Roman" w:cs="Times New Roman"/>
                <w:color w:val="auto"/>
                <w:sz w:val="24"/>
                <w:szCs w:val="32"/>
              </w:rPr>
              <w:t>1</w:t>
            </w:r>
          </w:p>
        </w:tc>
        <w:tc>
          <w:tcPr>
            <w:tcW w:w="898" w:type="pct"/>
            <w:tcBorders>
              <w:top w:val="nil"/>
              <w:left w:val="nil"/>
              <w:bottom w:val="nil"/>
              <w:right w:val="nil"/>
            </w:tcBorders>
            <w:shd w:val="clear" w:color="auto" w:fill="auto"/>
            <w:noWrap/>
            <w:vAlign w:val="center"/>
          </w:tcPr>
          <w:p w14:paraId="5C3A4408">
            <w:pPr>
              <w:spacing w:line="360" w:lineRule="auto"/>
              <w:jc w:val="center"/>
              <w:rPr>
                <w:rFonts w:ascii="Times New Roman" w:hAnsi="Times New Roman" w:cs="Times New Roman"/>
                <w:color w:val="auto"/>
                <w:sz w:val="24"/>
                <w:szCs w:val="32"/>
              </w:rPr>
            </w:pPr>
            <w:r>
              <w:rPr>
                <w:rFonts w:hint="eastAsia" w:ascii="Times New Roman" w:hAnsi="Times New Roman" w:cs="Times New Roman"/>
                <w:color w:val="auto"/>
                <w:sz w:val="24"/>
                <w:szCs w:val="32"/>
              </w:rPr>
              <w:t>0</w:t>
            </w:r>
          </w:p>
        </w:tc>
        <w:tc>
          <w:tcPr>
            <w:tcW w:w="898" w:type="pct"/>
            <w:tcBorders>
              <w:top w:val="nil"/>
              <w:left w:val="nil"/>
              <w:bottom w:val="nil"/>
              <w:right w:val="nil"/>
            </w:tcBorders>
            <w:shd w:val="clear" w:color="auto" w:fill="auto"/>
            <w:noWrap/>
            <w:vAlign w:val="center"/>
          </w:tcPr>
          <w:p w14:paraId="4250C4DE">
            <w:pPr>
              <w:spacing w:line="360" w:lineRule="auto"/>
              <w:jc w:val="center"/>
              <w:rPr>
                <w:rFonts w:ascii="Times New Roman" w:hAnsi="Times New Roman" w:cs="Times New Roman"/>
                <w:color w:val="auto"/>
                <w:sz w:val="24"/>
                <w:szCs w:val="32"/>
              </w:rPr>
            </w:pPr>
            <w:r>
              <w:rPr>
                <w:rFonts w:hint="eastAsia" w:ascii="Times New Roman" w:hAnsi="Times New Roman" w:cs="Times New Roman"/>
                <w:color w:val="auto"/>
                <w:sz w:val="24"/>
                <w:szCs w:val="32"/>
              </w:rPr>
              <w:t>1</w:t>
            </w:r>
          </w:p>
        </w:tc>
      </w:tr>
      <w:tr w14:paraId="4CE914D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09" w:type="pct"/>
            <w:tcBorders>
              <w:top w:val="nil"/>
              <w:left w:val="nil"/>
              <w:bottom w:val="nil"/>
              <w:right w:val="nil"/>
            </w:tcBorders>
            <w:shd w:val="clear" w:color="auto" w:fill="auto"/>
            <w:noWrap/>
            <w:vAlign w:val="center"/>
          </w:tcPr>
          <w:p w14:paraId="402AA5D3">
            <w:pPr>
              <w:spacing w:line="360" w:lineRule="auto"/>
              <w:jc w:val="center"/>
              <w:rPr>
                <w:rFonts w:ascii="Times New Roman" w:hAnsi="Times New Roman" w:cs="Times New Roman"/>
                <w:color w:val="auto"/>
                <w:sz w:val="24"/>
                <w:szCs w:val="32"/>
              </w:rPr>
            </w:pPr>
            <w:r>
              <w:rPr>
                <w:rFonts w:hint="eastAsia" w:ascii="Times New Roman" w:hAnsi="Times New Roman" w:cs="Times New Roman"/>
                <w:color w:val="auto"/>
                <w:sz w:val="24"/>
                <w:szCs w:val="32"/>
              </w:rPr>
              <w:t>siblings' gender</w:t>
            </w:r>
          </w:p>
        </w:tc>
        <w:tc>
          <w:tcPr>
            <w:tcW w:w="731" w:type="pct"/>
            <w:tcBorders>
              <w:top w:val="nil"/>
              <w:left w:val="nil"/>
              <w:bottom w:val="nil"/>
              <w:right w:val="nil"/>
            </w:tcBorders>
            <w:shd w:val="clear" w:color="auto" w:fill="auto"/>
            <w:noWrap/>
            <w:vAlign w:val="center"/>
          </w:tcPr>
          <w:p w14:paraId="3F28727C">
            <w:pPr>
              <w:spacing w:line="360" w:lineRule="auto"/>
              <w:jc w:val="center"/>
              <w:rPr>
                <w:rFonts w:ascii="Times New Roman" w:hAnsi="Times New Roman" w:cs="Times New Roman"/>
                <w:color w:val="auto"/>
                <w:sz w:val="24"/>
                <w:szCs w:val="32"/>
              </w:rPr>
            </w:pPr>
            <w:r>
              <w:rPr>
                <w:rFonts w:hint="eastAsia" w:ascii="Times New Roman" w:hAnsi="Times New Roman" w:cs="Times New Roman"/>
                <w:color w:val="auto"/>
                <w:sz w:val="24"/>
                <w:szCs w:val="32"/>
              </w:rPr>
              <w:t>-</w:t>
            </w:r>
          </w:p>
        </w:tc>
        <w:tc>
          <w:tcPr>
            <w:tcW w:w="1062" w:type="pct"/>
            <w:tcBorders>
              <w:top w:val="nil"/>
              <w:left w:val="nil"/>
              <w:bottom w:val="nil"/>
              <w:right w:val="nil"/>
            </w:tcBorders>
            <w:shd w:val="clear" w:color="auto" w:fill="auto"/>
            <w:noWrap/>
            <w:vAlign w:val="center"/>
          </w:tcPr>
          <w:p w14:paraId="0DBCC8EE">
            <w:pPr>
              <w:spacing w:line="360" w:lineRule="auto"/>
              <w:jc w:val="center"/>
              <w:rPr>
                <w:rFonts w:ascii="Times New Roman" w:hAnsi="Times New Roman" w:cs="Times New Roman"/>
                <w:color w:val="auto"/>
                <w:sz w:val="24"/>
                <w:szCs w:val="32"/>
              </w:rPr>
            </w:pPr>
            <w:r>
              <w:rPr>
                <w:rFonts w:hint="eastAsia" w:ascii="Times New Roman" w:hAnsi="Times New Roman" w:cs="Times New Roman"/>
                <w:color w:val="auto"/>
                <w:sz w:val="24"/>
                <w:szCs w:val="32"/>
              </w:rPr>
              <w:t>female</w:t>
            </w:r>
          </w:p>
        </w:tc>
        <w:tc>
          <w:tcPr>
            <w:tcW w:w="898" w:type="pct"/>
            <w:tcBorders>
              <w:top w:val="nil"/>
              <w:left w:val="nil"/>
              <w:bottom w:val="nil"/>
              <w:right w:val="nil"/>
            </w:tcBorders>
            <w:shd w:val="clear" w:color="auto" w:fill="auto"/>
            <w:noWrap/>
            <w:vAlign w:val="center"/>
          </w:tcPr>
          <w:p w14:paraId="1E7509AF">
            <w:pPr>
              <w:spacing w:line="360" w:lineRule="auto"/>
              <w:jc w:val="center"/>
              <w:rPr>
                <w:rFonts w:ascii="Times New Roman" w:hAnsi="Times New Roman" w:cs="Times New Roman"/>
                <w:color w:val="auto"/>
                <w:sz w:val="24"/>
                <w:szCs w:val="32"/>
              </w:rPr>
            </w:pPr>
            <w:r>
              <w:rPr>
                <w:rFonts w:hint="eastAsia" w:ascii="Times New Roman" w:hAnsi="Times New Roman" w:cs="Times New Roman"/>
                <w:color w:val="auto"/>
                <w:sz w:val="24"/>
                <w:szCs w:val="32"/>
              </w:rPr>
              <w:t>-</w:t>
            </w:r>
          </w:p>
        </w:tc>
        <w:tc>
          <w:tcPr>
            <w:tcW w:w="898" w:type="pct"/>
            <w:tcBorders>
              <w:top w:val="nil"/>
              <w:left w:val="nil"/>
              <w:bottom w:val="nil"/>
              <w:right w:val="nil"/>
            </w:tcBorders>
            <w:shd w:val="clear" w:color="auto" w:fill="auto"/>
            <w:noWrap/>
            <w:vAlign w:val="center"/>
          </w:tcPr>
          <w:p w14:paraId="0B015366">
            <w:pPr>
              <w:spacing w:line="360" w:lineRule="auto"/>
              <w:jc w:val="center"/>
              <w:rPr>
                <w:rFonts w:ascii="Times New Roman" w:hAnsi="Times New Roman" w:cs="Times New Roman"/>
                <w:color w:val="auto"/>
                <w:sz w:val="24"/>
                <w:szCs w:val="32"/>
              </w:rPr>
            </w:pPr>
            <w:r>
              <w:rPr>
                <w:rFonts w:hint="eastAsia" w:ascii="Times New Roman" w:hAnsi="Times New Roman" w:cs="Times New Roman"/>
                <w:color w:val="auto"/>
                <w:sz w:val="24"/>
                <w:szCs w:val="32"/>
              </w:rPr>
              <w:t>female</w:t>
            </w:r>
          </w:p>
        </w:tc>
      </w:tr>
      <w:tr w14:paraId="353AE24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09" w:type="pct"/>
            <w:tcBorders>
              <w:top w:val="nil"/>
              <w:left w:val="nil"/>
              <w:right w:val="nil"/>
            </w:tcBorders>
            <w:shd w:val="clear" w:color="auto" w:fill="auto"/>
            <w:noWrap/>
            <w:vAlign w:val="center"/>
          </w:tcPr>
          <w:p w14:paraId="24D1836E">
            <w:pPr>
              <w:spacing w:line="360" w:lineRule="auto"/>
              <w:jc w:val="center"/>
              <w:rPr>
                <w:rFonts w:hint="eastAsia" w:ascii="Times New Roman" w:hAnsi="Times New Roman" w:cs="Times New Roman" w:eastAsiaTheme="minorEastAsia"/>
                <w:color w:val="auto"/>
                <w:sz w:val="24"/>
                <w:szCs w:val="32"/>
                <w:lang w:eastAsia="zh-CN"/>
              </w:rPr>
            </w:pPr>
            <w:r>
              <w:rPr>
                <w:rFonts w:hint="eastAsia" w:ascii="Times New Roman" w:hAnsi="Times New Roman" w:cs="Times New Roman"/>
                <w:color w:val="auto"/>
                <w:sz w:val="24"/>
                <w:szCs w:val="32"/>
                <w:highlight w:val="yellow"/>
              </w:rPr>
              <w:t xml:space="preserve">Whether siblings are </w:t>
            </w:r>
            <w:r>
              <w:rPr>
                <w:rFonts w:hint="eastAsia" w:ascii="Times New Roman" w:hAnsi="Times New Roman" w:cs="Times New Roman"/>
                <w:color w:val="auto"/>
                <w:sz w:val="24"/>
                <w:szCs w:val="32"/>
                <w:highlight w:val="yellow"/>
                <w:lang w:eastAsia="zh-CN"/>
              </w:rPr>
              <w:t>typically developing</w:t>
            </w:r>
          </w:p>
        </w:tc>
        <w:tc>
          <w:tcPr>
            <w:tcW w:w="731" w:type="pct"/>
            <w:tcBorders>
              <w:top w:val="nil"/>
              <w:left w:val="nil"/>
              <w:right w:val="nil"/>
            </w:tcBorders>
            <w:shd w:val="clear" w:color="auto" w:fill="auto"/>
            <w:noWrap/>
            <w:vAlign w:val="center"/>
          </w:tcPr>
          <w:p w14:paraId="14ABC817">
            <w:pPr>
              <w:spacing w:line="360" w:lineRule="auto"/>
              <w:jc w:val="center"/>
              <w:rPr>
                <w:rFonts w:ascii="Times New Roman" w:hAnsi="Times New Roman" w:cs="Times New Roman"/>
                <w:color w:val="auto"/>
                <w:sz w:val="24"/>
                <w:szCs w:val="32"/>
              </w:rPr>
            </w:pPr>
            <w:r>
              <w:rPr>
                <w:rFonts w:hint="eastAsia" w:ascii="Times New Roman" w:hAnsi="Times New Roman" w:cs="Times New Roman"/>
                <w:color w:val="auto"/>
                <w:sz w:val="24"/>
                <w:szCs w:val="32"/>
              </w:rPr>
              <w:t>-</w:t>
            </w:r>
          </w:p>
        </w:tc>
        <w:tc>
          <w:tcPr>
            <w:tcW w:w="1062" w:type="pct"/>
            <w:tcBorders>
              <w:top w:val="nil"/>
              <w:left w:val="nil"/>
              <w:right w:val="nil"/>
            </w:tcBorders>
            <w:shd w:val="clear" w:color="auto" w:fill="auto"/>
            <w:noWrap/>
            <w:vAlign w:val="center"/>
          </w:tcPr>
          <w:p w14:paraId="1D27C584">
            <w:pPr>
              <w:spacing w:line="360" w:lineRule="auto"/>
              <w:jc w:val="center"/>
              <w:rPr>
                <w:rFonts w:ascii="Times New Roman" w:hAnsi="Times New Roman" w:cs="Times New Roman"/>
                <w:color w:val="auto"/>
                <w:sz w:val="24"/>
                <w:szCs w:val="32"/>
              </w:rPr>
            </w:pPr>
            <w:r>
              <w:rPr>
                <w:rFonts w:hint="eastAsia" w:ascii="Times New Roman" w:hAnsi="Times New Roman" w:cs="Times New Roman"/>
                <w:color w:val="auto"/>
                <w:sz w:val="24"/>
                <w:szCs w:val="32"/>
              </w:rPr>
              <w:t>Yes</w:t>
            </w:r>
          </w:p>
        </w:tc>
        <w:tc>
          <w:tcPr>
            <w:tcW w:w="898" w:type="pct"/>
            <w:tcBorders>
              <w:top w:val="nil"/>
              <w:left w:val="nil"/>
              <w:right w:val="nil"/>
            </w:tcBorders>
            <w:shd w:val="clear" w:color="auto" w:fill="auto"/>
            <w:noWrap/>
            <w:vAlign w:val="center"/>
          </w:tcPr>
          <w:p w14:paraId="19D12469">
            <w:pPr>
              <w:spacing w:line="360" w:lineRule="auto"/>
              <w:jc w:val="center"/>
              <w:rPr>
                <w:rFonts w:ascii="Times New Roman" w:hAnsi="Times New Roman" w:cs="Times New Roman"/>
                <w:color w:val="auto"/>
                <w:sz w:val="24"/>
                <w:szCs w:val="32"/>
              </w:rPr>
            </w:pPr>
            <w:r>
              <w:rPr>
                <w:rFonts w:hint="eastAsia" w:ascii="Times New Roman" w:hAnsi="Times New Roman" w:cs="Times New Roman"/>
                <w:color w:val="auto"/>
                <w:sz w:val="24"/>
                <w:szCs w:val="32"/>
              </w:rPr>
              <w:t>-</w:t>
            </w:r>
          </w:p>
        </w:tc>
        <w:tc>
          <w:tcPr>
            <w:tcW w:w="898" w:type="pct"/>
            <w:tcBorders>
              <w:top w:val="nil"/>
              <w:left w:val="nil"/>
              <w:right w:val="nil"/>
            </w:tcBorders>
            <w:shd w:val="clear" w:color="auto" w:fill="auto"/>
            <w:noWrap/>
            <w:vAlign w:val="center"/>
          </w:tcPr>
          <w:p w14:paraId="076E8041">
            <w:pPr>
              <w:spacing w:line="360" w:lineRule="auto"/>
              <w:jc w:val="center"/>
              <w:rPr>
                <w:rFonts w:ascii="Times New Roman" w:hAnsi="Times New Roman" w:cs="Times New Roman"/>
                <w:color w:val="auto"/>
                <w:sz w:val="24"/>
                <w:szCs w:val="32"/>
              </w:rPr>
            </w:pPr>
            <w:r>
              <w:rPr>
                <w:rFonts w:hint="eastAsia" w:ascii="Times New Roman" w:hAnsi="Times New Roman" w:cs="Times New Roman"/>
                <w:color w:val="auto"/>
                <w:sz w:val="24"/>
                <w:szCs w:val="32"/>
              </w:rPr>
              <w:t>Yes</w:t>
            </w:r>
          </w:p>
        </w:tc>
      </w:tr>
    </w:tbl>
    <w:p w14:paraId="2F06AAA3">
      <w:pPr>
        <w:spacing w:line="360" w:lineRule="auto"/>
        <w:ind w:firstLine="480" w:firstLineChars="200"/>
        <w:rPr>
          <w:rFonts w:ascii="Times New Roman" w:hAnsi="Times New Roman" w:cs="Times New Roman"/>
          <w:color w:val="auto"/>
          <w:sz w:val="24"/>
        </w:rPr>
      </w:pPr>
      <w:bookmarkStart w:id="5" w:name="OLE_LINK4"/>
      <w:r>
        <w:rPr>
          <w:rFonts w:ascii="Times New Roman" w:hAnsi="Times New Roman" w:cs="Times New Roman"/>
          <w:color w:val="auto"/>
          <w:sz w:val="24"/>
          <w:szCs w:val="32"/>
        </w:rPr>
        <w:t xml:space="preserve">Before treatment initiation, each patient underwent routine blood tests and a standard electrocardiogram to establish baseline health and assess eligibility for therapy. </w:t>
      </w:r>
      <w:r>
        <w:rPr>
          <w:rFonts w:hint="eastAsia" w:ascii="Times New Roman" w:hAnsi="Times New Roman" w:cs="Times New Roman"/>
          <w:color w:val="auto"/>
          <w:sz w:val="24"/>
          <w:szCs w:val="32"/>
        </w:rPr>
        <w:t xml:space="preserve">The treatment regimen comprised three cycles of subcutaneous injections of Ld IL-2 (Shandong Quanqi, 500,000 IU/bottle) at a dose of 16,000 IU/kg. Injections were alternated between the left and right arms during each cycle. </w:t>
      </w:r>
      <w:r>
        <w:rPr>
          <w:rFonts w:ascii="Times New Roman" w:hAnsi="Times New Roman" w:cs="Times New Roman"/>
          <w:color w:val="auto"/>
          <w:sz w:val="24"/>
          <w:szCs w:val="32"/>
        </w:rPr>
        <w:t>Each cycle included seven injections of Ld IL-2</w:t>
      </w:r>
      <w:r>
        <w:rPr>
          <w:rFonts w:hint="eastAsia" w:ascii="Times New Roman" w:hAnsi="Times New Roman" w:cs="Times New Roman"/>
          <w:color w:val="auto"/>
          <w:sz w:val="24"/>
          <w:szCs w:val="32"/>
        </w:rPr>
        <w:t xml:space="preserve"> (subcutaneously every other day) </w:t>
      </w:r>
      <w:r>
        <w:rPr>
          <w:rFonts w:ascii="Times New Roman" w:hAnsi="Times New Roman" w:cs="Times New Roman"/>
          <w:color w:val="auto"/>
          <w:sz w:val="24"/>
          <w:szCs w:val="32"/>
        </w:rPr>
        <w:t xml:space="preserve">followed by a 14-day rest period, ensuring sterile administration. Patients were evaluated using standardized assessments before treatment, after </w:t>
      </w:r>
      <w:r>
        <w:rPr>
          <w:rFonts w:ascii="Times New Roman" w:hAnsi="Times New Roman" w:cs="Times New Roman"/>
          <w:color w:val="auto"/>
          <w:sz w:val="24"/>
        </w:rPr>
        <w:t xml:space="preserve">treatment, and at a three-month follow-up post-treatment. Assessment tools included the Childhood Autism Rating Scale (CARS), Aberrant Behavior Checklist (ABC), Autism Treatment Evaluation Checklist (ATEC), and Clancy Autism Behavior Scale (CABS). </w:t>
      </w:r>
      <w:r>
        <w:rPr>
          <w:rFonts w:ascii="Times New Roman" w:hAnsi="Times New Roman" w:eastAsia="宋体" w:cs="Times New Roman"/>
          <w:color w:val="auto"/>
          <w:kern w:val="0"/>
          <w:sz w:val="24"/>
          <w:lang w:bidi="ar"/>
        </w:rPr>
        <w:t xml:space="preserve">CARS is commonly used in the screening, diagnosis, and evaluation of treatment outcomes for children with ASD. This scale involves a comprehensive evaluation across 15 domains, with each domain assessed by trained professionals. </w:t>
      </w:r>
      <w:r>
        <w:rPr>
          <w:rFonts w:hint="eastAsia" w:ascii="Times New Roman" w:hAnsi="Times New Roman" w:eastAsia="宋体" w:cs="Times New Roman"/>
          <w:color w:val="auto"/>
          <w:kern w:val="0"/>
          <w:sz w:val="24"/>
          <w:lang w:bidi="ar"/>
        </w:rPr>
        <w:t>T</w:t>
      </w:r>
      <w:r>
        <w:rPr>
          <w:rFonts w:ascii="Times New Roman" w:hAnsi="Times New Roman" w:eastAsia="宋体" w:cs="Times New Roman"/>
          <w:color w:val="auto"/>
          <w:kern w:val="0"/>
          <w:sz w:val="24"/>
          <w:lang w:bidi="ar"/>
        </w:rPr>
        <w:t>he ABC</w:t>
      </w:r>
      <w:r>
        <w:rPr>
          <w:rFonts w:hint="eastAsia" w:ascii="Times New Roman" w:hAnsi="Times New Roman" w:eastAsia="宋体" w:cs="Times New Roman"/>
          <w:color w:val="auto"/>
          <w:kern w:val="0"/>
          <w:sz w:val="24"/>
          <w:lang w:bidi="ar"/>
        </w:rPr>
        <w:t xml:space="preserve"> </w:t>
      </w:r>
      <w:r>
        <w:rPr>
          <w:rFonts w:ascii="Times New Roman" w:hAnsi="Times New Roman" w:eastAsia="宋体" w:cs="Times New Roman"/>
          <w:color w:val="auto"/>
          <w:kern w:val="0"/>
          <w:sz w:val="24"/>
          <w:lang w:bidi="ar"/>
        </w:rPr>
        <w:t>is completed by caregivers and includes five key areas: sensory processing, communication, physical movement, language, and self-care. To assess the effectiveness of treatment, the ATEC is utilized, evaluating four domains: social behavior, language, perception, and behavior. Like the ABC, the ATEC is also filled out by caregivers. The CABS</w:t>
      </w:r>
      <w:r>
        <w:rPr>
          <w:rFonts w:hint="eastAsia" w:ascii="Times New Roman" w:hAnsi="Times New Roman" w:eastAsia="宋体" w:cs="Times New Roman"/>
          <w:color w:val="auto"/>
          <w:kern w:val="0"/>
          <w:sz w:val="24"/>
          <w:lang w:bidi="ar"/>
        </w:rPr>
        <w:t xml:space="preserve"> </w:t>
      </w:r>
      <w:r>
        <w:rPr>
          <w:rFonts w:ascii="Times New Roman" w:hAnsi="Times New Roman" w:eastAsia="宋体" w:cs="Times New Roman"/>
          <w:color w:val="auto"/>
          <w:kern w:val="0"/>
          <w:sz w:val="24"/>
          <w:lang w:bidi="ar"/>
        </w:rPr>
        <w:t>is another tool employed to assess specific behavioral characteristics associated with ASD, focusing on social interaction, communication skills, interests, and repetitive behaviors.</w:t>
      </w:r>
      <w:r>
        <w:rPr>
          <w:rFonts w:hint="eastAsia" w:ascii="Times New Roman" w:hAnsi="Times New Roman" w:eastAsia="宋体" w:cs="Times New Roman"/>
          <w:color w:val="auto"/>
          <w:kern w:val="0"/>
          <w:sz w:val="24"/>
          <w:lang w:bidi="ar"/>
        </w:rPr>
        <w:t xml:space="preserve"> </w:t>
      </w:r>
      <w:r>
        <w:rPr>
          <w:rFonts w:ascii="Times New Roman" w:hAnsi="Times New Roman" w:cs="Times New Roman"/>
          <w:color w:val="auto"/>
          <w:sz w:val="24"/>
        </w:rPr>
        <w:t>Caregiver outcomes were measured using the Hospital Anxiety and Depression Scale (HADS) and Caregiver Strain Questionnaire (CGSQ). Additionally, venous blood samples were collected before and after treatment for quantitative cytokine experiments. Peripheral blood mononuclear cells</w:t>
      </w:r>
      <w:r>
        <w:rPr>
          <w:rFonts w:hint="eastAsia" w:ascii="Times New Roman" w:hAnsi="Times New Roman" w:cs="Times New Roman"/>
          <w:color w:val="auto"/>
          <w:sz w:val="24"/>
          <w:lang w:val="en-US" w:eastAsia="zh-CN"/>
        </w:rPr>
        <w:t xml:space="preserve"> </w:t>
      </w:r>
      <w:r>
        <w:rPr>
          <w:rFonts w:ascii="Times New Roman" w:hAnsi="Times New Roman" w:cs="Times New Roman"/>
          <w:color w:val="auto"/>
          <w:sz w:val="24"/>
        </w:rPr>
        <w:t xml:space="preserve">were isolated and analyzed for immune cell populations and serum cytokine levels, including Treg cells, T helper cell subsets (Th1, Th2, Th17), </w:t>
      </w:r>
      <w:r>
        <w:rPr>
          <w:rFonts w:ascii="Times New Roman" w:hAnsi="Times New Roman" w:eastAsia="宋体" w:cs="Times New Roman"/>
          <w:color w:val="auto"/>
          <w:kern w:val="0"/>
          <w:sz w:val="24"/>
          <w:lang w:bidi="ar"/>
        </w:rPr>
        <w:t>T follicular helper</w:t>
      </w:r>
      <w:r>
        <w:rPr>
          <w:rFonts w:hint="eastAsia" w:ascii="Times New Roman" w:hAnsi="Times New Roman" w:eastAsia="宋体" w:cs="Times New Roman"/>
          <w:color w:val="auto"/>
          <w:kern w:val="0"/>
          <w:sz w:val="24"/>
          <w:lang w:bidi="ar"/>
        </w:rPr>
        <w:t xml:space="preserve"> (</w:t>
      </w:r>
      <w:r>
        <w:rPr>
          <w:rFonts w:hint="eastAsia" w:ascii="Times New Roman" w:hAnsi="Times New Roman" w:cs="Times New Roman"/>
          <w:color w:val="auto"/>
          <w:sz w:val="24"/>
        </w:rPr>
        <w:t xml:space="preserve">Tfh), </w:t>
      </w:r>
      <w:r>
        <w:rPr>
          <w:rFonts w:ascii="Times New Roman" w:hAnsi="Times New Roman" w:cs="Times New Roman"/>
          <w:color w:val="auto"/>
          <w:sz w:val="24"/>
        </w:rPr>
        <w:t xml:space="preserve">Tc1, and various </w:t>
      </w:r>
      <w:r>
        <w:rPr>
          <w:rFonts w:hint="eastAsia" w:ascii="Times New Roman" w:hAnsi="Times New Roman" w:cs="Times New Roman"/>
          <w:color w:val="auto"/>
          <w:sz w:val="24"/>
        </w:rPr>
        <w:t>cytokines</w:t>
      </w:r>
      <w:r>
        <w:rPr>
          <w:rFonts w:ascii="Times New Roman" w:hAnsi="Times New Roman" w:cs="Times New Roman"/>
          <w:color w:val="auto"/>
          <w:sz w:val="24"/>
        </w:rPr>
        <w:t xml:space="preserve"> (IL-2, IL-4, IL-6, IL-8, IL-10, IL-12P70, IL-1β, TNF-α, IL-17A, IL-17F, IL-22, TGF-β).</w:t>
      </w:r>
      <w:r>
        <w:rPr>
          <w:rFonts w:hint="eastAsia" w:ascii="Times New Roman" w:hAnsi="Times New Roman" w:cs="Times New Roman"/>
          <w:color w:val="auto"/>
          <w:sz w:val="24"/>
        </w:rPr>
        <w:t xml:space="preserve"> The unit</w:t>
      </w:r>
      <w:r>
        <w:rPr>
          <w:rFonts w:hint="eastAsia" w:ascii="Times New Roman" w:hAnsi="Times New Roman" w:cs="Times New Roman"/>
          <w:color w:val="auto"/>
          <w:sz w:val="24"/>
          <w:lang w:val="en-US" w:eastAsia="zh-CN"/>
        </w:rPr>
        <w:t>s</w:t>
      </w:r>
      <w:r>
        <w:rPr>
          <w:rFonts w:hint="eastAsia" w:ascii="Times New Roman" w:hAnsi="Times New Roman" w:cs="Times New Roman"/>
          <w:color w:val="auto"/>
          <w:sz w:val="24"/>
        </w:rPr>
        <w:t xml:space="preserve"> of cytokines </w:t>
      </w:r>
      <w:r>
        <w:rPr>
          <w:rFonts w:hint="eastAsia" w:ascii="Times New Roman" w:hAnsi="Times New Roman" w:cs="Times New Roman"/>
          <w:color w:val="auto"/>
          <w:sz w:val="24"/>
          <w:lang w:val="en-US" w:eastAsia="zh-CN"/>
        </w:rPr>
        <w:t>are</w:t>
      </w:r>
      <w:r>
        <w:rPr>
          <w:rFonts w:hint="eastAsia" w:ascii="Times New Roman" w:hAnsi="Times New Roman" w:cs="Times New Roman"/>
          <w:color w:val="auto"/>
          <w:sz w:val="24"/>
        </w:rPr>
        <w:t xml:space="preserve"> pg/ml</w:t>
      </w:r>
      <w:r>
        <w:rPr>
          <w:rFonts w:hint="eastAsia" w:ascii="Times New Roman" w:hAnsi="Times New Roman" w:cs="Times New Roman"/>
          <w:color w:val="auto"/>
          <w:sz w:val="24"/>
          <w:lang w:val="en-US" w:eastAsia="zh-CN"/>
        </w:rPr>
        <w:t xml:space="preserve">. </w:t>
      </w:r>
    </w:p>
    <w:p w14:paraId="323EA163">
      <w:pPr>
        <w:spacing w:line="360" w:lineRule="auto"/>
        <w:ind w:firstLine="480" w:firstLineChars="200"/>
        <w:rPr>
          <w:rFonts w:ascii="Times New Roman" w:hAnsi="Times New Roman" w:cs="Times New Roman"/>
          <w:color w:val="auto"/>
          <w:sz w:val="24"/>
          <w:szCs w:val="32"/>
        </w:rPr>
      </w:pPr>
      <w:r>
        <w:rPr>
          <w:rFonts w:hint="eastAsia" w:ascii="Times New Roman" w:hAnsi="Times New Roman" w:cs="Times New Roman"/>
          <w:color w:val="auto"/>
          <w:sz w:val="24"/>
        </w:rPr>
        <w:t xml:space="preserve">Throughout the treatment period, all four patients underwent behavioral interventions at various rehabilitation facilities. We assessed patients' scale scores and immune biomarkers before and after treatment.  </w:t>
      </w:r>
      <w:r>
        <w:rPr>
          <w:rFonts w:ascii="Times New Roman" w:hAnsi="Times New Roman" w:cs="Times New Roman"/>
          <w:color w:val="auto"/>
          <w:sz w:val="24"/>
        </w:rPr>
        <w:t xml:space="preserve">Following LdIL-2 treatment, improvements were noted in CARS, ABC, ATEC, and CABS scores for all patients (Table </w:t>
      </w:r>
      <w:r>
        <w:rPr>
          <w:rFonts w:hint="eastAsia" w:ascii="Times New Roman" w:hAnsi="Times New Roman" w:cs="Times New Roman"/>
          <w:color w:val="auto"/>
          <w:sz w:val="24"/>
        </w:rPr>
        <w:t>2</w:t>
      </w:r>
      <w:r>
        <w:rPr>
          <w:rFonts w:ascii="Times New Roman" w:hAnsi="Times New Roman" w:cs="Times New Roman"/>
          <w:color w:val="auto"/>
          <w:sz w:val="24"/>
        </w:rPr>
        <w:t xml:space="preserve">). </w:t>
      </w:r>
      <w:r>
        <w:rPr>
          <w:rFonts w:hint="eastAsia" w:ascii="Times New Roman" w:hAnsi="Times New Roman" w:cs="Times New Roman"/>
          <w:color w:val="auto"/>
          <w:sz w:val="24"/>
          <w:lang w:val="en-US" w:eastAsia="zh-CN"/>
        </w:rPr>
        <w:t xml:space="preserve">Patient 1 showed notable decreases in CARS, ABC, ATEC, and CABS scores. These reductions were maintained at the 3-month follow-up, although ABC and CABS scores showed some increase. At the end of the treatment course, caregivers' CGSQ scores and depression scores increased post-treatment, while anxiety levels decreased. At follow-up, both CGSQ scores and anxiety scores decreased compared to pre-treatment levels, but depression scores remained higher than pre-treatment levels. </w:t>
      </w:r>
      <w:r>
        <w:rPr>
          <w:rFonts w:hint="eastAsia" w:ascii="Times New Roman" w:hAnsi="Times New Roman" w:cs="Times New Roman"/>
          <w:color w:val="auto"/>
          <w:sz w:val="24"/>
          <w:szCs w:val="32"/>
        </w:rPr>
        <w:t xml:space="preserve">Patient 2 exhibited </w:t>
      </w:r>
      <w:r>
        <w:rPr>
          <w:rFonts w:hint="eastAsia" w:ascii="Times New Roman" w:hAnsi="Times New Roman" w:cs="Times New Roman"/>
          <w:color w:val="auto"/>
          <w:sz w:val="24"/>
          <w:szCs w:val="32"/>
          <w:lang w:eastAsia="zh-CN"/>
        </w:rPr>
        <w:t>substantial</w:t>
      </w:r>
      <w:r>
        <w:rPr>
          <w:rFonts w:hint="eastAsia" w:ascii="Times New Roman" w:hAnsi="Times New Roman" w:cs="Times New Roman"/>
          <w:color w:val="auto"/>
          <w:sz w:val="24"/>
          <w:szCs w:val="32"/>
        </w:rPr>
        <w:t xml:space="preserve"> decreases in CARS, ABC, ATEC, and CABS scores. Caregivers' CGSQ scores showed a </w:t>
      </w:r>
      <w:r>
        <w:rPr>
          <w:rFonts w:hint="eastAsia" w:ascii="Times New Roman" w:hAnsi="Times New Roman" w:cs="Times New Roman"/>
          <w:color w:val="auto"/>
          <w:sz w:val="24"/>
          <w:szCs w:val="32"/>
          <w:lang w:eastAsia="zh-CN"/>
        </w:rPr>
        <w:t>notable</w:t>
      </w:r>
      <w:r>
        <w:rPr>
          <w:rFonts w:hint="eastAsia" w:ascii="Times New Roman" w:hAnsi="Times New Roman" w:cs="Times New Roman"/>
          <w:color w:val="auto"/>
          <w:sz w:val="24"/>
          <w:szCs w:val="32"/>
        </w:rPr>
        <w:t xml:space="preserve"> increase, while depression and anxiety scores decreased. However, follow-up data were unavailable due to family relocation and caregiver commitments.</w:t>
      </w:r>
      <w:r>
        <w:rPr>
          <w:rFonts w:hint="eastAsia" w:ascii="Times New Roman" w:hAnsi="Times New Roman" w:cs="Times New Roman"/>
          <w:color w:val="auto"/>
          <w:sz w:val="24"/>
          <w:szCs w:val="32"/>
          <w:lang w:val="en-US" w:eastAsia="zh-CN"/>
        </w:rPr>
        <w:t xml:space="preserve"> </w:t>
      </w:r>
      <w:r>
        <w:rPr>
          <w:rFonts w:hint="eastAsia" w:ascii="Times New Roman" w:hAnsi="Times New Roman" w:cs="Times New Roman"/>
          <w:color w:val="auto"/>
          <w:sz w:val="24"/>
          <w:szCs w:val="32"/>
        </w:rPr>
        <w:t xml:space="preserve">Patient 3 demonstrated </w:t>
      </w:r>
      <w:r>
        <w:rPr>
          <w:rFonts w:hint="eastAsia" w:ascii="Times New Roman" w:hAnsi="Times New Roman" w:cs="Times New Roman"/>
          <w:color w:val="auto"/>
          <w:sz w:val="24"/>
          <w:szCs w:val="32"/>
          <w:lang w:eastAsia="zh-CN"/>
        </w:rPr>
        <w:t>substantial</w:t>
      </w:r>
      <w:r>
        <w:rPr>
          <w:rFonts w:hint="eastAsia" w:ascii="Times New Roman" w:hAnsi="Times New Roman" w:cs="Times New Roman"/>
          <w:color w:val="auto"/>
          <w:sz w:val="24"/>
          <w:szCs w:val="32"/>
        </w:rPr>
        <w:t xml:space="preserve"> decreases in CARS, ABC, ATEC, and CABS scores, with caregivers showing decreased CGSQ and HADS scores. At follow-up, the therapeutic effects of ldIL-2 for Patient 3 persisted. However, while caregivers' HADS anxiety scores decreased, their depression scores increased.</w:t>
      </w:r>
      <w:r>
        <w:rPr>
          <w:rFonts w:hint="eastAsia" w:ascii="Times New Roman" w:hAnsi="Times New Roman" w:cs="Times New Roman"/>
          <w:color w:val="auto"/>
          <w:sz w:val="24"/>
          <w:szCs w:val="32"/>
          <w:lang w:val="en-US" w:eastAsia="zh-CN"/>
        </w:rPr>
        <w:t xml:space="preserve"> </w:t>
      </w:r>
      <w:r>
        <w:rPr>
          <w:rFonts w:hint="eastAsia" w:ascii="Times New Roman" w:hAnsi="Times New Roman" w:cs="Times New Roman"/>
          <w:color w:val="auto"/>
          <w:sz w:val="24"/>
          <w:szCs w:val="32"/>
        </w:rPr>
        <w:t xml:space="preserve">Patient 4 also experienced </w:t>
      </w:r>
      <w:r>
        <w:rPr>
          <w:rFonts w:hint="eastAsia" w:ascii="Times New Roman" w:hAnsi="Times New Roman" w:cs="Times New Roman"/>
          <w:color w:val="auto"/>
          <w:sz w:val="24"/>
          <w:szCs w:val="32"/>
          <w:lang w:eastAsia="zh-CN"/>
        </w:rPr>
        <w:t>marked</w:t>
      </w:r>
      <w:r>
        <w:rPr>
          <w:rFonts w:hint="eastAsia" w:ascii="Times New Roman" w:hAnsi="Times New Roman" w:cs="Times New Roman"/>
          <w:color w:val="auto"/>
          <w:sz w:val="24"/>
          <w:szCs w:val="32"/>
        </w:rPr>
        <w:t xml:space="preserve"> decreases in CARS, ABC, ATEC, and CABS scores, with caregivers initially showing decreased CGSQ and HADS scores. However, caregivers' CGSQ </w:t>
      </w:r>
      <w:r>
        <w:rPr>
          <w:rFonts w:hint="eastAsia" w:ascii="Times New Roman" w:hAnsi="Times New Roman" w:cs="Times New Roman"/>
          <w:color w:val="auto"/>
          <w:sz w:val="24"/>
          <w:szCs w:val="32"/>
          <w:lang w:eastAsia="zh-CN"/>
        </w:rPr>
        <w:t>a</w:t>
      </w:r>
      <w:r>
        <w:rPr>
          <w:rFonts w:hint="eastAsia" w:ascii="Times New Roman" w:hAnsi="Times New Roman" w:cs="Times New Roman"/>
          <w:color w:val="auto"/>
          <w:sz w:val="24"/>
          <w:szCs w:val="32"/>
          <w:lang w:val="en-US" w:eastAsia="zh-CN"/>
        </w:rPr>
        <w:t xml:space="preserve">nd deression </w:t>
      </w:r>
      <w:r>
        <w:rPr>
          <w:rFonts w:hint="eastAsia" w:ascii="Times New Roman" w:hAnsi="Times New Roman" w:cs="Times New Roman"/>
          <w:color w:val="auto"/>
          <w:sz w:val="24"/>
          <w:szCs w:val="32"/>
        </w:rPr>
        <w:t>scores</w:t>
      </w:r>
      <w:r>
        <w:rPr>
          <w:rFonts w:hint="eastAsia" w:ascii="Times New Roman" w:hAnsi="Times New Roman" w:cs="Times New Roman"/>
          <w:color w:val="auto"/>
          <w:sz w:val="24"/>
          <w:szCs w:val="32"/>
          <w:lang w:val="en-US" w:eastAsia="zh-CN"/>
        </w:rPr>
        <w:t xml:space="preserve"> </w:t>
      </w:r>
      <w:r>
        <w:rPr>
          <w:rFonts w:hint="eastAsia" w:ascii="Times New Roman" w:hAnsi="Times New Roman" w:cs="Times New Roman"/>
          <w:color w:val="auto"/>
          <w:sz w:val="24"/>
          <w:szCs w:val="32"/>
        </w:rPr>
        <w:t xml:space="preserve">rose during the follow-up period. In short, caregivers reported a decrease in anxiety scores, although improvements in depression were not </w:t>
      </w:r>
      <w:r>
        <w:rPr>
          <w:rFonts w:hint="eastAsia" w:ascii="Times New Roman" w:hAnsi="Times New Roman" w:cs="Times New Roman"/>
          <w:color w:val="auto"/>
          <w:sz w:val="24"/>
          <w:szCs w:val="32"/>
          <w:lang w:eastAsia="zh-CN"/>
        </w:rPr>
        <w:t>substantial</w:t>
      </w:r>
      <w:r>
        <w:rPr>
          <w:rFonts w:hint="eastAsia" w:ascii="Times New Roman" w:hAnsi="Times New Roman" w:cs="Times New Roman"/>
          <w:color w:val="auto"/>
          <w:sz w:val="24"/>
          <w:szCs w:val="32"/>
        </w:rPr>
        <w:t xml:space="preserve">. </w:t>
      </w:r>
      <w:r>
        <w:rPr>
          <w:rFonts w:ascii="Times New Roman" w:hAnsi="Times New Roman" w:cs="Times New Roman"/>
          <w:color w:val="auto"/>
          <w:sz w:val="24"/>
          <w:szCs w:val="32"/>
        </w:rPr>
        <w:t>Radar charts (Fig</w:t>
      </w:r>
      <w:r>
        <w:rPr>
          <w:rFonts w:hint="eastAsia" w:ascii="Times New Roman" w:hAnsi="Times New Roman" w:cs="Times New Roman"/>
          <w:color w:val="auto"/>
          <w:sz w:val="24"/>
          <w:szCs w:val="32"/>
        </w:rPr>
        <w:t>.</w:t>
      </w:r>
      <w:r>
        <w:rPr>
          <w:rFonts w:ascii="Times New Roman" w:hAnsi="Times New Roman" w:cs="Times New Roman"/>
          <w:color w:val="auto"/>
          <w:sz w:val="24"/>
          <w:szCs w:val="32"/>
        </w:rPr>
        <w:t xml:space="preserve"> 1 and 2) depicted changes in CARS and ATEC scores pre- and post-treatment. </w:t>
      </w:r>
      <w:r>
        <w:rPr>
          <w:rFonts w:hint="eastAsia" w:ascii="Times New Roman" w:hAnsi="Times New Roman" w:cs="Times New Roman"/>
          <w:color w:val="auto"/>
          <w:sz w:val="24"/>
          <w:szCs w:val="32"/>
        </w:rPr>
        <w:t>During treatment, Patients 1 and 2 experienced brief hospitalizations due to fever and cold symptoms lasting over a week. Caregivers reported improved sleep quality, stabilized mood, and reduced hyperactivity in Patients 1, 2, and 3 post-treatment. Patient 2's caregivers noted enhanced adherence to traffic rules and improved danger perception following treatment with Ld IL-2.</w:t>
      </w:r>
    </w:p>
    <w:p w14:paraId="63F0DDEC">
      <w:pPr>
        <w:spacing w:line="360" w:lineRule="auto"/>
        <w:ind w:firstLine="480" w:firstLineChars="200"/>
        <w:rPr>
          <w:rFonts w:hint="eastAsia" w:ascii="Times New Roman" w:hAnsi="Times New Roman" w:cs="Times New Roman" w:eastAsiaTheme="minorEastAsia"/>
          <w:color w:val="auto"/>
          <w:sz w:val="24"/>
          <w:szCs w:val="32"/>
          <w:lang w:val="en-US" w:eastAsia="zh-CN"/>
        </w:rPr>
      </w:pPr>
      <w:r>
        <w:rPr>
          <w:rFonts w:hint="eastAsia" w:ascii="Times New Roman" w:hAnsi="Times New Roman" w:cs="Times New Roman"/>
          <w:color w:val="auto"/>
          <w:sz w:val="24"/>
          <w:szCs w:val="32"/>
        </w:rPr>
        <w:t>For comparison, Table 3 includes the immunization results for a healthy child [21] from a previous study.</w:t>
      </w:r>
      <w:r>
        <w:rPr>
          <w:rFonts w:hint="eastAsia" w:ascii="Times New Roman" w:hAnsi="Times New Roman" w:cs="Times New Roman"/>
          <w:color w:val="auto"/>
          <w:sz w:val="24"/>
          <w:szCs w:val="32"/>
          <w:lang w:val="en-US" w:eastAsia="zh-CN"/>
        </w:rPr>
        <w:t xml:space="preserve"> </w:t>
      </w:r>
      <w:r>
        <w:rPr>
          <w:rFonts w:ascii="Times New Roman" w:hAnsi="Times New Roman" w:cs="Times New Roman"/>
          <w:color w:val="auto"/>
          <w:sz w:val="24"/>
          <w:szCs w:val="32"/>
        </w:rPr>
        <w:t xml:space="preserve">Immune response patterns varied among patient post-treatment. Patient 1 exhibited reduced Treg cells and an increased Th1/Th2 ratio, whereas Patients 2, 3, and 4 showed elevated Treg cell counts and a decreased Th1/Th2 ratio. Patient 3 additionally demonstrated an increased Th2/Treg ratio. </w:t>
      </w:r>
      <w:r>
        <w:rPr>
          <w:rFonts w:hint="eastAsia" w:ascii="Times New Roman" w:hAnsi="Times New Roman" w:cs="Times New Roman"/>
          <w:color w:val="auto"/>
          <w:sz w:val="24"/>
          <w:szCs w:val="32"/>
        </w:rPr>
        <w:t>Tc1 cells and the Tc1/Treg ratio were significantly reduced in all patients, while IL-12P70 levels showed a mild reduction (Table 3).</w:t>
      </w:r>
      <w:r>
        <w:rPr>
          <w:rFonts w:hint="eastAsia" w:ascii="Times New Roman" w:hAnsi="Times New Roman" w:cs="Times New Roman"/>
          <w:color w:val="auto"/>
          <w:sz w:val="24"/>
          <w:szCs w:val="32"/>
          <w:lang w:val="en-US" w:eastAsia="zh-CN"/>
        </w:rPr>
        <w:t xml:space="preserve"> Due to the small cohort size, statistical correlation analyses between immune markers and behavioral scores were not performed. Observed trends (e.g., Treg increase with ATEC reduction) are descriptive and require validation in larger trials.</w:t>
      </w:r>
    </w:p>
    <w:bookmarkEnd w:id="1"/>
    <w:bookmarkEnd w:id="2"/>
    <w:p w14:paraId="2FE81EE6">
      <w:pPr>
        <w:spacing w:line="240" w:lineRule="auto"/>
        <w:jc w:val="left"/>
        <w:rPr>
          <w:rFonts w:ascii="Times New Roman" w:hAnsi="Times New Roman" w:cs="Times New Roman"/>
          <w:color w:val="auto"/>
          <w:sz w:val="24"/>
          <w:szCs w:val="32"/>
        </w:rPr>
      </w:pPr>
      <w:r>
        <w:rPr>
          <w:rFonts w:ascii="Times New Roman" w:hAnsi="Times New Roman" w:cs="Times New Roman"/>
          <w:color w:val="auto"/>
          <w:sz w:val="24"/>
          <w:szCs w:val="32"/>
        </w:rPr>
        <w:br w:type="page"/>
      </w:r>
    </w:p>
    <w:p w14:paraId="52A78B89">
      <w:pPr>
        <w:spacing w:line="360" w:lineRule="auto"/>
        <w:jc w:val="center"/>
        <w:rPr>
          <w:rFonts w:ascii="Times New Roman" w:hAnsi="Times New Roman" w:cs="Times New Roman"/>
          <w:color w:val="auto"/>
          <w:sz w:val="24"/>
          <w:szCs w:val="32"/>
        </w:rPr>
      </w:pPr>
      <w:r>
        <w:rPr>
          <w:rFonts w:ascii="Times New Roman" w:hAnsi="Times New Roman" w:cs="Times New Roman"/>
          <w:color w:val="auto"/>
          <w:sz w:val="24"/>
          <w:szCs w:val="32"/>
        </w:rPr>
        <w:t xml:space="preserve">Table </w:t>
      </w:r>
      <w:r>
        <w:rPr>
          <w:rFonts w:hint="eastAsia" w:ascii="Times New Roman" w:hAnsi="Times New Roman" w:cs="Times New Roman"/>
          <w:color w:val="auto"/>
          <w:sz w:val="24"/>
          <w:szCs w:val="32"/>
        </w:rPr>
        <w:t>2</w:t>
      </w:r>
      <w:r>
        <w:rPr>
          <w:rFonts w:ascii="Times New Roman" w:hAnsi="Times New Roman" w:cs="Times New Roman"/>
          <w:color w:val="auto"/>
          <w:sz w:val="24"/>
          <w:szCs w:val="32"/>
        </w:rPr>
        <w:t xml:space="preserve"> Scores on scales related to the situation of ASD patients and caregivers</w:t>
      </w:r>
    </w:p>
    <w:tbl>
      <w:tblPr>
        <w:tblStyle w:val="10"/>
        <w:tblW w:w="8140" w:type="dxa"/>
        <w:jc w:val="center"/>
        <w:tblBorders>
          <w:top w:val="none" w:color="auto" w:sz="4" w:space="0"/>
          <w:left w:val="none" w:color="auto" w:sz="4" w:space="0"/>
          <w:bottom w:val="single" w:color="auto" w:sz="12" w:space="0"/>
          <w:right w:val="none" w:color="auto" w:sz="4" w:space="0"/>
          <w:insideH w:val="none" w:color="auto" w:sz="4" w:space="0"/>
          <w:insideV w:val="none" w:color="auto" w:sz="4" w:space="0"/>
        </w:tblBorders>
        <w:tblLayout w:type="fixed"/>
        <w:tblCellMar>
          <w:top w:w="0" w:type="dxa"/>
          <w:left w:w="108" w:type="dxa"/>
          <w:bottom w:w="0" w:type="dxa"/>
          <w:right w:w="108" w:type="dxa"/>
        </w:tblCellMar>
      </w:tblPr>
      <w:tblGrid>
        <w:gridCol w:w="833"/>
        <w:gridCol w:w="1174"/>
        <w:gridCol w:w="1022"/>
        <w:gridCol w:w="1022"/>
        <w:gridCol w:w="1022"/>
        <w:gridCol w:w="1022"/>
        <w:gridCol w:w="1022"/>
        <w:gridCol w:w="1023"/>
      </w:tblGrid>
      <w:tr w14:paraId="2878E9F9">
        <w:tblPrEx>
          <w:tblBorders>
            <w:top w:val="none" w:color="auto" w:sz="4" w:space="0"/>
            <w:left w:val="none" w:color="auto" w:sz="4" w:space="0"/>
            <w:bottom w:val="single" w:color="auto" w:sz="12"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364" w:hRule="atLeast"/>
          <w:jc w:val="center"/>
        </w:trPr>
        <w:tc>
          <w:tcPr>
            <w:tcW w:w="833" w:type="dxa"/>
            <w:tcBorders>
              <w:top w:val="single" w:color="auto" w:sz="12" w:space="0"/>
              <w:left w:val="nil"/>
              <w:bottom w:val="single" w:color="auto" w:sz="8" w:space="0"/>
              <w:right w:val="nil"/>
            </w:tcBorders>
            <w:shd w:val="clear" w:color="auto" w:fill="auto"/>
            <w:noWrap/>
            <w:vAlign w:val="center"/>
          </w:tcPr>
          <w:p w14:paraId="148C6586">
            <w:pPr>
              <w:widowControl/>
              <w:jc w:val="center"/>
              <w:textAlignment w:val="center"/>
              <w:rPr>
                <w:rFonts w:ascii="Times New Roman" w:hAnsi="Times New Roman" w:eastAsia="宋体" w:cs="Times New Roman"/>
                <w:color w:val="auto"/>
                <w:sz w:val="22"/>
                <w:szCs w:val="22"/>
              </w:rPr>
            </w:pPr>
          </w:p>
        </w:tc>
        <w:tc>
          <w:tcPr>
            <w:tcW w:w="1174" w:type="dxa"/>
            <w:tcBorders>
              <w:top w:val="single" w:color="auto" w:sz="12" w:space="0"/>
              <w:left w:val="nil"/>
              <w:bottom w:val="single" w:color="auto" w:sz="8" w:space="0"/>
              <w:right w:val="nil"/>
            </w:tcBorders>
            <w:shd w:val="clear" w:color="auto" w:fill="auto"/>
            <w:noWrap/>
            <w:vAlign w:val="center"/>
          </w:tcPr>
          <w:p w14:paraId="691F8837">
            <w:pPr>
              <w:widowControl/>
              <w:jc w:val="center"/>
              <w:textAlignment w:val="center"/>
              <w:rPr>
                <w:rFonts w:ascii="Times New Roman" w:hAnsi="Times New Roman" w:eastAsia="宋体" w:cs="Times New Roman"/>
                <w:color w:val="auto"/>
                <w:sz w:val="22"/>
                <w:szCs w:val="22"/>
              </w:rPr>
            </w:pPr>
          </w:p>
        </w:tc>
        <w:tc>
          <w:tcPr>
            <w:tcW w:w="1022" w:type="dxa"/>
            <w:tcBorders>
              <w:top w:val="single" w:color="auto" w:sz="12" w:space="0"/>
              <w:left w:val="nil"/>
              <w:bottom w:val="single" w:color="auto" w:sz="8" w:space="0"/>
              <w:right w:val="nil"/>
            </w:tcBorders>
            <w:shd w:val="clear" w:color="auto" w:fill="auto"/>
            <w:vAlign w:val="center"/>
          </w:tcPr>
          <w:p w14:paraId="79B98B35">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CARS</w:t>
            </w:r>
          </w:p>
        </w:tc>
        <w:tc>
          <w:tcPr>
            <w:tcW w:w="1022" w:type="dxa"/>
            <w:tcBorders>
              <w:top w:val="single" w:color="auto" w:sz="12" w:space="0"/>
              <w:left w:val="nil"/>
              <w:bottom w:val="single" w:color="auto" w:sz="8" w:space="0"/>
              <w:right w:val="nil"/>
            </w:tcBorders>
            <w:shd w:val="clear" w:color="auto" w:fill="auto"/>
            <w:vAlign w:val="center"/>
          </w:tcPr>
          <w:p w14:paraId="5E1E594D">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ABC</w:t>
            </w:r>
          </w:p>
        </w:tc>
        <w:tc>
          <w:tcPr>
            <w:tcW w:w="1022" w:type="dxa"/>
            <w:tcBorders>
              <w:top w:val="single" w:color="auto" w:sz="12" w:space="0"/>
              <w:left w:val="nil"/>
              <w:bottom w:val="single" w:color="auto" w:sz="8" w:space="0"/>
              <w:right w:val="nil"/>
            </w:tcBorders>
            <w:shd w:val="clear" w:color="auto" w:fill="auto"/>
            <w:vAlign w:val="center"/>
          </w:tcPr>
          <w:p w14:paraId="4D54D249">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ATEC</w:t>
            </w:r>
          </w:p>
        </w:tc>
        <w:tc>
          <w:tcPr>
            <w:tcW w:w="1022" w:type="dxa"/>
            <w:tcBorders>
              <w:top w:val="single" w:color="auto" w:sz="12" w:space="0"/>
              <w:left w:val="nil"/>
              <w:bottom w:val="single" w:color="auto" w:sz="8" w:space="0"/>
              <w:right w:val="nil"/>
            </w:tcBorders>
            <w:shd w:val="clear" w:color="auto" w:fill="auto"/>
            <w:vAlign w:val="center"/>
          </w:tcPr>
          <w:p w14:paraId="4A142943">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CABS</w:t>
            </w:r>
          </w:p>
        </w:tc>
        <w:tc>
          <w:tcPr>
            <w:tcW w:w="1022" w:type="dxa"/>
            <w:tcBorders>
              <w:top w:val="single" w:color="auto" w:sz="12" w:space="0"/>
              <w:left w:val="nil"/>
              <w:bottom w:val="single" w:color="auto" w:sz="8" w:space="0"/>
              <w:right w:val="nil"/>
            </w:tcBorders>
            <w:shd w:val="clear" w:color="auto" w:fill="auto"/>
            <w:vAlign w:val="center"/>
          </w:tcPr>
          <w:p w14:paraId="027FDB04">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CGSQ</w:t>
            </w:r>
          </w:p>
        </w:tc>
        <w:tc>
          <w:tcPr>
            <w:tcW w:w="1023" w:type="dxa"/>
            <w:tcBorders>
              <w:top w:val="single" w:color="auto" w:sz="12" w:space="0"/>
              <w:left w:val="nil"/>
              <w:bottom w:val="single" w:color="auto" w:sz="8" w:space="0"/>
              <w:right w:val="nil"/>
            </w:tcBorders>
            <w:shd w:val="clear" w:color="auto" w:fill="auto"/>
            <w:vAlign w:val="center"/>
          </w:tcPr>
          <w:p w14:paraId="7E01DC9A">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HADS*</w:t>
            </w:r>
          </w:p>
        </w:tc>
      </w:tr>
      <w:tr w14:paraId="2BF0CD2F">
        <w:tblPrEx>
          <w:tblBorders>
            <w:top w:val="none" w:color="auto" w:sz="4" w:space="0"/>
            <w:left w:val="none" w:color="auto" w:sz="4" w:space="0"/>
            <w:bottom w:val="single" w:color="auto" w:sz="12"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60" w:hRule="atLeast"/>
          <w:jc w:val="center"/>
        </w:trPr>
        <w:tc>
          <w:tcPr>
            <w:tcW w:w="833" w:type="dxa"/>
            <w:vMerge w:val="restart"/>
            <w:tcBorders>
              <w:top w:val="nil"/>
              <w:left w:val="nil"/>
              <w:bottom w:val="nil"/>
              <w:right w:val="nil"/>
            </w:tcBorders>
            <w:shd w:val="clear" w:color="auto" w:fill="auto"/>
            <w:vAlign w:val="center"/>
          </w:tcPr>
          <w:p w14:paraId="41B4C0C3">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Patient1</w:t>
            </w:r>
          </w:p>
        </w:tc>
        <w:tc>
          <w:tcPr>
            <w:tcW w:w="1174" w:type="dxa"/>
            <w:tcBorders>
              <w:top w:val="nil"/>
              <w:left w:val="nil"/>
              <w:bottom w:val="nil"/>
              <w:right w:val="nil"/>
            </w:tcBorders>
            <w:shd w:val="clear" w:color="auto" w:fill="auto"/>
            <w:vAlign w:val="center"/>
          </w:tcPr>
          <w:p w14:paraId="4E53C15F">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Before treatment</w:t>
            </w:r>
          </w:p>
        </w:tc>
        <w:tc>
          <w:tcPr>
            <w:tcW w:w="1022" w:type="dxa"/>
            <w:tcBorders>
              <w:top w:val="nil"/>
              <w:left w:val="nil"/>
              <w:bottom w:val="nil"/>
              <w:right w:val="nil"/>
            </w:tcBorders>
            <w:shd w:val="clear" w:color="auto" w:fill="auto"/>
            <w:vAlign w:val="center"/>
          </w:tcPr>
          <w:p w14:paraId="7E2E2CC1">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53</w:t>
            </w:r>
          </w:p>
        </w:tc>
        <w:tc>
          <w:tcPr>
            <w:tcW w:w="1022" w:type="dxa"/>
            <w:tcBorders>
              <w:top w:val="nil"/>
              <w:left w:val="nil"/>
              <w:bottom w:val="nil"/>
              <w:right w:val="nil"/>
            </w:tcBorders>
            <w:shd w:val="clear" w:color="auto" w:fill="auto"/>
            <w:vAlign w:val="center"/>
          </w:tcPr>
          <w:p w14:paraId="4C77E0BF">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79</w:t>
            </w:r>
          </w:p>
        </w:tc>
        <w:tc>
          <w:tcPr>
            <w:tcW w:w="1022" w:type="dxa"/>
            <w:tcBorders>
              <w:top w:val="nil"/>
              <w:left w:val="nil"/>
              <w:bottom w:val="nil"/>
              <w:right w:val="nil"/>
            </w:tcBorders>
            <w:shd w:val="clear" w:color="auto" w:fill="auto"/>
            <w:vAlign w:val="center"/>
          </w:tcPr>
          <w:p w14:paraId="2DF5EA50">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118</w:t>
            </w:r>
          </w:p>
        </w:tc>
        <w:tc>
          <w:tcPr>
            <w:tcW w:w="1022" w:type="dxa"/>
            <w:tcBorders>
              <w:top w:val="nil"/>
              <w:left w:val="nil"/>
              <w:bottom w:val="nil"/>
              <w:right w:val="nil"/>
            </w:tcBorders>
            <w:shd w:val="clear" w:color="auto" w:fill="auto"/>
            <w:vAlign w:val="center"/>
          </w:tcPr>
          <w:p w14:paraId="4E2ABA41">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25</w:t>
            </w:r>
          </w:p>
        </w:tc>
        <w:tc>
          <w:tcPr>
            <w:tcW w:w="1022" w:type="dxa"/>
            <w:tcBorders>
              <w:top w:val="nil"/>
              <w:left w:val="nil"/>
              <w:bottom w:val="nil"/>
              <w:right w:val="nil"/>
            </w:tcBorders>
            <w:shd w:val="clear" w:color="auto" w:fill="auto"/>
            <w:vAlign w:val="center"/>
          </w:tcPr>
          <w:p w14:paraId="58383C7C">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52</w:t>
            </w:r>
          </w:p>
        </w:tc>
        <w:tc>
          <w:tcPr>
            <w:tcW w:w="1023" w:type="dxa"/>
            <w:tcBorders>
              <w:top w:val="nil"/>
              <w:left w:val="nil"/>
              <w:bottom w:val="nil"/>
              <w:right w:val="nil"/>
            </w:tcBorders>
            <w:shd w:val="clear" w:color="auto" w:fill="auto"/>
            <w:vAlign w:val="center"/>
          </w:tcPr>
          <w:p w14:paraId="007537F8">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6/0</w:t>
            </w:r>
          </w:p>
        </w:tc>
      </w:tr>
      <w:tr w14:paraId="1603EB7B">
        <w:tblPrEx>
          <w:tblBorders>
            <w:top w:val="none" w:color="auto" w:sz="4" w:space="0"/>
            <w:left w:val="none" w:color="auto" w:sz="4" w:space="0"/>
            <w:bottom w:val="single" w:color="auto" w:sz="12"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60" w:hRule="atLeast"/>
          <w:jc w:val="center"/>
        </w:trPr>
        <w:tc>
          <w:tcPr>
            <w:tcW w:w="833" w:type="dxa"/>
            <w:vMerge w:val="continue"/>
            <w:tcBorders>
              <w:top w:val="nil"/>
              <w:left w:val="nil"/>
              <w:bottom w:val="nil"/>
              <w:right w:val="nil"/>
            </w:tcBorders>
            <w:shd w:val="clear" w:color="auto" w:fill="auto"/>
            <w:vAlign w:val="center"/>
          </w:tcPr>
          <w:p w14:paraId="4FFC3E5E">
            <w:pPr>
              <w:jc w:val="center"/>
              <w:rPr>
                <w:rFonts w:ascii="Times New Roman" w:hAnsi="Times New Roman" w:eastAsia="宋体" w:cs="Times New Roman"/>
                <w:color w:val="auto"/>
                <w:sz w:val="22"/>
                <w:szCs w:val="22"/>
              </w:rPr>
            </w:pPr>
          </w:p>
        </w:tc>
        <w:tc>
          <w:tcPr>
            <w:tcW w:w="1174" w:type="dxa"/>
            <w:tcBorders>
              <w:top w:val="nil"/>
              <w:left w:val="nil"/>
              <w:bottom w:val="nil"/>
              <w:right w:val="nil"/>
            </w:tcBorders>
            <w:shd w:val="clear" w:color="auto" w:fill="auto"/>
            <w:vAlign w:val="center"/>
          </w:tcPr>
          <w:p w14:paraId="1AF18DA1">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After treatment</w:t>
            </w:r>
          </w:p>
        </w:tc>
        <w:tc>
          <w:tcPr>
            <w:tcW w:w="1022" w:type="dxa"/>
            <w:tcBorders>
              <w:top w:val="nil"/>
              <w:left w:val="nil"/>
              <w:bottom w:val="nil"/>
              <w:right w:val="nil"/>
            </w:tcBorders>
            <w:shd w:val="clear" w:color="auto" w:fill="auto"/>
            <w:vAlign w:val="center"/>
          </w:tcPr>
          <w:p w14:paraId="3FD323D1">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44</w:t>
            </w:r>
          </w:p>
        </w:tc>
        <w:tc>
          <w:tcPr>
            <w:tcW w:w="1022" w:type="dxa"/>
            <w:tcBorders>
              <w:top w:val="nil"/>
              <w:left w:val="nil"/>
              <w:bottom w:val="nil"/>
              <w:right w:val="nil"/>
            </w:tcBorders>
            <w:shd w:val="clear" w:color="auto" w:fill="auto"/>
            <w:vAlign w:val="center"/>
          </w:tcPr>
          <w:p w14:paraId="2211E9F6">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47</w:t>
            </w:r>
          </w:p>
        </w:tc>
        <w:tc>
          <w:tcPr>
            <w:tcW w:w="1022" w:type="dxa"/>
            <w:tcBorders>
              <w:top w:val="nil"/>
              <w:left w:val="nil"/>
              <w:bottom w:val="nil"/>
              <w:right w:val="nil"/>
            </w:tcBorders>
            <w:shd w:val="clear" w:color="auto" w:fill="auto"/>
            <w:vAlign w:val="center"/>
          </w:tcPr>
          <w:p w14:paraId="24493E76">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106</w:t>
            </w:r>
          </w:p>
        </w:tc>
        <w:tc>
          <w:tcPr>
            <w:tcW w:w="1022" w:type="dxa"/>
            <w:tcBorders>
              <w:top w:val="nil"/>
              <w:left w:val="nil"/>
              <w:bottom w:val="nil"/>
              <w:right w:val="nil"/>
            </w:tcBorders>
            <w:shd w:val="clear" w:color="auto" w:fill="auto"/>
            <w:vAlign w:val="center"/>
          </w:tcPr>
          <w:p w14:paraId="28EE0245">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11</w:t>
            </w:r>
          </w:p>
        </w:tc>
        <w:tc>
          <w:tcPr>
            <w:tcW w:w="1022" w:type="dxa"/>
            <w:tcBorders>
              <w:top w:val="nil"/>
              <w:left w:val="nil"/>
              <w:bottom w:val="nil"/>
              <w:right w:val="nil"/>
            </w:tcBorders>
            <w:shd w:val="clear" w:color="auto" w:fill="auto"/>
            <w:vAlign w:val="center"/>
          </w:tcPr>
          <w:p w14:paraId="4DD9DCE5">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62</w:t>
            </w:r>
          </w:p>
        </w:tc>
        <w:tc>
          <w:tcPr>
            <w:tcW w:w="1023" w:type="dxa"/>
            <w:tcBorders>
              <w:top w:val="nil"/>
              <w:left w:val="nil"/>
              <w:bottom w:val="nil"/>
              <w:right w:val="nil"/>
            </w:tcBorders>
            <w:shd w:val="clear" w:color="auto" w:fill="auto"/>
            <w:vAlign w:val="center"/>
          </w:tcPr>
          <w:p w14:paraId="39FC1023">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4/4</w:t>
            </w:r>
          </w:p>
        </w:tc>
      </w:tr>
      <w:tr w14:paraId="3D31588E">
        <w:tblPrEx>
          <w:tblBorders>
            <w:top w:val="none" w:color="auto" w:sz="4" w:space="0"/>
            <w:left w:val="none" w:color="auto" w:sz="4" w:space="0"/>
            <w:bottom w:val="single" w:color="auto" w:sz="12"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280" w:hRule="atLeast"/>
          <w:jc w:val="center"/>
        </w:trPr>
        <w:tc>
          <w:tcPr>
            <w:tcW w:w="833" w:type="dxa"/>
            <w:vMerge w:val="continue"/>
            <w:tcBorders>
              <w:top w:val="nil"/>
              <w:left w:val="nil"/>
              <w:bottom w:val="nil"/>
              <w:right w:val="nil"/>
            </w:tcBorders>
            <w:shd w:val="clear" w:color="auto" w:fill="auto"/>
            <w:vAlign w:val="center"/>
          </w:tcPr>
          <w:p w14:paraId="2F6D7C37">
            <w:pPr>
              <w:jc w:val="center"/>
              <w:rPr>
                <w:rFonts w:ascii="Times New Roman" w:hAnsi="Times New Roman" w:eastAsia="宋体" w:cs="Times New Roman"/>
                <w:color w:val="auto"/>
                <w:sz w:val="22"/>
                <w:szCs w:val="22"/>
              </w:rPr>
            </w:pPr>
          </w:p>
        </w:tc>
        <w:tc>
          <w:tcPr>
            <w:tcW w:w="1174" w:type="dxa"/>
            <w:tcBorders>
              <w:top w:val="nil"/>
              <w:left w:val="nil"/>
              <w:bottom w:val="nil"/>
              <w:right w:val="nil"/>
            </w:tcBorders>
            <w:shd w:val="clear" w:color="auto" w:fill="auto"/>
            <w:vAlign w:val="center"/>
          </w:tcPr>
          <w:p w14:paraId="16431C1B">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Follow up</w:t>
            </w:r>
          </w:p>
        </w:tc>
        <w:tc>
          <w:tcPr>
            <w:tcW w:w="1022" w:type="dxa"/>
            <w:tcBorders>
              <w:top w:val="nil"/>
              <w:left w:val="nil"/>
              <w:bottom w:val="nil"/>
              <w:right w:val="nil"/>
            </w:tcBorders>
            <w:shd w:val="clear" w:color="auto" w:fill="auto"/>
            <w:vAlign w:val="center"/>
          </w:tcPr>
          <w:p w14:paraId="2799EE49">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36</w:t>
            </w:r>
          </w:p>
        </w:tc>
        <w:tc>
          <w:tcPr>
            <w:tcW w:w="1022" w:type="dxa"/>
            <w:tcBorders>
              <w:top w:val="nil"/>
              <w:left w:val="nil"/>
              <w:bottom w:val="nil"/>
              <w:right w:val="nil"/>
            </w:tcBorders>
            <w:shd w:val="clear" w:color="auto" w:fill="auto"/>
            <w:vAlign w:val="center"/>
          </w:tcPr>
          <w:p w14:paraId="57571C04">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53</w:t>
            </w:r>
          </w:p>
        </w:tc>
        <w:tc>
          <w:tcPr>
            <w:tcW w:w="1022" w:type="dxa"/>
            <w:tcBorders>
              <w:top w:val="nil"/>
              <w:left w:val="nil"/>
              <w:bottom w:val="nil"/>
              <w:right w:val="nil"/>
            </w:tcBorders>
            <w:shd w:val="clear" w:color="auto" w:fill="auto"/>
            <w:vAlign w:val="center"/>
          </w:tcPr>
          <w:p w14:paraId="43DAB9D1">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49</w:t>
            </w:r>
          </w:p>
        </w:tc>
        <w:tc>
          <w:tcPr>
            <w:tcW w:w="1022" w:type="dxa"/>
            <w:tcBorders>
              <w:top w:val="nil"/>
              <w:left w:val="nil"/>
              <w:bottom w:val="nil"/>
              <w:right w:val="nil"/>
            </w:tcBorders>
            <w:shd w:val="clear" w:color="auto" w:fill="auto"/>
            <w:vAlign w:val="center"/>
          </w:tcPr>
          <w:p w14:paraId="39176423">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12</w:t>
            </w:r>
          </w:p>
        </w:tc>
        <w:tc>
          <w:tcPr>
            <w:tcW w:w="1022" w:type="dxa"/>
            <w:tcBorders>
              <w:top w:val="nil"/>
              <w:left w:val="nil"/>
              <w:bottom w:val="nil"/>
              <w:right w:val="nil"/>
            </w:tcBorders>
            <w:shd w:val="clear" w:color="auto" w:fill="auto"/>
            <w:vAlign w:val="center"/>
          </w:tcPr>
          <w:p w14:paraId="51696B0E">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49</w:t>
            </w:r>
          </w:p>
        </w:tc>
        <w:tc>
          <w:tcPr>
            <w:tcW w:w="1023" w:type="dxa"/>
            <w:tcBorders>
              <w:top w:val="nil"/>
              <w:left w:val="nil"/>
              <w:bottom w:val="nil"/>
              <w:right w:val="nil"/>
            </w:tcBorders>
            <w:shd w:val="clear" w:color="auto" w:fill="auto"/>
            <w:vAlign w:val="center"/>
          </w:tcPr>
          <w:p w14:paraId="543CD7D8">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2/3</w:t>
            </w:r>
          </w:p>
        </w:tc>
      </w:tr>
      <w:tr w14:paraId="4D69D39A">
        <w:tblPrEx>
          <w:tblBorders>
            <w:top w:val="none" w:color="auto" w:sz="4" w:space="0"/>
            <w:left w:val="none" w:color="auto" w:sz="4" w:space="0"/>
            <w:bottom w:val="single" w:color="auto" w:sz="12"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60" w:hRule="atLeast"/>
          <w:jc w:val="center"/>
        </w:trPr>
        <w:tc>
          <w:tcPr>
            <w:tcW w:w="833" w:type="dxa"/>
            <w:vMerge w:val="restart"/>
            <w:tcBorders>
              <w:top w:val="nil"/>
              <w:left w:val="nil"/>
              <w:bottom w:val="nil"/>
              <w:right w:val="nil"/>
            </w:tcBorders>
            <w:shd w:val="clear" w:color="auto" w:fill="auto"/>
            <w:vAlign w:val="center"/>
          </w:tcPr>
          <w:p w14:paraId="291F0652">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Patient2</w:t>
            </w:r>
          </w:p>
        </w:tc>
        <w:tc>
          <w:tcPr>
            <w:tcW w:w="1174" w:type="dxa"/>
            <w:tcBorders>
              <w:top w:val="nil"/>
              <w:left w:val="nil"/>
              <w:bottom w:val="nil"/>
              <w:right w:val="nil"/>
            </w:tcBorders>
            <w:shd w:val="clear" w:color="auto" w:fill="auto"/>
            <w:vAlign w:val="center"/>
          </w:tcPr>
          <w:p w14:paraId="26423D40">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Before treatment</w:t>
            </w:r>
          </w:p>
        </w:tc>
        <w:tc>
          <w:tcPr>
            <w:tcW w:w="1022" w:type="dxa"/>
            <w:tcBorders>
              <w:top w:val="nil"/>
              <w:left w:val="nil"/>
              <w:bottom w:val="nil"/>
              <w:right w:val="nil"/>
            </w:tcBorders>
            <w:shd w:val="clear" w:color="auto" w:fill="auto"/>
            <w:vAlign w:val="center"/>
          </w:tcPr>
          <w:p w14:paraId="56348256">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46</w:t>
            </w:r>
          </w:p>
        </w:tc>
        <w:tc>
          <w:tcPr>
            <w:tcW w:w="1022" w:type="dxa"/>
            <w:tcBorders>
              <w:top w:val="nil"/>
              <w:left w:val="nil"/>
              <w:bottom w:val="nil"/>
              <w:right w:val="nil"/>
            </w:tcBorders>
            <w:shd w:val="clear" w:color="auto" w:fill="auto"/>
            <w:vAlign w:val="center"/>
          </w:tcPr>
          <w:p w14:paraId="3778FF06">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88</w:t>
            </w:r>
          </w:p>
        </w:tc>
        <w:tc>
          <w:tcPr>
            <w:tcW w:w="1022" w:type="dxa"/>
            <w:tcBorders>
              <w:top w:val="nil"/>
              <w:left w:val="nil"/>
              <w:bottom w:val="nil"/>
              <w:right w:val="nil"/>
            </w:tcBorders>
            <w:shd w:val="clear" w:color="auto" w:fill="auto"/>
            <w:vAlign w:val="center"/>
          </w:tcPr>
          <w:p w14:paraId="37DC6498">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97</w:t>
            </w:r>
          </w:p>
        </w:tc>
        <w:tc>
          <w:tcPr>
            <w:tcW w:w="1022" w:type="dxa"/>
            <w:tcBorders>
              <w:top w:val="nil"/>
              <w:left w:val="nil"/>
              <w:bottom w:val="nil"/>
              <w:right w:val="nil"/>
            </w:tcBorders>
            <w:shd w:val="clear" w:color="auto" w:fill="auto"/>
            <w:vAlign w:val="center"/>
          </w:tcPr>
          <w:p w14:paraId="1D0BE5C6">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18</w:t>
            </w:r>
          </w:p>
        </w:tc>
        <w:tc>
          <w:tcPr>
            <w:tcW w:w="1022" w:type="dxa"/>
            <w:tcBorders>
              <w:top w:val="nil"/>
              <w:left w:val="nil"/>
              <w:bottom w:val="nil"/>
              <w:right w:val="nil"/>
            </w:tcBorders>
            <w:shd w:val="clear" w:color="auto" w:fill="auto"/>
            <w:vAlign w:val="center"/>
          </w:tcPr>
          <w:p w14:paraId="6C7AAC80">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88</w:t>
            </w:r>
          </w:p>
        </w:tc>
        <w:tc>
          <w:tcPr>
            <w:tcW w:w="1023" w:type="dxa"/>
            <w:tcBorders>
              <w:top w:val="nil"/>
              <w:left w:val="nil"/>
              <w:bottom w:val="nil"/>
              <w:right w:val="nil"/>
            </w:tcBorders>
            <w:shd w:val="clear" w:color="auto" w:fill="auto"/>
            <w:vAlign w:val="center"/>
          </w:tcPr>
          <w:p w14:paraId="3938A6F5">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4/12</w:t>
            </w:r>
          </w:p>
        </w:tc>
      </w:tr>
      <w:tr w14:paraId="29F503BA">
        <w:tblPrEx>
          <w:tblBorders>
            <w:top w:val="none" w:color="auto" w:sz="4" w:space="0"/>
            <w:left w:val="none" w:color="auto" w:sz="4" w:space="0"/>
            <w:bottom w:val="single" w:color="auto" w:sz="12"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60" w:hRule="atLeast"/>
          <w:jc w:val="center"/>
        </w:trPr>
        <w:tc>
          <w:tcPr>
            <w:tcW w:w="833" w:type="dxa"/>
            <w:vMerge w:val="continue"/>
            <w:tcBorders>
              <w:top w:val="nil"/>
              <w:left w:val="nil"/>
              <w:bottom w:val="nil"/>
              <w:right w:val="nil"/>
            </w:tcBorders>
            <w:shd w:val="clear" w:color="auto" w:fill="auto"/>
            <w:vAlign w:val="center"/>
          </w:tcPr>
          <w:p w14:paraId="6FE7A989">
            <w:pPr>
              <w:jc w:val="center"/>
              <w:rPr>
                <w:rFonts w:ascii="Times New Roman" w:hAnsi="Times New Roman" w:eastAsia="宋体" w:cs="Times New Roman"/>
                <w:color w:val="auto"/>
                <w:sz w:val="22"/>
                <w:szCs w:val="22"/>
              </w:rPr>
            </w:pPr>
          </w:p>
        </w:tc>
        <w:tc>
          <w:tcPr>
            <w:tcW w:w="1174" w:type="dxa"/>
            <w:tcBorders>
              <w:top w:val="nil"/>
              <w:left w:val="nil"/>
              <w:bottom w:val="nil"/>
              <w:right w:val="nil"/>
            </w:tcBorders>
            <w:shd w:val="clear" w:color="auto" w:fill="auto"/>
            <w:vAlign w:val="center"/>
          </w:tcPr>
          <w:p w14:paraId="255FF0DF">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After treatment</w:t>
            </w:r>
          </w:p>
        </w:tc>
        <w:tc>
          <w:tcPr>
            <w:tcW w:w="1022" w:type="dxa"/>
            <w:tcBorders>
              <w:top w:val="nil"/>
              <w:left w:val="nil"/>
              <w:bottom w:val="nil"/>
              <w:right w:val="nil"/>
            </w:tcBorders>
            <w:shd w:val="clear" w:color="auto" w:fill="auto"/>
            <w:vAlign w:val="center"/>
          </w:tcPr>
          <w:p w14:paraId="6CA8577A">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36</w:t>
            </w:r>
          </w:p>
        </w:tc>
        <w:tc>
          <w:tcPr>
            <w:tcW w:w="1022" w:type="dxa"/>
            <w:tcBorders>
              <w:top w:val="nil"/>
              <w:left w:val="nil"/>
              <w:bottom w:val="nil"/>
              <w:right w:val="nil"/>
            </w:tcBorders>
            <w:shd w:val="clear" w:color="auto" w:fill="auto"/>
            <w:vAlign w:val="center"/>
          </w:tcPr>
          <w:p w14:paraId="1130D391">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46</w:t>
            </w:r>
          </w:p>
        </w:tc>
        <w:tc>
          <w:tcPr>
            <w:tcW w:w="1022" w:type="dxa"/>
            <w:tcBorders>
              <w:top w:val="nil"/>
              <w:left w:val="nil"/>
              <w:bottom w:val="nil"/>
              <w:right w:val="nil"/>
            </w:tcBorders>
            <w:shd w:val="clear" w:color="auto" w:fill="auto"/>
            <w:vAlign w:val="center"/>
          </w:tcPr>
          <w:p w14:paraId="1931190D">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71</w:t>
            </w:r>
          </w:p>
        </w:tc>
        <w:tc>
          <w:tcPr>
            <w:tcW w:w="1022" w:type="dxa"/>
            <w:tcBorders>
              <w:top w:val="nil"/>
              <w:left w:val="nil"/>
              <w:bottom w:val="nil"/>
              <w:right w:val="nil"/>
            </w:tcBorders>
            <w:shd w:val="clear" w:color="auto" w:fill="auto"/>
            <w:vAlign w:val="center"/>
          </w:tcPr>
          <w:p w14:paraId="0B9AC41E">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14</w:t>
            </w:r>
          </w:p>
        </w:tc>
        <w:tc>
          <w:tcPr>
            <w:tcW w:w="1022" w:type="dxa"/>
            <w:tcBorders>
              <w:top w:val="nil"/>
              <w:left w:val="nil"/>
              <w:bottom w:val="nil"/>
              <w:right w:val="nil"/>
            </w:tcBorders>
            <w:shd w:val="clear" w:color="auto" w:fill="auto"/>
            <w:vAlign w:val="center"/>
          </w:tcPr>
          <w:p w14:paraId="4B6275CF">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96</w:t>
            </w:r>
          </w:p>
        </w:tc>
        <w:tc>
          <w:tcPr>
            <w:tcW w:w="1023" w:type="dxa"/>
            <w:tcBorders>
              <w:top w:val="nil"/>
              <w:left w:val="nil"/>
              <w:bottom w:val="nil"/>
              <w:right w:val="nil"/>
            </w:tcBorders>
            <w:shd w:val="clear" w:color="auto" w:fill="auto"/>
            <w:vAlign w:val="center"/>
          </w:tcPr>
          <w:p w14:paraId="1B4E67E9">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2/10</w:t>
            </w:r>
          </w:p>
        </w:tc>
      </w:tr>
      <w:tr w14:paraId="34F1AE95">
        <w:tblPrEx>
          <w:tblBorders>
            <w:top w:val="none" w:color="auto" w:sz="4" w:space="0"/>
            <w:left w:val="none" w:color="auto" w:sz="4" w:space="0"/>
            <w:bottom w:val="single" w:color="auto" w:sz="12"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280" w:hRule="atLeast"/>
          <w:jc w:val="center"/>
        </w:trPr>
        <w:tc>
          <w:tcPr>
            <w:tcW w:w="833" w:type="dxa"/>
            <w:vMerge w:val="continue"/>
            <w:tcBorders>
              <w:top w:val="nil"/>
              <w:left w:val="nil"/>
              <w:bottom w:val="nil"/>
              <w:right w:val="nil"/>
            </w:tcBorders>
            <w:shd w:val="clear" w:color="auto" w:fill="auto"/>
            <w:vAlign w:val="center"/>
          </w:tcPr>
          <w:p w14:paraId="379CC53F">
            <w:pPr>
              <w:jc w:val="center"/>
              <w:rPr>
                <w:rFonts w:ascii="Times New Roman" w:hAnsi="Times New Roman" w:eastAsia="宋体" w:cs="Times New Roman"/>
                <w:color w:val="auto"/>
                <w:sz w:val="22"/>
                <w:szCs w:val="22"/>
              </w:rPr>
            </w:pPr>
          </w:p>
        </w:tc>
        <w:tc>
          <w:tcPr>
            <w:tcW w:w="1174" w:type="dxa"/>
            <w:tcBorders>
              <w:top w:val="nil"/>
              <w:left w:val="nil"/>
              <w:bottom w:val="nil"/>
              <w:right w:val="nil"/>
            </w:tcBorders>
            <w:shd w:val="clear" w:color="auto" w:fill="auto"/>
            <w:vAlign w:val="center"/>
          </w:tcPr>
          <w:p w14:paraId="1447D117">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sz w:val="22"/>
                <w:szCs w:val="22"/>
              </w:rPr>
              <w:t>Lost to follow-up</w:t>
            </w:r>
          </w:p>
        </w:tc>
        <w:tc>
          <w:tcPr>
            <w:tcW w:w="1022" w:type="dxa"/>
            <w:tcBorders>
              <w:top w:val="nil"/>
              <w:left w:val="nil"/>
              <w:bottom w:val="nil"/>
              <w:right w:val="nil"/>
            </w:tcBorders>
            <w:shd w:val="clear" w:color="auto" w:fill="auto"/>
            <w:vAlign w:val="center"/>
          </w:tcPr>
          <w:p w14:paraId="222D129C">
            <w:pPr>
              <w:jc w:val="center"/>
              <w:rPr>
                <w:rFonts w:hint="eastAsia" w:ascii="Times New Roman" w:hAnsi="Times New Roman" w:eastAsia="宋体" w:cs="Times New Roman"/>
                <w:color w:val="auto"/>
                <w:sz w:val="22"/>
                <w:szCs w:val="22"/>
                <w:lang w:val="en-US" w:eastAsia="zh-CN"/>
              </w:rPr>
            </w:pPr>
            <w:r>
              <w:rPr>
                <w:rFonts w:hint="eastAsia" w:ascii="Times New Roman" w:hAnsi="Times New Roman" w:eastAsia="宋体" w:cs="Times New Roman"/>
                <w:color w:val="auto"/>
                <w:sz w:val="22"/>
                <w:szCs w:val="22"/>
                <w:lang w:val="en-US" w:eastAsia="zh-CN"/>
              </w:rPr>
              <w:t>-</w:t>
            </w:r>
          </w:p>
        </w:tc>
        <w:tc>
          <w:tcPr>
            <w:tcW w:w="1022" w:type="dxa"/>
            <w:tcBorders>
              <w:top w:val="nil"/>
              <w:left w:val="nil"/>
              <w:bottom w:val="nil"/>
              <w:right w:val="nil"/>
            </w:tcBorders>
            <w:shd w:val="clear" w:color="auto" w:fill="auto"/>
            <w:vAlign w:val="center"/>
          </w:tcPr>
          <w:p w14:paraId="362FA771">
            <w:pPr>
              <w:jc w:val="center"/>
              <w:rPr>
                <w:rFonts w:hint="eastAsia" w:ascii="Times New Roman" w:hAnsi="Times New Roman" w:eastAsia="宋体" w:cs="Times New Roman"/>
                <w:color w:val="auto"/>
                <w:sz w:val="22"/>
                <w:szCs w:val="22"/>
                <w:lang w:val="en-US" w:eastAsia="zh-CN"/>
              </w:rPr>
            </w:pPr>
            <w:r>
              <w:rPr>
                <w:rFonts w:hint="eastAsia" w:ascii="Times New Roman" w:hAnsi="Times New Roman" w:eastAsia="宋体" w:cs="Times New Roman"/>
                <w:color w:val="auto"/>
                <w:sz w:val="22"/>
                <w:szCs w:val="22"/>
                <w:lang w:val="en-US" w:eastAsia="zh-CN"/>
              </w:rPr>
              <w:t>-</w:t>
            </w:r>
          </w:p>
        </w:tc>
        <w:tc>
          <w:tcPr>
            <w:tcW w:w="1022" w:type="dxa"/>
            <w:tcBorders>
              <w:top w:val="nil"/>
              <w:left w:val="nil"/>
              <w:bottom w:val="nil"/>
              <w:right w:val="nil"/>
            </w:tcBorders>
            <w:shd w:val="clear" w:color="auto" w:fill="auto"/>
            <w:vAlign w:val="center"/>
          </w:tcPr>
          <w:p w14:paraId="5D375970">
            <w:pPr>
              <w:jc w:val="center"/>
              <w:rPr>
                <w:rFonts w:hint="eastAsia" w:ascii="Times New Roman" w:hAnsi="Times New Roman" w:eastAsia="宋体" w:cs="Times New Roman"/>
                <w:color w:val="auto"/>
                <w:sz w:val="22"/>
                <w:szCs w:val="22"/>
                <w:lang w:val="en-US" w:eastAsia="zh-CN"/>
              </w:rPr>
            </w:pPr>
            <w:r>
              <w:rPr>
                <w:rFonts w:hint="eastAsia" w:ascii="Times New Roman" w:hAnsi="Times New Roman" w:eastAsia="宋体" w:cs="Times New Roman"/>
                <w:color w:val="auto"/>
                <w:sz w:val="22"/>
                <w:szCs w:val="22"/>
                <w:lang w:val="en-US" w:eastAsia="zh-CN"/>
              </w:rPr>
              <w:t>-</w:t>
            </w:r>
          </w:p>
        </w:tc>
        <w:tc>
          <w:tcPr>
            <w:tcW w:w="1022" w:type="dxa"/>
            <w:tcBorders>
              <w:top w:val="nil"/>
              <w:left w:val="nil"/>
              <w:bottom w:val="nil"/>
              <w:right w:val="nil"/>
            </w:tcBorders>
            <w:shd w:val="clear" w:color="auto" w:fill="auto"/>
            <w:vAlign w:val="center"/>
          </w:tcPr>
          <w:p w14:paraId="2F6F1127">
            <w:pPr>
              <w:jc w:val="center"/>
              <w:rPr>
                <w:rFonts w:hint="eastAsia" w:ascii="Times New Roman" w:hAnsi="Times New Roman" w:eastAsia="宋体" w:cs="Times New Roman"/>
                <w:color w:val="auto"/>
                <w:sz w:val="22"/>
                <w:szCs w:val="22"/>
                <w:lang w:val="en-US" w:eastAsia="zh-CN"/>
              </w:rPr>
            </w:pPr>
            <w:r>
              <w:rPr>
                <w:rFonts w:hint="eastAsia" w:ascii="Times New Roman" w:hAnsi="Times New Roman" w:eastAsia="宋体" w:cs="Times New Roman"/>
                <w:color w:val="auto"/>
                <w:sz w:val="22"/>
                <w:szCs w:val="22"/>
                <w:lang w:val="en-US" w:eastAsia="zh-CN"/>
              </w:rPr>
              <w:t>-</w:t>
            </w:r>
          </w:p>
        </w:tc>
        <w:tc>
          <w:tcPr>
            <w:tcW w:w="1022" w:type="dxa"/>
            <w:tcBorders>
              <w:top w:val="nil"/>
              <w:left w:val="nil"/>
              <w:bottom w:val="nil"/>
              <w:right w:val="nil"/>
            </w:tcBorders>
            <w:shd w:val="clear" w:color="auto" w:fill="auto"/>
            <w:vAlign w:val="center"/>
          </w:tcPr>
          <w:p w14:paraId="52F1DB7C">
            <w:pPr>
              <w:jc w:val="center"/>
              <w:rPr>
                <w:rFonts w:hint="eastAsia" w:ascii="Times New Roman" w:hAnsi="Times New Roman" w:eastAsia="宋体" w:cs="Times New Roman"/>
                <w:color w:val="auto"/>
                <w:sz w:val="22"/>
                <w:szCs w:val="22"/>
                <w:lang w:val="en-US" w:eastAsia="zh-CN"/>
              </w:rPr>
            </w:pPr>
            <w:r>
              <w:rPr>
                <w:rFonts w:hint="eastAsia" w:ascii="Times New Roman" w:hAnsi="Times New Roman" w:eastAsia="宋体" w:cs="Times New Roman"/>
                <w:color w:val="auto"/>
                <w:sz w:val="22"/>
                <w:szCs w:val="22"/>
                <w:lang w:val="en-US" w:eastAsia="zh-CN"/>
              </w:rPr>
              <w:t>-</w:t>
            </w:r>
          </w:p>
        </w:tc>
        <w:tc>
          <w:tcPr>
            <w:tcW w:w="1023" w:type="dxa"/>
            <w:tcBorders>
              <w:top w:val="nil"/>
              <w:left w:val="nil"/>
              <w:bottom w:val="nil"/>
              <w:right w:val="nil"/>
            </w:tcBorders>
            <w:shd w:val="clear" w:color="auto" w:fill="auto"/>
            <w:vAlign w:val="center"/>
          </w:tcPr>
          <w:p w14:paraId="237E077B">
            <w:pPr>
              <w:jc w:val="center"/>
              <w:rPr>
                <w:rFonts w:hint="eastAsia" w:ascii="Times New Roman" w:hAnsi="Times New Roman" w:eastAsia="宋体" w:cs="Times New Roman"/>
                <w:color w:val="auto"/>
                <w:sz w:val="22"/>
                <w:szCs w:val="22"/>
                <w:lang w:val="en-US" w:eastAsia="zh-CN"/>
              </w:rPr>
            </w:pPr>
            <w:r>
              <w:rPr>
                <w:rFonts w:hint="eastAsia" w:ascii="Times New Roman" w:hAnsi="Times New Roman" w:eastAsia="宋体" w:cs="Times New Roman"/>
                <w:color w:val="auto"/>
                <w:sz w:val="22"/>
                <w:szCs w:val="22"/>
                <w:lang w:val="en-US" w:eastAsia="zh-CN"/>
              </w:rPr>
              <w:t>-</w:t>
            </w:r>
          </w:p>
        </w:tc>
      </w:tr>
      <w:tr w14:paraId="13AB6CC1">
        <w:tblPrEx>
          <w:tblBorders>
            <w:top w:val="none" w:color="auto" w:sz="4" w:space="0"/>
            <w:left w:val="none" w:color="auto" w:sz="4" w:space="0"/>
            <w:bottom w:val="single" w:color="auto" w:sz="12"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60" w:hRule="atLeast"/>
          <w:jc w:val="center"/>
        </w:trPr>
        <w:tc>
          <w:tcPr>
            <w:tcW w:w="833" w:type="dxa"/>
            <w:vMerge w:val="restart"/>
            <w:tcBorders>
              <w:top w:val="nil"/>
              <w:left w:val="nil"/>
              <w:bottom w:val="nil"/>
              <w:right w:val="nil"/>
            </w:tcBorders>
            <w:shd w:val="clear" w:color="auto" w:fill="auto"/>
            <w:vAlign w:val="center"/>
          </w:tcPr>
          <w:p w14:paraId="36C36D1C">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Patient3</w:t>
            </w:r>
          </w:p>
        </w:tc>
        <w:tc>
          <w:tcPr>
            <w:tcW w:w="1174" w:type="dxa"/>
            <w:tcBorders>
              <w:top w:val="nil"/>
              <w:left w:val="nil"/>
              <w:bottom w:val="nil"/>
              <w:right w:val="nil"/>
            </w:tcBorders>
            <w:shd w:val="clear" w:color="auto" w:fill="auto"/>
            <w:vAlign w:val="center"/>
          </w:tcPr>
          <w:p w14:paraId="023DA2FE">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Before treatment</w:t>
            </w:r>
          </w:p>
        </w:tc>
        <w:tc>
          <w:tcPr>
            <w:tcW w:w="1022" w:type="dxa"/>
            <w:tcBorders>
              <w:top w:val="nil"/>
              <w:left w:val="nil"/>
              <w:bottom w:val="nil"/>
              <w:right w:val="nil"/>
            </w:tcBorders>
            <w:shd w:val="clear" w:color="auto" w:fill="auto"/>
            <w:vAlign w:val="center"/>
          </w:tcPr>
          <w:p w14:paraId="11A29942">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43</w:t>
            </w:r>
          </w:p>
        </w:tc>
        <w:tc>
          <w:tcPr>
            <w:tcW w:w="1022" w:type="dxa"/>
            <w:tcBorders>
              <w:top w:val="nil"/>
              <w:left w:val="nil"/>
              <w:bottom w:val="nil"/>
              <w:right w:val="nil"/>
            </w:tcBorders>
            <w:shd w:val="clear" w:color="auto" w:fill="auto"/>
            <w:vAlign w:val="center"/>
          </w:tcPr>
          <w:p w14:paraId="25DE2830">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78</w:t>
            </w:r>
          </w:p>
        </w:tc>
        <w:tc>
          <w:tcPr>
            <w:tcW w:w="1022" w:type="dxa"/>
            <w:tcBorders>
              <w:top w:val="nil"/>
              <w:left w:val="nil"/>
              <w:bottom w:val="nil"/>
              <w:right w:val="nil"/>
            </w:tcBorders>
            <w:shd w:val="clear" w:color="auto" w:fill="auto"/>
            <w:vAlign w:val="center"/>
          </w:tcPr>
          <w:p w14:paraId="56B86E30">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99</w:t>
            </w:r>
          </w:p>
        </w:tc>
        <w:tc>
          <w:tcPr>
            <w:tcW w:w="1022" w:type="dxa"/>
            <w:tcBorders>
              <w:top w:val="nil"/>
              <w:left w:val="nil"/>
              <w:bottom w:val="nil"/>
              <w:right w:val="nil"/>
            </w:tcBorders>
            <w:shd w:val="clear" w:color="auto" w:fill="auto"/>
            <w:vAlign w:val="center"/>
          </w:tcPr>
          <w:p w14:paraId="7C67FC7A">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25</w:t>
            </w:r>
          </w:p>
        </w:tc>
        <w:tc>
          <w:tcPr>
            <w:tcW w:w="1022" w:type="dxa"/>
            <w:tcBorders>
              <w:top w:val="nil"/>
              <w:left w:val="nil"/>
              <w:bottom w:val="nil"/>
              <w:right w:val="nil"/>
            </w:tcBorders>
            <w:shd w:val="clear" w:color="auto" w:fill="auto"/>
            <w:vAlign w:val="center"/>
          </w:tcPr>
          <w:p w14:paraId="3C4DDABE">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58</w:t>
            </w:r>
          </w:p>
        </w:tc>
        <w:tc>
          <w:tcPr>
            <w:tcW w:w="1023" w:type="dxa"/>
            <w:tcBorders>
              <w:top w:val="nil"/>
              <w:left w:val="nil"/>
              <w:bottom w:val="nil"/>
              <w:right w:val="nil"/>
            </w:tcBorders>
            <w:shd w:val="clear" w:color="auto" w:fill="auto"/>
            <w:vAlign w:val="center"/>
          </w:tcPr>
          <w:p w14:paraId="11CD7FC5">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6/9</w:t>
            </w:r>
          </w:p>
        </w:tc>
      </w:tr>
      <w:tr w14:paraId="36ED3C44">
        <w:tblPrEx>
          <w:tblBorders>
            <w:top w:val="none" w:color="auto" w:sz="4" w:space="0"/>
            <w:left w:val="none" w:color="auto" w:sz="4" w:space="0"/>
            <w:bottom w:val="single" w:color="auto" w:sz="12"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60" w:hRule="atLeast"/>
          <w:jc w:val="center"/>
        </w:trPr>
        <w:tc>
          <w:tcPr>
            <w:tcW w:w="833" w:type="dxa"/>
            <w:vMerge w:val="continue"/>
            <w:tcBorders>
              <w:top w:val="nil"/>
              <w:left w:val="nil"/>
              <w:bottom w:val="nil"/>
              <w:right w:val="nil"/>
            </w:tcBorders>
            <w:shd w:val="clear" w:color="auto" w:fill="auto"/>
            <w:vAlign w:val="center"/>
          </w:tcPr>
          <w:p w14:paraId="3277E6D4">
            <w:pPr>
              <w:jc w:val="center"/>
              <w:rPr>
                <w:rFonts w:ascii="Times New Roman" w:hAnsi="Times New Roman" w:eastAsia="宋体" w:cs="Times New Roman"/>
                <w:color w:val="auto"/>
                <w:sz w:val="22"/>
                <w:szCs w:val="22"/>
              </w:rPr>
            </w:pPr>
          </w:p>
        </w:tc>
        <w:tc>
          <w:tcPr>
            <w:tcW w:w="1174" w:type="dxa"/>
            <w:tcBorders>
              <w:top w:val="nil"/>
              <w:left w:val="nil"/>
              <w:bottom w:val="nil"/>
              <w:right w:val="nil"/>
            </w:tcBorders>
            <w:shd w:val="clear" w:color="auto" w:fill="auto"/>
            <w:vAlign w:val="center"/>
          </w:tcPr>
          <w:p w14:paraId="3CDF2E21">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After treatment</w:t>
            </w:r>
          </w:p>
        </w:tc>
        <w:tc>
          <w:tcPr>
            <w:tcW w:w="1022" w:type="dxa"/>
            <w:tcBorders>
              <w:top w:val="nil"/>
              <w:left w:val="nil"/>
              <w:bottom w:val="nil"/>
              <w:right w:val="nil"/>
            </w:tcBorders>
            <w:shd w:val="clear" w:color="auto" w:fill="auto"/>
            <w:vAlign w:val="center"/>
          </w:tcPr>
          <w:p w14:paraId="58F97D08">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41</w:t>
            </w:r>
          </w:p>
        </w:tc>
        <w:tc>
          <w:tcPr>
            <w:tcW w:w="1022" w:type="dxa"/>
            <w:tcBorders>
              <w:top w:val="nil"/>
              <w:left w:val="nil"/>
              <w:bottom w:val="nil"/>
              <w:right w:val="nil"/>
            </w:tcBorders>
            <w:shd w:val="clear" w:color="auto" w:fill="auto"/>
            <w:vAlign w:val="center"/>
          </w:tcPr>
          <w:p w14:paraId="763E7BF6">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38</w:t>
            </w:r>
          </w:p>
        </w:tc>
        <w:tc>
          <w:tcPr>
            <w:tcW w:w="1022" w:type="dxa"/>
            <w:tcBorders>
              <w:top w:val="nil"/>
              <w:left w:val="nil"/>
              <w:bottom w:val="nil"/>
              <w:right w:val="nil"/>
            </w:tcBorders>
            <w:shd w:val="clear" w:color="auto" w:fill="auto"/>
            <w:vAlign w:val="center"/>
          </w:tcPr>
          <w:p w14:paraId="56268753">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81</w:t>
            </w:r>
          </w:p>
        </w:tc>
        <w:tc>
          <w:tcPr>
            <w:tcW w:w="1022" w:type="dxa"/>
            <w:tcBorders>
              <w:top w:val="nil"/>
              <w:left w:val="nil"/>
              <w:bottom w:val="nil"/>
              <w:right w:val="nil"/>
            </w:tcBorders>
            <w:shd w:val="clear" w:color="auto" w:fill="auto"/>
            <w:vAlign w:val="center"/>
          </w:tcPr>
          <w:p w14:paraId="1F2257D7">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20</w:t>
            </w:r>
          </w:p>
        </w:tc>
        <w:tc>
          <w:tcPr>
            <w:tcW w:w="1022" w:type="dxa"/>
            <w:tcBorders>
              <w:top w:val="nil"/>
              <w:left w:val="nil"/>
              <w:bottom w:val="nil"/>
              <w:right w:val="nil"/>
            </w:tcBorders>
            <w:shd w:val="clear" w:color="auto" w:fill="auto"/>
            <w:vAlign w:val="center"/>
          </w:tcPr>
          <w:p w14:paraId="0390A109">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36</w:t>
            </w:r>
          </w:p>
        </w:tc>
        <w:tc>
          <w:tcPr>
            <w:tcW w:w="1023" w:type="dxa"/>
            <w:tcBorders>
              <w:top w:val="nil"/>
              <w:left w:val="nil"/>
              <w:bottom w:val="nil"/>
              <w:right w:val="nil"/>
            </w:tcBorders>
            <w:shd w:val="clear" w:color="auto" w:fill="auto"/>
            <w:vAlign w:val="center"/>
          </w:tcPr>
          <w:p w14:paraId="5E7E8626">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6/8</w:t>
            </w:r>
          </w:p>
        </w:tc>
      </w:tr>
      <w:tr w14:paraId="4153159F">
        <w:tblPrEx>
          <w:tblBorders>
            <w:top w:val="none" w:color="auto" w:sz="4" w:space="0"/>
            <w:left w:val="none" w:color="auto" w:sz="4" w:space="0"/>
            <w:bottom w:val="single" w:color="auto" w:sz="12"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280" w:hRule="atLeast"/>
          <w:jc w:val="center"/>
        </w:trPr>
        <w:tc>
          <w:tcPr>
            <w:tcW w:w="833" w:type="dxa"/>
            <w:vMerge w:val="continue"/>
            <w:tcBorders>
              <w:top w:val="nil"/>
              <w:left w:val="nil"/>
              <w:bottom w:val="nil"/>
              <w:right w:val="nil"/>
            </w:tcBorders>
            <w:shd w:val="clear" w:color="auto" w:fill="auto"/>
            <w:vAlign w:val="center"/>
          </w:tcPr>
          <w:p w14:paraId="462DDC16">
            <w:pPr>
              <w:jc w:val="center"/>
              <w:rPr>
                <w:rFonts w:ascii="Times New Roman" w:hAnsi="Times New Roman" w:eastAsia="宋体" w:cs="Times New Roman"/>
                <w:color w:val="auto"/>
                <w:sz w:val="22"/>
                <w:szCs w:val="22"/>
              </w:rPr>
            </w:pPr>
          </w:p>
        </w:tc>
        <w:tc>
          <w:tcPr>
            <w:tcW w:w="1174" w:type="dxa"/>
            <w:tcBorders>
              <w:top w:val="nil"/>
              <w:left w:val="nil"/>
              <w:bottom w:val="nil"/>
              <w:right w:val="nil"/>
            </w:tcBorders>
            <w:shd w:val="clear" w:color="auto" w:fill="auto"/>
            <w:vAlign w:val="center"/>
          </w:tcPr>
          <w:p w14:paraId="68611A98">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Follow up</w:t>
            </w:r>
          </w:p>
        </w:tc>
        <w:tc>
          <w:tcPr>
            <w:tcW w:w="1022" w:type="dxa"/>
            <w:tcBorders>
              <w:top w:val="nil"/>
              <w:left w:val="nil"/>
              <w:bottom w:val="nil"/>
              <w:right w:val="nil"/>
            </w:tcBorders>
            <w:shd w:val="clear" w:color="auto" w:fill="auto"/>
            <w:vAlign w:val="center"/>
          </w:tcPr>
          <w:p w14:paraId="70463AEB">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41</w:t>
            </w:r>
          </w:p>
        </w:tc>
        <w:tc>
          <w:tcPr>
            <w:tcW w:w="1022" w:type="dxa"/>
            <w:tcBorders>
              <w:top w:val="nil"/>
              <w:left w:val="nil"/>
              <w:bottom w:val="nil"/>
              <w:right w:val="nil"/>
            </w:tcBorders>
            <w:shd w:val="clear" w:color="auto" w:fill="auto"/>
            <w:vAlign w:val="center"/>
          </w:tcPr>
          <w:p w14:paraId="514F3352">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34</w:t>
            </w:r>
          </w:p>
        </w:tc>
        <w:tc>
          <w:tcPr>
            <w:tcW w:w="1022" w:type="dxa"/>
            <w:tcBorders>
              <w:top w:val="nil"/>
              <w:left w:val="nil"/>
              <w:bottom w:val="nil"/>
              <w:right w:val="nil"/>
            </w:tcBorders>
            <w:shd w:val="clear" w:color="auto" w:fill="auto"/>
            <w:vAlign w:val="center"/>
          </w:tcPr>
          <w:p w14:paraId="6670A4A2">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86</w:t>
            </w:r>
          </w:p>
        </w:tc>
        <w:tc>
          <w:tcPr>
            <w:tcW w:w="1022" w:type="dxa"/>
            <w:tcBorders>
              <w:top w:val="nil"/>
              <w:left w:val="nil"/>
              <w:bottom w:val="nil"/>
              <w:right w:val="nil"/>
            </w:tcBorders>
            <w:shd w:val="clear" w:color="auto" w:fill="auto"/>
            <w:vAlign w:val="center"/>
          </w:tcPr>
          <w:p w14:paraId="0A68BE83">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23</w:t>
            </w:r>
          </w:p>
        </w:tc>
        <w:tc>
          <w:tcPr>
            <w:tcW w:w="1022" w:type="dxa"/>
            <w:tcBorders>
              <w:top w:val="nil"/>
              <w:left w:val="nil"/>
              <w:bottom w:val="nil"/>
              <w:right w:val="nil"/>
            </w:tcBorders>
            <w:shd w:val="clear" w:color="auto" w:fill="auto"/>
            <w:vAlign w:val="center"/>
          </w:tcPr>
          <w:p w14:paraId="6F614B07">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31</w:t>
            </w:r>
          </w:p>
        </w:tc>
        <w:tc>
          <w:tcPr>
            <w:tcW w:w="1023" w:type="dxa"/>
            <w:tcBorders>
              <w:top w:val="nil"/>
              <w:left w:val="nil"/>
              <w:bottom w:val="nil"/>
              <w:right w:val="nil"/>
            </w:tcBorders>
            <w:shd w:val="clear" w:color="auto" w:fill="auto"/>
            <w:vAlign w:val="center"/>
          </w:tcPr>
          <w:p w14:paraId="02884887">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2/14</w:t>
            </w:r>
          </w:p>
        </w:tc>
      </w:tr>
      <w:tr w14:paraId="3707F52D">
        <w:tblPrEx>
          <w:tblBorders>
            <w:top w:val="none" w:color="auto" w:sz="4" w:space="0"/>
            <w:left w:val="none" w:color="auto" w:sz="4" w:space="0"/>
            <w:bottom w:val="single" w:color="auto" w:sz="12"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60" w:hRule="atLeast"/>
          <w:jc w:val="center"/>
        </w:trPr>
        <w:tc>
          <w:tcPr>
            <w:tcW w:w="833" w:type="dxa"/>
            <w:vMerge w:val="restart"/>
            <w:tcBorders>
              <w:top w:val="nil"/>
              <w:left w:val="nil"/>
              <w:bottom w:val="nil"/>
              <w:right w:val="nil"/>
            </w:tcBorders>
            <w:shd w:val="clear" w:color="auto" w:fill="auto"/>
            <w:vAlign w:val="center"/>
          </w:tcPr>
          <w:p w14:paraId="2B713F8B">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Patient4</w:t>
            </w:r>
          </w:p>
        </w:tc>
        <w:tc>
          <w:tcPr>
            <w:tcW w:w="1174" w:type="dxa"/>
            <w:tcBorders>
              <w:top w:val="nil"/>
              <w:left w:val="nil"/>
              <w:bottom w:val="nil"/>
              <w:right w:val="nil"/>
            </w:tcBorders>
            <w:shd w:val="clear" w:color="auto" w:fill="auto"/>
            <w:vAlign w:val="center"/>
          </w:tcPr>
          <w:p w14:paraId="329F8C9E">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Before treatment</w:t>
            </w:r>
          </w:p>
        </w:tc>
        <w:tc>
          <w:tcPr>
            <w:tcW w:w="1022" w:type="dxa"/>
            <w:tcBorders>
              <w:top w:val="nil"/>
              <w:left w:val="nil"/>
              <w:bottom w:val="nil"/>
              <w:right w:val="nil"/>
            </w:tcBorders>
            <w:shd w:val="clear" w:color="auto" w:fill="auto"/>
            <w:vAlign w:val="center"/>
          </w:tcPr>
          <w:p w14:paraId="2DE24A10">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34</w:t>
            </w:r>
          </w:p>
        </w:tc>
        <w:tc>
          <w:tcPr>
            <w:tcW w:w="1022" w:type="dxa"/>
            <w:tcBorders>
              <w:top w:val="nil"/>
              <w:left w:val="nil"/>
              <w:bottom w:val="nil"/>
              <w:right w:val="nil"/>
            </w:tcBorders>
            <w:shd w:val="clear" w:color="auto" w:fill="auto"/>
            <w:vAlign w:val="center"/>
          </w:tcPr>
          <w:p w14:paraId="5D401849">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63</w:t>
            </w:r>
          </w:p>
        </w:tc>
        <w:tc>
          <w:tcPr>
            <w:tcW w:w="1022" w:type="dxa"/>
            <w:tcBorders>
              <w:top w:val="nil"/>
              <w:left w:val="nil"/>
              <w:bottom w:val="nil"/>
              <w:right w:val="nil"/>
            </w:tcBorders>
            <w:shd w:val="clear" w:color="auto" w:fill="auto"/>
            <w:vAlign w:val="center"/>
          </w:tcPr>
          <w:p w14:paraId="7EF08581">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49</w:t>
            </w:r>
          </w:p>
        </w:tc>
        <w:tc>
          <w:tcPr>
            <w:tcW w:w="1022" w:type="dxa"/>
            <w:tcBorders>
              <w:top w:val="nil"/>
              <w:left w:val="nil"/>
              <w:bottom w:val="nil"/>
              <w:right w:val="nil"/>
            </w:tcBorders>
            <w:shd w:val="clear" w:color="auto" w:fill="auto"/>
            <w:vAlign w:val="center"/>
          </w:tcPr>
          <w:p w14:paraId="6C3E8FA9">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24</w:t>
            </w:r>
          </w:p>
        </w:tc>
        <w:tc>
          <w:tcPr>
            <w:tcW w:w="1022" w:type="dxa"/>
            <w:tcBorders>
              <w:top w:val="nil"/>
              <w:left w:val="nil"/>
              <w:bottom w:val="nil"/>
              <w:right w:val="nil"/>
            </w:tcBorders>
            <w:shd w:val="clear" w:color="auto" w:fill="auto"/>
            <w:vAlign w:val="center"/>
          </w:tcPr>
          <w:p w14:paraId="371A3284">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44</w:t>
            </w:r>
          </w:p>
        </w:tc>
        <w:tc>
          <w:tcPr>
            <w:tcW w:w="1023" w:type="dxa"/>
            <w:tcBorders>
              <w:top w:val="nil"/>
              <w:left w:val="nil"/>
              <w:bottom w:val="nil"/>
              <w:right w:val="nil"/>
            </w:tcBorders>
            <w:shd w:val="clear" w:color="auto" w:fill="auto"/>
            <w:vAlign w:val="center"/>
          </w:tcPr>
          <w:p w14:paraId="0310CFFE">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4/5</w:t>
            </w:r>
          </w:p>
        </w:tc>
      </w:tr>
      <w:tr w14:paraId="448869D6">
        <w:tblPrEx>
          <w:tblBorders>
            <w:top w:val="none" w:color="auto" w:sz="4" w:space="0"/>
            <w:left w:val="none" w:color="auto" w:sz="4" w:space="0"/>
            <w:bottom w:val="single" w:color="auto" w:sz="12"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60" w:hRule="atLeast"/>
          <w:jc w:val="center"/>
        </w:trPr>
        <w:tc>
          <w:tcPr>
            <w:tcW w:w="833" w:type="dxa"/>
            <w:vMerge w:val="continue"/>
            <w:tcBorders>
              <w:top w:val="nil"/>
              <w:left w:val="nil"/>
              <w:bottom w:val="nil"/>
              <w:right w:val="nil"/>
            </w:tcBorders>
            <w:shd w:val="clear" w:color="auto" w:fill="auto"/>
            <w:vAlign w:val="center"/>
          </w:tcPr>
          <w:p w14:paraId="47559824">
            <w:pPr>
              <w:jc w:val="center"/>
              <w:rPr>
                <w:rFonts w:ascii="Times New Roman" w:hAnsi="Times New Roman" w:eastAsia="宋体" w:cs="Times New Roman"/>
                <w:color w:val="auto"/>
                <w:sz w:val="22"/>
                <w:szCs w:val="22"/>
              </w:rPr>
            </w:pPr>
          </w:p>
        </w:tc>
        <w:tc>
          <w:tcPr>
            <w:tcW w:w="1174" w:type="dxa"/>
            <w:tcBorders>
              <w:top w:val="nil"/>
              <w:left w:val="nil"/>
              <w:bottom w:val="nil"/>
              <w:right w:val="nil"/>
            </w:tcBorders>
            <w:shd w:val="clear" w:color="auto" w:fill="auto"/>
            <w:vAlign w:val="center"/>
          </w:tcPr>
          <w:p w14:paraId="39BA70EC">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After treatment</w:t>
            </w:r>
          </w:p>
        </w:tc>
        <w:tc>
          <w:tcPr>
            <w:tcW w:w="1022" w:type="dxa"/>
            <w:tcBorders>
              <w:top w:val="nil"/>
              <w:left w:val="nil"/>
              <w:bottom w:val="nil"/>
              <w:right w:val="nil"/>
            </w:tcBorders>
            <w:shd w:val="clear" w:color="auto" w:fill="auto"/>
            <w:vAlign w:val="center"/>
          </w:tcPr>
          <w:p w14:paraId="408AF164">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27</w:t>
            </w:r>
          </w:p>
        </w:tc>
        <w:tc>
          <w:tcPr>
            <w:tcW w:w="1022" w:type="dxa"/>
            <w:tcBorders>
              <w:top w:val="nil"/>
              <w:left w:val="nil"/>
              <w:bottom w:val="nil"/>
              <w:right w:val="nil"/>
            </w:tcBorders>
            <w:shd w:val="clear" w:color="auto" w:fill="auto"/>
            <w:vAlign w:val="center"/>
          </w:tcPr>
          <w:p w14:paraId="2D5B5322">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58</w:t>
            </w:r>
          </w:p>
        </w:tc>
        <w:tc>
          <w:tcPr>
            <w:tcW w:w="1022" w:type="dxa"/>
            <w:tcBorders>
              <w:top w:val="nil"/>
              <w:left w:val="nil"/>
              <w:bottom w:val="nil"/>
              <w:right w:val="nil"/>
            </w:tcBorders>
            <w:shd w:val="clear" w:color="auto" w:fill="auto"/>
            <w:vAlign w:val="center"/>
          </w:tcPr>
          <w:p w14:paraId="239115F9">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31</w:t>
            </w:r>
          </w:p>
        </w:tc>
        <w:tc>
          <w:tcPr>
            <w:tcW w:w="1022" w:type="dxa"/>
            <w:tcBorders>
              <w:top w:val="nil"/>
              <w:left w:val="nil"/>
              <w:bottom w:val="nil"/>
              <w:right w:val="nil"/>
            </w:tcBorders>
            <w:shd w:val="clear" w:color="auto" w:fill="auto"/>
            <w:vAlign w:val="center"/>
          </w:tcPr>
          <w:p w14:paraId="1004A409">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19</w:t>
            </w:r>
          </w:p>
        </w:tc>
        <w:tc>
          <w:tcPr>
            <w:tcW w:w="1022" w:type="dxa"/>
            <w:tcBorders>
              <w:top w:val="nil"/>
              <w:left w:val="nil"/>
              <w:bottom w:val="nil"/>
              <w:right w:val="nil"/>
            </w:tcBorders>
            <w:shd w:val="clear" w:color="auto" w:fill="auto"/>
            <w:vAlign w:val="center"/>
          </w:tcPr>
          <w:p w14:paraId="1D15B80D">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33</w:t>
            </w:r>
          </w:p>
        </w:tc>
        <w:tc>
          <w:tcPr>
            <w:tcW w:w="1023" w:type="dxa"/>
            <w:tcBorders>
              <w:top w:val="nil"/>
              <w:left w:val="nil"/>
              <w:bottom w:val="nil"/>
              <w:right w:val="nil"/>
            </w:tcBorders>
            <w:shd w:val="clear" w:color="auto" w:fill="auto"/>
            <w:vAlign w:val="center"/>
          </w:tcPr>
          <w:p w14:paraId="654288D6">
            <w:pPr>
              <w:widowControl/>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3/0</w:t>
            </w:r>
          </w:p>
        </w:tc>
      </w:tr>
      <w:tr w14:paraId="6CDD2F89">
        <w:tblPrEx>
          <w:tblBorders>
            <w:top w:val="none" w:color="auto" w:sz="4" w:space="0"/>
            <w:left w:val="none" w:color="auto" w:sz="4" w:space="0"/>
            <w:bottom w:val="single" w:color="auto" w:sz="12"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280" w:hRule="atLeast"/>
          <w:jc w:val="center"/>
        </w:trPr>
        <w:tc>
          <w:tcPr>
            <w:tcW w:w="833" w:type="dxa"/>
            <w:vMerge w:val="continue"/>
            <w:tcBorders>
              <w:top w:val="nil"/>
              <w:left w:val="nil"/>
              <w:right w:val="nil"/>
            </w:tcBorders>
            <w:shd w:val="clear" w:color="auto" w:fill="auto"/>
            <w:vAlign w:val="center"/>
          </w:tcPr>
          <w:p w14:paraId="40510664">
            <w:pPr>
              <w:spacing w:line="360" w:lineRule="auto"/>
              <w:jc w:val="center"/>
              <w:rPr>
                <w:rFonts w:ascii="Times New Roman" w:hAnsi="Times New Roman" w:eastAsia="宋体" w:cs="Times New Roman"/>
                <w:color w:val="auto"/>
                <w:sz w:val="22"/>
                <w:szCs w:val="22"/>
              </w:rPr>
            </w:pPr>
          </w:p>
        </w:tc>
        <w:tc>
          <w:tcPr>
            <w:tcW w:w="1174" w:type="dxa"/>
            <w:tcBorders>
              <w:top w:val="nil"/>
              <w:left w:val="nil"/>
              <w:right w:val="nil"/>
            </w:tcBorders>
            <w:shd w:val="clear" w:color="auto" w:fill="auto"/>
            <w:vAlign w:val="center"/>
          </w:tcPr>
          <w:p w14:paraId="7F6F0763">
            <w:pPr>
              <w:widowControl/>
              <w:spacing w:line="360" w:lineRule="auto"/>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Follow up</w:t>
            </w:r>
          </w:p>
        </w:tc>
        <w:tc>
          <w:tcPr>
            <w:tcW w:w="1022" w:type="dxa"/>
            <w:tcBorders>
              <w:top w:val="nil"/>
              <w:left w:val="nil"/>
              <w:right w:val="nil"/>
            </w:tcBorders>
            <w:shd w:val="clear" w:color="auto" w:fill="auto"/>
            <w:vAlign w:val="center"/>
          </w:tcPr>
          <w:p w14:paraId="617B51BB">
            <w:pPr>
              <w:widowControl/>
              <w:spacing w:line="360" w:lineRule="auto"/>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24</w:t>
            </w:r>
          </w:p>
        </w:tc>
        <w:tc>
          <w:tcPr>
            <w:tcW w:w="1022" w:type="dxa"/>
            <w:tcBorders>
              <w:top w:val="nil"/>
              <w:left w:val="nil"/>
              <w:right w:val="nil"/>
            </w:tcBorders>
            <w:shd w:val="clear" w:color="auto" w:fill="auto"/>
            <w:vAlign w:val="center"/>
          </w:tcPr>
          <w:p w14:paraId="52FB5B02">
            <w:pPr>
              <w:widowControl/>
              <w:spacing w:line="360" w:lineRule="auto"/>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37</w:t>
            </w:r>
          </w:p>
        </w:tc>
        <w:tc>
          <w:tcPr>
            <w:tcW w:w="1022" w:type="dxa"/>
            <w:tcBorders>
              <w:top w:val="nil"/>
              <w:left w:val="nil"/>
              <w:right w:val="nil"/>
            </w:tcBorders>
            <w:shd w:val="clear" w:color="auto" w:fill="auto"/>
            <w:vAlign w:val="center"/>
          </w:tcPr>
          <w:p w14:paraId="0FDF4108">
            <w:pPr>
              <w:widowControl/>
              <w:spacing w:line="360" w:lineRule="auto"/>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24</w:t>
            </w:r>
          </w:p>
        </w:tc>
        <w:tc>
          <w:tcPr>
            <w:tcW w:w="1022" w:type="dxa"/>
            <w:tcBorders>
              <w:top w:val="nil"/>
              <w:left w:val="nil"/>
              <w:right w:val="nil"/>
            </w:tcBorders>
            <w:shd w:val="clear" w:color="auto" w:fill="auto"/>
            <w:vAlign w:val="center"/>
          </w:tcPr>
          <w:p w14:paraId="02CE9991">
            <w:pPr>
              <w:widowControl/>
              <w:spacing w:line="360" w:lineRule="auto"/>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13</w:t>
            </w:r>
          </w:p>
        </w:tc>
        <w:tc>
          <w:tcPr>
            <w:tcW w:w="1022" w:type="dxa"/>
            <w:tcBorders>
              <w:top w:val="nil"/>
              <w:left w:val="nil"/>
              <w:right w:val="nil"/>
            </w:tcBorders>
            <w:shd w:val="clear" w:color="auto" w:fill="auto"/>
            <w:vAlign w:val="center"/>
          </w:tcPr>
          <w:p w14:paraId="4AE5F1FE">
            <w:pPr>
              <w:widowControl/>
              <w:spacing w:line="360" w:lineRule="auto"/>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47</w:t>
            </w:r>
          </w:p>
        </w:tc>
        <w:tc>
          <w:tcPr>
            <w:tcW w:w="1023" w:type="dxa"/>
            <w:tcBorders>
              <w:top w:val="nil"/>
              <w:left w:val="nil"/>
              <w:right w:val="nil"/>
            </w:tcBorders>
            <w:shd w:val="clear" w:color="auto" w:fill="auto"/>
            <w:vAlign w:val="center"/>
          </w:tcPr>
          <w:p w14:paraId="72817E74">
            <w:pPr>
              <w:widowControl/>
              <w:spacing w:line="360" w:lineRule="auto"/>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2/4</w:t>
            </w:r>
          </w:p>
        </w:tc>
      </w:tr>
    </w:tbl>
    <w:p w14:paraId="7C757D4C">
      <w:pPr>
        <w:spacing w:line="360" w:lineRule="auto"/>
        <w:jc w:val="center"/>
        <w:rPr>
          <w:rFonts w:ascii="Times New Roman" w:hAnsi="Times New Roman" w:cs="Times New Roman"/>
          <w:color w:val="auto"/>
          <w:sz w:val="22"/>
          <w:szCs w:val="28"/>
        </w:rPr>
      </w:pPr>
      <w:r>
        <w:rPr>
          <w:rFonts w:ascii="Times New Roman" w:hAnsi="Times New Roman" w:cs="Times New Roman"/>
          <w:color w:val="auto"/>
          <w:sz w:val="22"/>
          <w:szCs w:val="28"/>
        </w:rPr>
        <w:t>* HADS part include anxiety and depression, tables show as follows: anxiety/depression</w:t>
      </w:r>
    </w:p>
    <w:p w14:paraId="4254C76B">
      <w:pPr>
        <w:jc w:val="center"/>
        <w:rPr>
          <w:rFonts w:ascii="Times New Roman" w:hAnsi="Times New Roman" w:cs="Times New Roman"/>
          <w:color w:val="auto"/>
        </w:rPr>
      </w:pPr>
      <w:r>
        <w:rPr>
          <w:rFonts w:ascii="Times New Roman" w:hAnsi="Times New Roman" w:cs="Times New Roman"/>
          <w:color w:val="auto"/>
        </w:rPr>
        <w:drawing>
          <wp:inline distT="0" distB="0" distL="114300" distR="114300">
            <wp:extent cx="5217160" cy="3051175"/>
            <wp:effectExtent l="0" t="0" r="2540" b="9525"/>
            <wp:docPr id="9"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descr="IMG_256"/>
                    <pic:cNvPicPr>
                      <a:picLocks noChangeAspect="1"/>
                    </pic:cNvPicPr>
                  </pic:nvPicPr>
                  <pic:blipFill>
                    <a:blip r:embed="rId5"/>
                    <a:srcRect l="47" t="224" r="5870" b="61684"/>
                    <a:stretch>
                      <a:fillRect/>
                    </a:stretch>
                  </pic:blipFill>
                  <pic:spPr>
                    <a:xfrm>
                      <a:off x="0" y="0"/>
                      <a:ext cx="5217160" cy="3051175"/>
                    </a:xfrm>
                    <a:prstGeom prst="rect">
                      <a:avLst/>
                    </a:prstGeom>
                    <a:noFill/>
                    <a:ln w="9525">
                      <a:noFill/>
                    </a:ln>
                  </pic:spPr>
                </pic:pic>
              </a:graphicData>
            </a:graphic>
          </wp:inline>
        </w:drawing>
      </w:r>
    </w:p>
    <w:p w14:paraId="4973229F">
      <w:pPr>
        <w:jc w:val="center"/>
        <w:rPr>
          <w:rFonts w:ascii="Times New Roman" w:hAnsi="Times New Roman" w:cs="Times New Roman"/>
          <w:color w:val="auto"/>
        </w:rPr>
      </w:pPr>
      <w:r>
        <w:rPr>
          <w:rFonts w:ascii="Times New Roman" w:hAnsi="Times New Roman" w:cs="Times New Roman"/>
          <w:color w:val="auto"/>
        </w:rPr>
        <w:t>Figure 1 Changes in the 15 dimensions of the CARS scale in four ASD patients</w:t>
      </w:r>
    </w:p>
    <w:p w14:paraId="610403ED">
      <w:pPr>
        <w:jc w:val="center"/>
        <w:rPr>
          <w:rFonts w:ascii="Times New Roman" w:hAnsi="Times New Roman" w:cs="Times New Roman"/>
          <w:color w:val="auto"/>
        </w:rPr>
      </w:pPr>
      <w:r>
        <w:rPr>
          <w:rFonts w:ascii="Times New Roman" w:hAnsi="Times New Roman" w:eastAsia="宋体" w:cs="Times New Roman"/>
          <w:color w:val="auto"/>
          <w:sz w:val="24"/>
        </w:rPr>
        <w:drawing>
          <wp:inline distT="0" distB="0" distL="114300" distR="114300">
            <wp:extent cx="5176520" cy="3413125"/>
            <wp:effectExtent l="0" t="0" r="5080" b="3175"/>
            <wp:docPr id="7"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IMG_256"/>
                    <pic:cNvPicPr>
                      <a:picLocks noChangeAspect="1"/>
                    </pic:cNvPicPr>
                  </pic:nvPicPr>
                  <pic:blipFill>
                    <a:blip r:embed="rId6"/>
                    <a:srcRect t="44261" r="13132" b="16081"/>
                    <a:stretch>
                      <a:fillRect/>
                    </a:stretch>
                  </pic:blipFill>
                  <pic:spPr>
                    <a:xfrm>
                      <a:off x="0" y="0"/>
                      <a:ext cx="5176520" cy="3413125"/>
                    </a:xfrm>
                    <a:prstGeom prst="rect">
                      <a:avLst/>
                    </a:prstGeom>
                    <a:noFill/>
                    <a:ln w="9525">
                      <a:noFill/>
                    </a:ln>
                  </pic:spPr>
                </pic:pic>
              </a:graphicData>
            </a:graphic>
          </wp:inline>
        </w:drawing>
      </w:r>
    </w:p>
    <w:p w14:paraId="721796F4">
      <w:pPr>
        <w:jc w:val="center"/>
        <w:rPr>
          <w:rFonts w:ascii="Times New Roman" w:hAnsi="Times New Roman" w:cs="Times New Roman"/>
          <w:color w:val="auto"/>
          <w:sz w:val="22"/>
          <w:szCs w:val="28"/>
        </w:rPr>
      </w:pPr>
      <w:r>
        <w:rPr>
          <w:rFonts w:ascii="Times New Roman" w:hAnsi="Times New Roman" w:cs="Times New Roman"/>
          <w:color w:val="auto"/>
          <w:sz w:val="22"/>
          <w:szCs w:val="28"/>
        </w:rPr>
        <w:t>Figure 2 Changes in the 4 dimensions of the ATEC scale in four ASD patients</w:t>
      </w:r>
    </w:p>
    <w:p w14:paraId="0E06F226">
      <w:pPr>
        <w:jc w:val="center"/>
        <w:rPr>
          <w:rFonts w:ascii="Times New Roman" w:hAnsi="Times New Roman" w:cs="Times New Roman"/>
          <w:color w:val="auto"/>
          <w:sz w:val="22"/>
          <w:szCs w:val="28"/>
        </w:rPr>
      </w:pPr>
    </w:p>
    <w:p w14:paraId="3B8457AC">
      <w:pPr>
        <w:rPr>
          <w:rFonts w:ascii="Times New Roman" w:hAnsi="Times New Roman" w:cs="Times New Roman"/>
          <w:color w:val="auto"/>
          <w:sz w:val="22"/>
          <w:szCs w:val="28"/>
        </w:rPr>
      </w:pPr>
      <w:r>
        <w:rPr>
          <w:rFonts w:ascii="Times New Roman" w:hAnsi="Times New Roman" w:cs="Times New Roman"/>
          <w:color w:val="auto"/>
          <w:sz w:val="22"/>
          <w:szCs w:val="28"/>
        </w:rPr>
        <w:br w:type="page"/>
      </w:r>
    </w:p>
    <w:p w14:paraId="5F244058">
      <w:pPr>
        <w:jc w:val="center"/>
        <w:rPr>
          <w:rFonts w:ascii="Times New Roman" w:hAnsi="Times New Roman" w:cs="Times New Roman"/>
          <w:color w:val="auto"/>
          <w:sz w:val="22"/>
          <w:szCs w:val="28"/>
        </w:rPr>
      </w:pPr>
      <w:r>
        <w:rPr>
          <w:rFonts w:ascii="Times New Roman" w:hAnsi="Times New Roman" w:cs="Times New Roman"/>
          <w:color w:val="auto"/>
          <w:sz w:val="22"/>
          <w:szCs w:val="28"/>
          <w:highlight w:val="none"/>
        </w:rPr>
        <w:t xml:space="preserve">Table </w:t>
      </w:r>
      <w:r>
        <w:rPr>
          <w:rFonts w:hint="eastAsia" w:ascii="Times New Roman" w:hAnsi="Times New Roman" w:cs="Times New Roman"/>
          <w:color w:val="auto"/>
          <w:sz w:val="22"/>
          <w:szCs w:val="28"/>
          <w:highlight w:val="none"/>
        </w:rPr>
        <w:t>3</w:t>
      </w:r>
      <w:r>
        <w:rPr>
          <w:rFonts w:ascii="Times New Roman" w:hAnsi="Times New Roman" w:cs="Times New Roman"/>
          <w:color w:val="auto"/>
          <w:sz w:val="22"/>
          <w:szCs w:val="28"/>
          <w:highlight w:val="none"/>
        </w:rPr>
        <w:t xml:space="preserve"> </w:t>
      </w:r>
      <w:r>
        <w:rPr>
          <w:rFonts w:hint="eastAsia" w:ascii="Times New Roman" w:hAnsi="Times New Roman" w:cs="Times New Roman"/>
          <w:color w:val="auto"/>
          <w:sz w:val="22"/>
          <w:szCs w:val="28"/>
          <w:highlight w:val="none"/>
        </w:rPr>
        <w:t>Table 3 Observed levels of T cell subsets and cytokines before and after treatment</w:t>
      </w:r>
    </w:p>
    <w:tbl>
      <w:tblPr>
        <w:tblStyle w:val="10"/>
        <w:tblW w:w="9326" w:type="dxa"/>
        <w:tblInd w:w="98" w:type="dxa"/>
        <w:tblLayout w:type="fixed"/>
        <w:tblCellMar>
          <w:top w:w="0" w:type="dxa"/>
          <w:left w:w="108" w:type="dxa"/>
          <w:bottom w:w="0" w:type="dxa"/>
          <w:right w:w="108" w:type="dxa"/>
        </w:tblCellMar>
      </w:tblPr>
      <w:tblGrid>
        <w:gridCol w:w="1170"/>
        <w:gridCol w:w="931"/>
        <w:gridCol w:w="903"/>
        <w:gridCol w:w="903"/>
        <w:gridCol w:w="903"/>
        <w:gridCol w:w="903"/>
        <w:gridCol w:w="903"/>
        <w:gridCol w:w="903"/>
        <w:gridCol w:w="903"/>
        <w:gridCol w:w="904"/>
      </w:tblGrid>
      <w:tr w14:paraId="131D8DC7">
        <w:tblPrEx>
          <w:tblCellMar>
            <w:top w:w="0" w:type="dxa"/>
            <w:left w:w="108" w:type="dxa"/>
            <w:bottom w:w="0" w:type="dxa"/>
            <w:right w:w="108" w:type="dxa"/>
          </w:tblCellMar>
        </w:tblPrEx>
        <w:trPr>
          <w:trHeight w:val="295" w:hRule="atLeast"/>
        </w:trPr>
        <w:tc>
          <w:tcPr>
            <w:tcW w:w="1170" w:type="dxa"/>
            <w:tcBorders>
              <w:top w:val="single" w:color="000000" w:sz="12" w:space="0"/>
              <w:left w:val="nil"/>
              <w:bottom w:val="nil"/>
              <w:right w:val="nil"/>
            </w:tcBorders>
            <w:shd w:val="clear" w:color="auto" w:fill="auto"/>
            <w:noWrap/>
            <w:vAlign w:val="center"/>
          </w:tcPr>
          <w:p w14:paraId="0CC5482A">
            <w:pPr>
              <w:rPr>
                <w:rFonts w:ascii="Times New Roman" w:hAnsi="Times New Roman" w:eastAsia="宋体" w:cs="Times New Roman"/>
                <w:color w:val="auto"/>
                <w:sz w:val="20"/>
                <w:szCs w:val="20"/>
                <w:highlight w:val="none"/>
              </w:rPr>
            </w:pPr>
          </w:p>
        </w:tc>
        <w:tc>
          <w:tcPr>
            <w:tcW w:w="931" w:type="dxa"/>
            <w:vMerge w:val="restart"/>
            <w:tcBorders>
              <w:top w:val="single" w:color="000000" w:sz="12" w:space="0"/>
              <w:left w:val="nil"/>
              <w:right w:val="nil"/>
            </w:tcBorders>
            <w:shd w:val="clear" w:color="auto" w:fill="auto"/>
            <w:noWrap/>
            <w:vAlign w:val="center"/>
          </w:tcPr>
          <w:p w14:paraId="33EA7A9A">
            <w:pPr>
              <w:widowControl/>
              <w:jc w:val="center"/>
              <w:textAlignment w:val="center"/>
              <w:rPr>
                <w:rFonts w:hint="default" w:ascii="Times New Roman" w:hAnsi="Times New Roman" w:eastAsia="宋体" w:cs="Times New Roman"/>
                <w:color w:val="auto"/>
                <w:kern w:val="0"/>
                <w:sz w:val="20"/>
                <w:szCs w:val="20"/>
                <w:highlight w:val="none"/>
                <w:lang w:val="en-US" w:eastAsia="zh-CN" w:bidi="ar"/>
              </w:rPr>
            </w:pPr>
            <w:r>
              <w:rPr>
                <w:rFonts w:hint="default" w:ascii="Times New Roman" w:hAnsi="Times New Roman" w:eastAsia="宋体" w:cs="Times New Roman"/>
                <w:color w:val="auto"/>
                <w:kern w:val="0"/>
                <w:sz w:val="20"/>
                <w:szCs w:val="20"/>
                <w:highlight w:val="none"/>
                <w:lang w:val="en-US" w:eastAsia="zh-CN" w:bidi="ar"/>
              </w:rPr>
              <w:t>a healthy child</w:t>
            </w:r>
          </w:p>
        </w:tc>
        <w:tc>
          <w:tcPr>
            <w:tcW w:w="1806" w:type="dxa"/>
            <w:gridSpan w:val="2"/>
            <w:tcBorders>
              <w:top w:val="single" w:color="000000" w:sz="12" w:space="0"/>
              <w:left w:val="nil"/>
              <w:bottom w:val="nil"/>
              <w:right w:val="nil"/>
            </w:tcBorders>
            <w:shd w:val="clear" w:color="auto" w:fill="auto"/>
            <w:noWrap/>
            <w:vAlign w:val="center"/>
          </w:tcPr>
          <w:p w14:paraId="076E1EB8">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Patient 1</w:t>
            </w:r>
          </w:p>
        </w:tc>
        <w:tc>
          <w:tcPr>
            <w:tcW w:w="1806" w:type="dxa"/>
            <w:gridSpan w:val="2"/>
            <w:tcBorders>
              <w:top w:val="single" w:color="000000" w:sz="12" w:space="0"/>
              <w:left w:val="nil"/>
              <w:bottom w:val="nil"/>
              <w:right w:val="nil"/>
            </w:tcBorders>
            <w:shd w:val="clear" w:color="auto" w:fill="auto"/>
            <w:noWrap/>
            <w:vAlign w:val="center"/>
          </w:tcPr>
          <w:p w14:paraId="269D39CF">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Patient 2</w:t>
            </w:r>
          </w:p>
        </w:tc>
        <w:tc>
          <w:tcPr>
            <w:tcW w:w="1806" w:type="dxa"/>
            <w:gridSpan w:val="2"/>
            <w:tcBorders>
              <w:top w:val="single" w:color="000000" w:sz="12" w:space="0"/>
              <w:left w:val="nil"/>
              <w:bottom w:val="nil"/>
              <w:right w:val="nil"/>
            </w:tcBorders>
            <w:shd w:val="clear" w:color="auto" w:fill="auto"/>
            <w:noWrap/>
            <w:vAlign w:val="center"/>
          </w:tcPr>
          <w:p w14:paraId="78BF802E">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Patient 3</w:t>
            </w:r>
          </w:p>
        </w:tc>
        <w:tc>
          <w:tcPr>
            <w:tcW w:w="1807" w:type="dxa"/>
            <w:gridSpan w:val="2"/>
            <w:tcBorders>
              <w:top w:val="single" w:color="000000" w:sz="12" w:space="0"/>
              <w:left w:val="nil"/>
              <w:bottom w:val="nil"/>
              <w:right w:val="nil"/>
            </w:tcBorders>
            <w:shd w:val="clear" w:color="auto" w:fill="auto"/>
            <w:noWrap/>
            <w:vAlign w:val="center"/>
          </w:tcPr>
          <w:p w14:paraId="65A55793">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Patient 4</w:t>
            </w:r>
          </w:p>
        </w:tc>
      </w:tr>
      <w:tr w14:paraId="25EA1F10">
        <w:tblPrEx>
          <w:tblCellMar>
            <w:top w:w="0" w:type="dxa"/>
            <w:left w:w="108" w:type="dxa"/>
            <w:bottom w:w="0" w:type="dxa"/>
            <w:right w:w="108" w:type="dxa"/>
          </w:tblCellMar>
        </w:tblPrEx>
        <w:trPr>
          <w:trHeight w:val="295" w:hRule="atLeast"/>
        </w:trPr>
        <w:tc>
          <w:tcPr>
            <w:tcW w:w="1170" w:type="dxa"/>
            <w:tcBorders>
              <w:top w:val="nil"/>
              <w:left w:val="nil"/>
              <w:bottom w:val="single" w:color="000000" w:sz="8" w:space="0"/>
              <w:right w:val="nil"/>
            </w:tcBorders>
            <w:shd w:val="clear" w:color="auto" w:fill="auto"/>
            <w:noWrap/>
            <w:vAlign w:val="center"/>
          </w:tcPr>
          <w:p w14:paraId="6FD4C9EE">
            <w:pPr>
              <w:jc w:val="center"/>
              <w:rPr>
                <w:rFonts w:ascii="Times New Roman" w:hAnsi="Times New Roman" w:eastAsia="宋体" w:cs="Times New Roman"/>
                <w:color w:val="auto"/>
                <w:sz w:val="20"/>
                <w:szCs w:val="20"/>
                <w:highlight w:val="none"/>
              </w:rPr>
            </w:pPr>
          </w:p>
        </w:tc>
        <w:tc>
          <w:tcPr>
            <w:tcW w:w="931" w:type="dxa"/>
            <w:vMerge w:val="continue"/>
            <w:tcBorders>
              <w:left w:val="nil"/>
              <w:bottom w:val="single" w:color="000000" w:sz="8" w:space="0"/>
              <w:right w:val="nil"/>
            </w:tcBorders>
            <w:shd w:val="clear" w:color="auto" w:fill="auto"/>
            <w:noWrap/>
            <w:vAlign w:val="center"/>
          </w:tcPr>
          <w:p w14:paraId="6DF86FBA">
            <w:pPr>
              <w:widowControl/>
              <w:jc w:val="center"/>
              <w:textAlignment w:val="center"/>
              <w:rPr>
                <w:rFonts w:ascii="Times New Roman" w:hAnsi="Times New Roman" w:eastAsia="宋体" w:cs="Times New Roman"/>
                <w:color w:val="auto"/>
                <w:kern w:val="0"/>
                <w:sz w:val="20"/>
                <w:szCs w:val="20"/>
                <w:highlight w:val="none"/>
                <w:lang w:bidi="ar"/>
              </w:rPr>
            </w:pPr>
          </w:p>
        </w:tc>
        <w:tc>
          <w:tcPr>
            <w:tcW w:w="903" w:type="dxa"/>
            <w:tcBorders>
              <w:top w:val="nil"/>
              <w:left w:val="nil"/>
              <w:bottom w:val="single" w:color="000000" w:sz="8" w:space="0"/>
              <w:right w:val="nil"/>
            </w:tcBorders>
            <w:shd w:val="clear" w:color="auto" w:fill="auto"/>
            <w:noWrap/>
            <w:vAlign w:val="center"/>
          </w:tcPr>
          <w:p w14:paraId="5153A9F8">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Before</w:t>
            </w:r>
          </w:p>
        </w:tc>
        <w:tc>
          <w:tcPr>
            <w:tcW w:w="903" w:type="dxa"/>
            <w:tcBorders>
              <w:top w:val="nil"/>
              <w:left w:val="nil"/>
              <w:bottom w:val="single" w:color="000000" w:sz="8" w:space="0"/>
              <w:right w:val="nil"/>
            </w:tcBorders>
            <w:shd w:val="clear" w:color="auto" w:fill="auto"/>
            <w:noWrap/>
            <w:vAlign w:val="center"/>
          </w:tcPr>
          <w:p w14:paraId="11AC6856">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After</w:t>
            </w:r>
          </w:p>
        </w:tc>
        <w:tc>
          <w:tcPr>
            <w:tcW w:w="903" w:type="dxa"/>
            <w:tcBorders>
              <w:top w:val="nil"/>
              <w:left w:val="nil"/>
              <w:bottom w:val="single" w:color="000000" w:sz="8" w:space="0"/>
              <w:right w:val="nil"/>
            </w:tcBorders>
            <w:shd w:val="clear" w:color="auto" w:fill="auto"/>
            <w:noWrap/>
            <w:vAlign w:val="center"/>
          </w:tcPr>
          <w:p w14:paraId="1E2B6B88">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Before</w:t>
            </w:r>
          </w:p>
        </w:tc>
        <w:tc>
          <w:tcPr>
            <w:tcW w:w="903" w:type="dxa"/>
            <w:tcBorders>
              <w:top w:val="nil"/>
              <w:left w:val="nil"/>
              <w:bottom w:val="single" w:color="000000" w:sz="8" w:space="0"/>
              <w:right w:val="nil"/>
            </w:tcBorders>
            <w:shd w:val="clear" w:color="auto" w:fill="auto"/>
            <w:noWrap/>
            <w:vAlign w:val="center"/>
          </w:tcPr>
          <w:p w14:paraId="02C91468">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After</w:t>
            </w:r>
          </w:p>
        </w:tc>
        <w:tc>
          <w:tcPr>
            <w:tcW w:w="903" w:type="dxa"/>
            <w:tcBorders>
              <w:top w:val="nil"/>
              <w:left w:val="nil"/>
              <w:bottom w:val="single" w:color="000000" w:sz="8" w:space="0"/>
              <w:right w:val="nil"/>
            </w:tcBorders>
            <w:shd w:val="clear" w:color="auto" w:fill="auto"/>
            <w:noWrap/>
            <w:vAlign w:val="center"/>
          </w:tcPr>
          <w:p w14:paraId="77207EA5">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Before</w:t>
            </w:r>
          </w:p>
        </w:tc>
        <w:tc>
          <w:tcPr>
            <w:tcW w:w="903" w:type="dxa"/>
            <w:tcBorders>
              <w:top w:val="nil"/>
              <w:left w:val="nil"/>
              <w:bottom w:val="single" w:color="000000" w:sz="8" w:space="0"/>
              <w:right w:val="nil"/>
            </w:tcBorders>
            <w:shd w:val="clear" w:color="auto" w:fill="auto"/>
            <w:noWrap/>
            <w:vAlign w:val="center"/>
          </w:tcPr>
          <w:p w14:paraId="34A767DF">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After</w:t>
            </w:r>
          </w:p>
        </w:tc>
        <w:tc>
          <w:tcPr>
            <w:tcW w:w="903" w:type="dxa"/>
            <w:tcBorders>
              <w:top w:val="nil"/>
              <w:left w:val="nil"/>
              <w:bottom w:val="single" w:color="000000" w:sz="8" w:space="0"/>
              <w:right w:val="nil"/>
            </w:tcBorders>
            <w:shd w:val="clear" w:color="auto" w:fill="auto"/>
            <w:noWrap/>
            <w:vAlign w:val="center"/>
          </w:tcPr>
          <w:p w14:paraId="15489E05">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Before</w:t>
            </w:r>
          </w:p>
        </w:tc>
        <w:tc>
          <w:tcPr>
            <w:tcW w:w="904" w:type="dxa"/>
            <w:tcBorders>
              <w:top w:val="nil"/>
              <w:left w:val="nil"/>
              <w:bottom w:val="single" w:color="000000" w:sz="8" w:space="0"/>
              <w:right w:val="nil"/>
            </w:tcBorders>
            <w:shd w:val="clear" w:color="auto" w:fill="auto"/>
            <w:noWrap/>
            <w:vAlign w:val="center"/>
          </w:tcPr>
          <w:p w14:paraId="1DE2EEA6">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After</w:t>
            </w:r>
          </w:p>
        </w:tc>
      </w:tr>
      <w:tr w14:paraId="61E29259">
        <w:trPr>
          <w:trHeight w:val="280" w:hRule="atLeast"/>
        </w:trPr>
        <w:tc>
          <w:tcPr>
            <w:tcW w:w="1170" w:type="dxa"/>
            <w:tcBorders>
              <w:top w:val="nil"/>
              <w:left w:val="nil"/>
              <w:bottom w:val="nil"/>
              <w:right w:val="nil"/>
            </w:tcBorders>
            <w:shd w:val="clear" w:color="auto" w:fill="auto"/>
            <w:noWrap/>
            <w:vAlign w:val="center"/>
          </w:tcPr>
          <w:p w14:paraId="21B66A9A">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Treg</w:t>
            </w:r>
          </w:p>
        </w:tc>
        <w:tc>
          <w:tcPr>
            <w:tcW w:w="931" w:type="dxa"/>
            <w:tcBorders>
              <w:top w:val="nil"/>
              <w:left w:val="nil"/>
              <w:bottom w:val="nil"/>
              <w:right w:val="nil"/>
            </w:tcBorders>
            <w:shd w:val="clear" w:color="auto" w:fill="auto"/>
            <w:noWrap/>
            <w:vAlign w:val="center"/>
          </w:tcPr>
          <w:p w14:paraId="0FC4F537">
            <w:pPr>
              <w:keepNext w:val="0"/>
              <w:keepLines w:val="0"/>
              <w:widowControl/>
              <w:suppressLineNumbers w:val="0"/>
              <w:jc w:val="center"/>
              <w:textAlignment w:val="center"/>
              <w:rPr>
                <w:rFonts w:ascii="Times New Roman" w:hAnsi="Times New Roman" w:eastAsia="宋体" w:cs="Times New Roman"/>
                <w:color w:val="auto"/>
                <w:kern w:val="0"/>
                <w:sz w:val="20"/>
                <w:szCs w:val="20"/>
                <w:highlight w:val="none"/>
                <w:lang w:bidi="ar"/>
              </w:rPr>
            </w:pPr>
            <w:r>
              <w:rPr>
                <w:rFonts w:hint="default" w:ascii="Times New Roman" w:hAnsi="Times New Roman" w:eastAsia="宋体" w:cs="Times New Roman"/>
                <w:i w:val="0"/>
                <w:iCs w:val="0"/>
                <w:color w:val="auto"/>
                <w:kern w:val="0"/>
                <w:sz w:val="20"/>
                <w:szCs w:val="20"/>
                <w:highlight w:val="none"/>
                <w:u w:val="none"/>
                <w:lang w:val="en-US" w:eastAsia="zh-CN" w:bidi="ar"/>
              </w:rPr>
              <w:t>5.53</w:t>
            </w:r>
          </w:p>
        </w:tc>
        <w:tc>
          <w:tcPr>
            <w:tcW w:w="903" w:type="dxa"/>
            <w:tcBorders>
              <w:top w:val="nil"/>
              <w:left w:val="nil"/>
              <w:bottom w:val="nil"/>
              <w:right w:val="nil"/>
            </w:tcBorders>
            <w:shd w:val="clear" w:color="auto" w:fill="auto"/>
            <w:noWrap/>
            <w:vAlign w:val="center"/>
          </w:tcPr>
          <w:p w14:paraId="6E245BDA">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3.10</w:t>
            </w:r>
          </w:p>
        </w:tc>
        <w:tc>
          <w:tcPr>
            <w:tcW w:w="903" w:type="dxa"/>
            <w:tcBorders>
              <w:top w:val="nil"/>
              <w:left w:val="nil"/>
              <w:bottom w:val="nil"/>
              <w:right w:val="nil"/>
            </w:tcBorders>
            <w:shd w:val="clear" w:color="auto" w:fill="auto"/>
            <w:noWrap/>
            <w:vAlign w:val="center"/>
          </w:tcPr>
          <w:p w14:paraId="03E4A619">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2.75</w:t>
            </w:r>
          </w:p>
        </w:tc>
        <w:tc>
          <w:tcPr>
            <w:tcW w:w="903" w:type="dxa"/>
            <w:tcBorders>
              <w:top w:val="nil"/>
              <w:left w:val="nil"/>
              <w:bottom w:val="nil"/>
              <w:right w:val="nil"/>
            </w:tcBorders>
            <w:shd w:val="clear" w:color="auto" w:fill="auto"/>
            <w:noWrap/>
            <w:vAlign w:val="center"/>
          </w:tcPr>
          <w:p w14:paraId="75C4AFC5">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0.40</w:t>
            </w:r>
          </w:p>
        </w:tc>
        <w:tc>
          <w:tcPr>
            <w:tcW w:w="903" w:type="dxa"/>
            <w:tcBorders>
              <w:top w:val="nil"/>
              <w:left w:val="nil"/>
              <w:bottom w:val="nil"/>
              <w:right w:val="nil"/>
            </w:tcBorders>
            <w:shd w:val="clear" w:color="auto" w:fill="auto"/>
            <w:noWrap/>
            <w:vAlign w:val="center"/>
          </w:tcPr>
          <w:p w14:paraId="15981C98">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4.93</w:t>
            </w:r>
          </w:p>
        </w:tc>
        <w:tc>
          <w:tcPr>
            <w:tcW w:w="903" w:type="dxa"/>
            <w:tcBorders>
              <w:top w:val="nil"/>
              <w:left w:val="nil"/>
              <w:bottom w:val="nil"/>
              <w:right w:val="nil"/>
            </w:tcBorders>
            <w:shd w:val="clear" w:color="auto" w:fill="auto"/>
            <w:noWrap/>
            <w:vAlign w:val="center"/>
          </w:tcPr>
          <w:p w14:paraId="078DA8CC">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2.91</w:t>
            </w:r>
          </w:p>
        </w:tc>
        <w:tc>
          <w:tcPr>
            <w:tcW w:w="903" w:type="dxa"/>
            <w:tcBorders>
              <w:top w:val="nil"/>
              <w:left w:val="nil"/>
              <w:bottom w:val="nil"/>
              <w:right w:val="nil"/>
            </w:tcBorders>
            <w:shd w:val="clear" w:color="auto" w:fill="auto"/>
            <w:noWrap/>
            <w:vAlign w:val="center"/>
          </w:tcPr>
          <w:p w14:paraId="609148B7">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3.77</w:t>
            </w:r>
          </w:p>
        </w:tc>
        <w:tc>
          <w:tcPr>
            <w:tcW w:w="903" w:type="dxa"/>
            <w:tcBorders>
              <w:top w:val="nil"/>
              <w:left w:val="nil"/>
              <w:bottom w:val="nil"/>
              <w:right w:val="nil"/>
            </w:tcBorders>
            <w:shd w:val="clear" w:color="auto" w:fill="auto"/>
            <w:noWrap/>
            <w:vAlign w:val="center"/>
          </w:tcPr>
          <w:p w14:paraId="409F6D92">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2.21</w:t>
            </w:r>
          </w:p>
        </w:tc>
        <w:tc>
          <w:tcPr>
            <w:tcW w:w="904" w:type="dxa"/>
            <w:tcBorders>
              <w:top w:val="nil"/>
              <w:left w:val="nil"/>
              <w:bottom w:val="nil"/>
              <w:right w:val="nil"/>
            </w:tcBorders>
            <w:shd w:val="clear" w:color="auto" w:fill="auto"/>
            <w:noWrap/>
            <w:vAlign w:val="center"/>
          </w:tcPr>
          <w:p w14:paraId="3F3B52C1">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2.67</w:t>
            </w:r>
          </w:p>
        </w:tc>
      </w:tr>
      <w:tr w14:paraId="5C80121C">
        <w:tblPrEx>
          <w:tblCellMar>
            <w:top w:w="0" w:type="dxa"/>
            <w:left w:w="108" w:type="dxa"/>
            <w:bottom w:w="0" w:type="dxa"/>
            <w:right w:w="108" w:type="dxa"/>
          </w:tblCellMar>
        </w:tblPrEx>
        <w:trPr>
          <w:trHeight w:val="280" w:hRule="atLeast"/>
        </w:trPr>
        <w:tc>
          <w:tcPr>
            <w:tcW w:w="1170" w:type="dxa"/>
            <w:tcBorders>
              <w:top w:val="nil"/>
              <w:left w:val="nil"/>
              <w:bottom w:val="nil"/>
              <w:right w:val="nil"/>
            </w:tcBorders>
            <w:shd w:val="clear" w:color="auto" w:fill="auto"/>
            <w:noWrap/>
            <w:vAlign w:val="center"/>
          </w:tcPr>
          <w:p w14:paraId="4C15512C">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Tfh</w:t>
            </w:r>
          </w:p>
        </w:tc>
        <w:tc>
          <w:tcPr>
            <w:tcW w:w="931" w:type="dxa"/>
            <w:tcBorders>
              <w:top w:val="nil"/>
              <w:left w:val="nil"/>
              <w:bottom w:val="nil"/>
              <w:right w:val="nil"/>
            </w:tcBorders>
            <w:shd w:val="clear" w:color="auto" w:fill="auto"/>
            <w:noWrap/>
            <w:vAlign w:val="center"/>
          </w:tcPr>
          <w:p w14:paraId="0088C083">
            <w:pPr>
              <w:keepNext w:val="0"/>
              <w:keepLines w:val="0"/>
              <w:widowControl/>
              <w:suppressLineNumbers w:val="0"/>
              <w:jc w:val="center"/>
              <w:textAlignment w:val="center"/>
              <w:rPr>
                <w:rFonts w:ascii="Times New Roman" w:hAnsi="Times New Roman" w:eastAsia="宋体" w:cs="Times New Roman"/>
                <w:color w:val="auto"/>
                <w:kern w:val="0"/>
                <w:sz w:val="20"/>
                <w:szCs w:val="20"/>
                <w:highlight w:val="none"/>
                <w:lang w:bidi="ar"/>
              </w:rPr>
            </w:pPr>
            <w:r>
              <w:rPr>
                <w:rFonts w:hint="default" w:ascii="Times New Roman" w:hAnsi="Times New Roman" w:eastAsia="宋体" w:cs="Times New Roman"/>
                <w:i w:val="0"/>
                <w:iCs w:val="0"/>
                <w:color w:val="auto"/>
                <w:kern w:val="0"/>
                <w:sz w:val="20"/>
                <w:szCs w:val="20"/>
                <w:highlight w:val="none"/>
                <w:u w:val="none"/>
                <w:lang w:val="en-US" w:eastAsia="zh-CN" w:bidi="ar"/>
              </w:rPr>
              <w:t>-</w:t>
            </w:r>
          </w:p>
        </w:tc>
        <w:tc>
          <w:tcPr>
            <w:tcW w:w="903" w:type="dxa"/>
            <w:tcBorders>
              <w:top w:val="nil"/>
              <w:left w:val="nil"/>
              <w:bottom w:val="nil"/>
              <w:right w:val="nil"/>
            </w:tcBorders>
            <w:shd w:val="clear" w:color="auto" w:fill="auto"/>
            <w:noWrap/>
            <w:vAlign w:val="center"/>
          </w:tcPr>
          <w:p w14:paraId="68D7F3F3">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0.03</w:t>
            </w:r>
          </w:p>
        </w:tc>
        <w:tc>
          <w:tcPr>
            <w:tcW w:w="903" w:type="dxa"/>
            <w:tcBorders>
              <w:top w:val="nil"/>
              <w:left w:val="nil"/>
              <w:bottom w:val="nil"/>
              <w:right w:val="nil"/>
            </w:tcBorders>
            <w:shd w:val="clear" w:color="auto" w:fill="auto"/>
            <w:noWrap/>
            <w:vAlign w:val="center"/>
          </w:tcPr>
          <w:p w14:paraId="3FB6B1DB">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0.29</w:t>
            </w:r>
          </w:p>
        </w:tc>
        <w:tc>
          <w:tcPr>
            <w:tcW w:w="903" w:type="dxa"/>
            <w:tcBorders>
              <w:top w:val="nil"/>
              <w:left w:val="nil"/>
              <w:bottom w:val="nil"/>
              <w:right w:val="nil"/>
            </w:tcBorders>
            <w:shd w:val="clear" w:color="auto" w:fill="auto"/>
            <w:noWrap/>
            <w:vAlign w:val="center"/>
          </w:tcPr>
          <w:p w14:paraId="5ED1ECB5">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0.26</w:t>
            </w:r>
          </w:p>
        </w:tc>
        <w:tc>
          <w:tcPr>
            <w:tcW w:w="903" w:type="dxa"/>
            <w:tcBorders>
              <w:top w:val="nil"/>
              <w:left w:val="nil"/>
              <w:bottom w:val="nil"/>
              <w:right w:val="nil"/>
            </w:tcBorders>
            <w:shd w:val="clear" w:color="auto" w:fill="auto"/>
            <w:noWrap/>
            <w:vAlign w:val="center"/>
          </w:tcPr>
          <w:p w14:paraId="3672C6E7">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0.28</w:t>
            </w:r>
          </w:p>
        </w:tc>
        <w:tc>
          <w:tcPr>
            <w:tcW w:w="903" w:type="dxa"/>
            <w:tcBorders>
              <w:top w:val="nil"/>
              <w:left w:val="nil"/>
              <w:bottom w:val="nil"/>
              <w:right w:val="nil"/>
            </w:tcBorders>
            <w:shd w:val="clear" w:color="auto" w:fill="auto"/>
            <w:noWrap/>
            <w:vAlign w:val="center"/>
          </w:tcPr>
          <w:p w14:paraId="6C455C04">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0.29</w:t>
            </w:r>
          </w:p>
        </w:tc>
        <w:tc>
          <w:tcPr>
            <w:tcW w:w="903" w:type="dxa"/>
            <w:tcBorders>
              <w:top w:val="nil"/>
              <w:left w:val="nil"/>
              <w:bottom w:val="nil"/>
              <w:right w:val="nil"/>
            </w:tcBorders>
            <w:shd w:val="clear" w:color="auto" w:fill="auto"/>
            <w:noWrap/>
            <w:vAlign w:val="center"/>
          </w:tcPr>
          <w:p w14:paraId="3BE7E5F6">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0.46</w:t>
            </w:r>
          </w:p>
        </w:tc>
        <w:tc>
          <w:tcPr>
            <w:tcW w:w="903" w:type="dxa"/>
            <w:tcBorders>
              <w:top w:val="nil"/>
              <w:left w:val="nil"/>
              <w:bottom w:val="nil"/>
              <w:right w:val="nil"/>
            </w:tcBorders>
            <w:shd w:val="clear" w:color="auto" w:fill="auto"/>
            <w:noWrap/>
            <w:vAlign w:val="center"/>
          </w:tcPr>
          <w:p w14:paraId="4A6DE668">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1.56</w:t>
            </w:r>
          </w:p>
        </w:tc>
        <w:tc>
          <w:tcPr>
            <w:tcW w:w="904" w:type="dxa"/>
            <w:tcBorders>
              <w:top w:val="nil"/>
              <w:left w:val="nil"/>
              <w:bottom w:val="nil"/>
              <w:right w:val="nil"/>
            </w:tcBorders>
            <w:shd w:val="clear" w:color="auto" w:fill="auto"/>
            <w:noWrap/>
            <w:vAlign w:val="center"/>
          </w:tcPr>
          <w:p w14:paraId="752D0E07">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0.48</w:t>
            </w:r>
          </w:p>
        </w:tc>
      </w:tr>
      <w:tr w14:paraId="3DE9754A">
        <w:tblPrEx>
          <w:tblCellMar>
            <w:top w:w="0" w:type="dxa"/>
            <w:left w:w="108" w:type="dxa"/>
            <w:bottom w:w="0" w:type="dxa"/>
            <w:right w:w="108" w:type="dxa"/>
          </w:tblCellMar>
        </w:tblPrEx>
        <w:trPr>
          <w:trHeight w:val="280" w:hRule="atLeast"/>
        </w:trPr>
        <w:tc>
          <w:tcPr>
            <w:tcW w:w="1170" w:type="dxa"/>
            <w:tcBorders>
              <w:top w:val="nil"/>
              <w:left w:val="nil"/>
              <w:bottom w:val="nil"/>
              <w:right w:val="nil"/>
            </w:tcBorders>
            <w:shd w:val="clear" w:color="auto" w:fill="auto"/>
            <w:noWrap/>
            <w:vAlign w:val="center"/>
          </w:tcPr>
          <w:p w14:paraId="3843A7D8">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Th1</w:t>
            </w:r>
          </w:p>
        </w:tc>
        <w:tc>
          <w:tcPr>
            <w:tcW w:w="931" w:type="dxa"/>
            <w:tcBorders>
              <w:top w:val="nil"/>
              <w:left w:val="nil"/>
              <w:bottom w:val="nil"/>
              <w:right w:val="nil"/>
            </w:tcBorders>
            <w:shd w:val="clear" w:color="auto" w:fill="auto"/>
            <w:noWrap/>
            <w:vAlign w:val="center"/>
          </w:tcPr>
          <w:p w14:paraId="0B789E02">
            <w:pPr>
              <w:keepNext w:val="0"/>
              <w:keepLines w:val="0"/>
              <w:widowControl/>
              <w:suppressLineNumbers w:val="0"/>
              <w:jc w:val="center"/>
              <w:textAlignment w:val="center"/>
              <w:rPr>
                <w:rFonts w:ascii="Times New Roman" w:hAnsi="Times New Roman" w:eastAsia="宋体" w:cs="Times New Roman"/>
                <w:color w:val="auto"/>
                <w:kern w:val="0"/>
                <w:sz w:val="20"/>
                <w:szCs w:val="20"/>
                <w:highlight w:val="none"/>
                <w:lang w:bidi="ar"/>
              </w:rPr>
            </w:pPr>
            <w:r>
              <w:rPr>
                <w:rFonts w:hint="default" w:ascii="Times New Roman" w:hAnsi="Times New Roman" w:eastAsia="宋体" w:cs="Times New Roman"/>
                <w:i w:val="0"/>
                <w:iCs w:val="0"/>
                <w:color w:val="auto"/>
                <w:kern w:val="0"/>
                <w:sz w:val="20"/>
                <w:szCs w:val="20"/>
                <w:highlight w:val="none"/>
                <w:u w:val="none"/>
                <w:lang w:val="en-US" w:eastAsia="zh-CN" w:bidi="ar"/>
              </w:rPr>
              <w:t>1.34</w:t>
            </w:r>
          </w:p>
        </w:tc>
        <w:tc>
          <w:tcPr>
            <w:tcW w:w="903" w:type="dxa"/>
            <w:tcBorders>
              <w:top w:val="nil"/>
              <w:left w:val="nil"/>
              <w:bottom w:val="nil"/>
              <w:right w:val="nil"/>
            </w:tcBorders>
            <w:shd w:val="clear" w:color="auto" w:fill="auto"/>
            <w:noWrap/>
            <w:vAlign w:val="center"/>
          </w:tcPr>
          <w:p w14:paraId="168AE3FC">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2.50</w:t>
            </w:r>
          </w:p>
        </w:tc>
        <w:tc>
          <w:tcPr>
            <w:tcW w:w="903" w:type="dxa"/>
            <w:tcBorders>
              <w:top w:val="nil"/>
              <w:left w:val="nil"/>
              <w:bottom w:val="nil"/>
              <w:right w:val="nil"/>
            </w:tcBorders>
            <w:shd w:val="clear" w:color="auto" w:fill="auto"/>
            <w:noWrap/>
            <w:vAlign w:val="center"/>
          </w:tcPr>
          <w:p w14:paraId="6958FE34">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2.47</w:t>
            </w:r>
          </w:p>
        </w:tc>
        <w:tc>
          <w:tcPr>
            <w:tcW w:w="903" w:type="dxa"/>
            <w:tcBorders>
              <w:top w:val="nil"/>
              <w:left w:val="nil"/>
              <w:bottom w:val="nil"/>
              <w:right w:val="nil"/>
            </w:tcBorders>
            <w:shd w:val="clear" w:color="auto" w:fill="auto"/>
            <w:noWrap/>
            <w:vAlign w:val="center"/>
          </w:tcPr>
          <w:p w14:paraId="161D11EC">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1.39</w:t>
            </w:r>
          </w:p>
        </w:tc>
        <w:tc>
          <w:tcPr>
            <w:tcW w:w="903" w:type="dxa"/>
            <w:tcBorders>
              <w:top w:val="nil"/>
              <w:left w:val="nil"/>
              <w:bottom w:val="nil"/>
              <w:right w:val="nil"/>
            </w:tcBorders>
            <w:shd w:val="clear" w:color="auto" w:fill="auto"/>
            <w:noWrap/>
            <w:vAlign w:val="center"/>
          </w:tcPr>
          <w:p w14:paraId="744535F7">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1.71</w:t>
            </w:r>
          </w:p>
        </w:tc>
        <w:tc>
          <w:tcPr>
            <w:tcW w:w="903" w:type="dxa"/>
            <w:tcBorders>
              <w:top w:val="nil"/>
              <w:left w:val="nil"/>
              <w:bottom w:val="nil"/>
              <w:right w:val="nil"/>
            </w:tcBorders>
            <w:shd w:val="clear" w:color="auto" w:fill="auto"/>
            <w:noWrap/>
            <w:vAlign w:val="center"/>
          </w:tcPr>
          <w:p w14:paraId="1E343D84">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1.53</w:t>
            </w:r>
          </w:p>
        </w:tc>
        <w:tc>
          <w:tcPr>
            <w:tcW w:w="903" w:type="dxa"/>
            <w:tcBorders>
              <w:top w:val="nil"/>
              <w:left w:val="nil"/>
              <w:bottom w:val="nil"/>
              <w:right w:val="nil"/>
            </w:tcBorders>
            <w:shd w:val="clear" w:color="auto" w:fill="auto"/>
            <w:noWrap/>
            <w:vAlign w:val="center"/>
          </w:tcPr>
          <w:p w14:paraId="5528C34C">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2.13</w:t>
            </w:r>
          </w:p>
        </w:tc>
        <w:tc>
          <w:tcPr>
            <w:tcW w:w="903" w:type="dxa"/>
            <w:tcBorders>
              <w:top w:val="nil"/>
              <w:left w:val="nil"/>
              <w:bottom w:val="nil"/>
              <w:right w:val="nil"/>
            </w:tcBorders>
            <w:shd w:val="clear" w:color="auto" w:fill="auto"/>
            <w:noWrap/>
            <w:vAlign w:val="center"/>
          </w:tcPr>
          <w:p w14:paraId="17D92C5A">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0.56</w:t>
            </w:r>
          </w:p>
        </w:tc>
        <w:tc>
          <w:tcPr>
            <w:tcW w:w="904" w:type="dxa"/>
            <w:tcBorders>
              <w:top w:val="nil"/>
              <w:left w:val="nil"/>
              <w:bottom w:val="nil"/>
              <w:right w:val="nil"/>
            </w:tcBorders>
            <w:shd w:val="clear" w:color="auto" w:fill="auto"/>
            <w:noWrap/>
            <w:vAlign w:val="center"/>
          </w:tcPr>
          <w:p w14:paraId="01874833">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0.26</w:t>
            </w:r>
          </w:p>
        </w:tc>
      </w:tr>
      <w:tr w14:paraId="38EDF77A">
        <w:tblPrEx>
          <w:tblCellMar>
            <w:top w:w="0" w:type="dxa"/>
            <w:left w:w="108" w:type="dxa"/>
            <w:bottom w:w="0" w:type="dxa"/>
            <w:right w:w="108" w:type="dxa"/>
          </w:tblCellMar>
        </w:tblPrEx>
        <w:trPr>
          <w:trHeight w:val="280" w:hRule="atLeast"/>
        </w:trPr>
        <w:tc>
          <w:tcPr>
            <w:tcW w:w="1170" w:type="dxa"/>
            <w:tcBorders>
              <w:top w:val="nil"/>
              <w:left w:val="nil"/>
              <w:bottom w:val="nil"/>
              <w:right w:val="nil"/>
            </w:tcBorders>
            <w:shd w:val="clear" w:color="auto" w:fill="auto"/>
            <w:noWrap/>
            <w:vAlign w:val="center"/>
          </w:tcPr>
          <w:p w14:paraId="40456A88">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Th2</w:t>
            </w:r>
          </w:p>
        </w:tc>
        <w:tc>
          <w:tcPr>
            <w:tcW w:w="931" w:type="dxa"/>
            <w:tcBorders>
              <w:top w:val="nil"/>
              <w:left w:val="nil"/>
              <w:bottom w:val="nil"/>
              <w:right w:val="nil"/>
            </w:tcBorders>
            <w:shd w:val="clear" w:color="auto" w:fill="auto"/>
            <w:noWrap/>
            <w:vAlign w:val="center"/>
          </w:tcPr>
          <w:p w14:paraId="3FFC4487">
            <w:pPr>
              <w:keepNext w:val="0"/>
              <w:keepLines w:val="0"/>
              <w:widowControl/>
              <w:suppressLineNumbers w:val="0"/>
              <w:jc w:val="center"/>
              <w:textAlignment w:val="center"/>
              <w:rPr>
                <w:rFonts w:ascii="Times New Roman" w:hAnsi="Times New Roman" w:eastAsia="宋体" w:cs="Times New Roman"/>
                <w:color w:val="auto"/>
                <w:kern w:val="0"/>
                <w:sz w:val="20"/>
                <w:szCs w:val="20"/>
                <w:highlight w:val="none"/>
                <w:lang w:bidi="ar"/>
              </w:rPr>
            </w:pPr>
            <w:r>
              <w:rPr>
                <w:rFonts w:hint="default" w:ascii="Times New Roman" w:hAnsi="Times New Roman" w:eastAsia="宋体" w:cs="Times New Roman"/>
                <w:i w:val="0"/>
                <w:iCs w:val="0"/>
                <w:color w:val="auto"/>
                <w:kern w:val="0"/>
                <w:sz w:val="20"/>
                <w:szCs w:val="20"/>
                <w:highlight w:val="none"/>
                <w:u w:val="none"/>
                <w:lang w:val="en-US" w:eastAsia="zh-CN" w:bidi="ar"/>
              </w:rPr>
              <w:t>0.94</w:t>
            </w:r>
          </w:p>
        </w:tc>
        <w:tc>
          <w:tcPr>
            <w:tcW w:w="903" w:type="dxa"/>
            <w:tcBorders>
              <w:top w:val="nil"/>
              <w:left w:val="nil"/>
              <w:bottom w:val="nil"/>
              <w:right w:val="nil"/>
            </w:tcBorders>
            <w:shd w:val="clear" w:color="auto" w:fill="auto"/>
            <w:noWrap/>
            <w:vAlign w:val="center"/>
          </w:tcPr>
          <w:p w14:paraId="4214AFC2">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0.85</w:t>
            </w:r>
          </w:p>
        </w:tc>
        <w:tc>
          <w:tcPr>
            <w:tcW w:w="903" w:type="dxa"/>
            <w:tcBorders>
              <w:top w:val="nil"/>
              <w:left w:val="nil"/>
              <w:bottom w:val="nil"/>
              <w:right w:val="nil"/>
            </w:tcBorders>
            <w:shd w:val="clear" w:color="auto" w:fill="auto"/>
            <w:noWrap/>
            <w:vAlign w:val="center"/>
          </w:tcPr>
          <w:p w14:paraId="2EA782D7">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0.32</w:t>
            </w:r>
          </w:p>
        </w:tc>
        <w:tc>
          <w:tcPr>
            <w:tcW w:w="903" w:type="dxa"/>
            <w:tcBorders>
              <w:top w:val="nil"/>
              <w:left w:val="nil"/>
              <w:bottom w:val="nil"/>
              <w:right w:val="nil"/>
            </w:tcBorders>
            <w:shd w:val="clear" w:color="auto" w:fill="auto"/>
            <w:noWrap/>
            <w:vAlign w:val="center"/>
          </w:tcPr>
          <w:p w14:paraId="6B533204">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0.39</w:t>
            </w:r>
          </w:p>
        </w:tc>
        <w:tc>
          <w:tcPr>
            <w:tcW w:w="903" w:type="dxa"/>
            <w:tcBorders>
              <w:top w:val="nil"/>
              <w:left w:val="nil"/>
              <w:bottom w:val="nil"/>
              <w:right w:val="nil"/>
            </w:tcBorders>
            <w:shd w:val="clear" w:color="auto" w:fill="auto"/>
            <w:noWrap/>
            <w:vAlign w:val="center"/>
          </w:tcPr>
          <w:p w14:paraId="71B2C154">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0.64</w:t>
            </w:r>
          </w:p>
        </w:tc>
        <w:tc>
          <w:tcPr>
            <w:tcW w:w="903" w:type="dxa"/>
            <w:tcBorders>
              <w:top w:val="nil"/>
              <w:left w:val="nil"/>
              <w:bottom w:val="nil"/>
              <w:right w:val="nil"/>
            </w:tcBorders>
            <w:shd w:val="clear" w:color="auto" w:fill="auto"/>
            <w:noWrap/>
            <w:vAlign w:val="center"/>
          </w:tcPr>
          <w:p w14:paraId="71AFB9B6">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0.27</w:t>
            </w:r>
          </w:p>
        </w:tc>
        <w:tc>
          <w:tcPr>
            <w:tcW w:w="903" w:type="dxa"/>
            <w:tcBorders>
              <w:top w:val="nil"/>
              <w:left w:val="nil"/>
              <w:bottom w:val="nil"/>
              <w:right w:val="nil"/>
            </w:tcBorders>
            <w:shd w:val="clear" w:color="auto" w:fill="auto"/>
            <w:noWrap/>
            <w:vAlign w:val="center"/>
          </w:tcPr>
          <w:p w14:paraId="7D74613E">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0.60</w:t>
            </w:r>
          </w:p>
        </w:tc>
        <w:tc>
          <w:tcPr>
            <w:tcW w:w="903" w:type="dxa"/>
            <w:tcBorders>
              <w:top w:val="nil"/>
              <w:left w:val="nil"/>
              <w:bottom w:val="nil"/>
              <w:right w:val="nil"/>
            </w:tcBorders>
            <w:shd w:val="clear" w:color="auto" w:fill="auto"/>
            <w:noWrap/>
            <w:vAlign w:val="center"/>
          </w:tcPr>
          <w:p w14:paraId="74C3778A">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0.56</w:t>
            </w:r>
          </w:p>
        </w:tc>
        <w:tc>
          <w:tcPr>
            <w:tcW w:w="904" w:type="dxa"/>
            <w:tcBorders>
              <w:top w:val="nil"/>
              <w:left w:val="nil"/>
              <w:bottom w:val="nil"/>
              <w:right w:val="nil"/>
            </w:tcBorders>
            <w:shd w:val="clear" w:color="auto" w:fill="auto"/>
            <w:noWrap/>
            <w:vAlign w:val="center"/>
          </w:tcPr>
          <w:p w14:paraId="09CDD841">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0.57</w:t>
            </w:r>
          </w:p>
        </w:tc>
      </w:tr>
      <w:tr w14:paraId="1009BE5C">
        <w:tblPrEx>
          <w:tblCellMar>
            <w:top w:w="0" w:type="dxa"/>
            <w:left w:w="108" w:type="dxa"/>
            <w:bottom w:w="0" w:type="dxa"/>
            <w:right w:w="108" w:type="dxa"/>
          </w:tblCellMar>
        </w:tblPrEx>
        <w:trPr>
          <w:trHeight w:val="280" w:hRule="atLeast"/>
        </w:trPr>
        <w:tc>
          <w:tcPr>
            <w:tcW w:w="1170" w:type="dxa"/>
            <w:tcBorders>
              <w:top w:val="nil"/>
              <w:left w:val="nil"/>
              <w:bottom w:val="nil"/>
              <w:right w:val="nil"/>
            </w:tcBorders>
            <w:shd w:val="clear" w:color="auto" w:fill="auto"/>
            <w:noWrap/>
            <w:vAlign w:val="center"/>
          </w:tcPr>
          <w:p w14:paraId="1C3BD033">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Th17</w:t>
            </w:r>
          </w:p>
        </w:tc>
        <w:tc>
          <w:tcPr>
            <w:tcW w:w="931" w:type="dxa"/>
            <w:tcBorders>
              <w:top w:val="nil"/>
              <w:left w:val="nil"/>
              <w:bottom w:val="nil"/>
              <w:right w:val="nil"/>
            </w:tcBorders>
            <w:shd w:val="clear" w:color="auto" w:fill="auto"/>
            <w:noWrap/>
            <w:vAlign w:val="center"/>
          </w:tcPr>
          <w:p w14:paraId="029D3AE1">
            <w:pPr>
              <w:keepNext w:val="0"/>
              <w:keepLines w:val="0"/>
              <w:widowControl/>
              <w:suppressLineNumbers w:val="0"/>
              <w:jc w:val="center"/>
              <w:textAlignment w:val="center"/>
              <w:rPr>
                <w:rFonts w:ascii="Times New Roman" w:hAnsi="Times New Roman" w:eastAsia="宋体" w:cs="Times New Roman"/>
                <w:color w:val="auto"/>
                <w:kern w:val="0"/>
                <w:sz w:val="20"/>
                <w:szCs w:val="20"/>
                <w:highlight w:val="none"/>
                <w:lang w:bidi="ar"/>
              </w:rPr>
            </w:pPr>
            <w:r>
              <w:rPr>
                <w:rFonts w:hint="default" w:ascii="Times New Roman" w:hAnsi="Times New Roman" w:eastAsia="宋体" w:cs="Times New Roman"/>
                <w:i w:val="0"/>
                <w:iCs w:val="0"/>
                <w:color w:val="auto"/>
                <w:kern w:val="0"/>
                <w:sz w:val="20"/>
                <w:szCs w:val="20"/>
                <w:highlight w:val="none"/>
                <w:u w:val="none"/>
                <w:lang w:val="en-US" w:eastAsia="zh-CN" w:bidi="ar"/>
              </w:rPr>
              <w:t>0.62</w:t>
            </w:r>
          </w:p>
        </w:tc>
        <w:tc>
          <w:tcPr>
            <w:tcW w:w="903" w:type="dxa"/>
            <w:tcBorders>
              <w:top w:val="nil"/>
              <w:left w:val="nil"/>
              <w:bottom w:val="nil"/>
              <w:right w:val="nil"/>
            </w:tcBorders>
            <w:shd w:val="clear" w:color="auto" w:fill="auto"/>
            <w:noWrap/>
            <w:vAlign w:val="center"/>
          </w:tcPr>
          <w:p w14:paraId="3DAEF5F1">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0.08</w:t>
            </w:r>
          </w:p>
        </w:tc>
        <w:tc>
          <w:tcPr>
            <w:tcW w:w="903" w:type="dxa"/>
            <w:tcBorders>
              <w:top w:val="nil"/>
              <w:left w:val="nil"/>
              <w:bottom w:val="nil"/>
              <w:right w:val="nil"/>
            </w:tcBorders>
            <w:shd w:val="clear" w:color="auto" w:fill="auto"/>
            <w:noWrap/>
            <w:vAlign w:val="center"/>
          </w:tcPr>
          <w:p w14:paraId="7C1DE7FA">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0.11</w:t>
            </w:r>
          </w:p>
        </w:tc>
        <w:tc>
          <w:tcPr>
            <w:tcW w:w="903" w:type="dxa"/>
            <w:tcBorders>
              <w:top w:val="nil"/>
              <w:left w:val="nil"/>
              <w:bottom w:val="nil"/>
              <w:right w:val="nil"/>
            </w:tcBorders>
            <w:shd w:val="clear" w:color="auto" w:fill="auto"/>
            <w:noWrap/>
            <w:vAlign w:val="center"/>
          </w:tcPr>
          <w:p w14:paraId="22596253">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0.04</w:t>
            </w:r>
          </w:p>
        </w:tc>
        <w:tc>
          <w:tcPr>
            <w:tcW w:w="903" w:type="dxa"/>
            <w:tcBorders>
              <w:top w:val="nil"/>
              <w:left w:val="nil"/>
              <w:bottom w:val="nil"/>
              <w:right w:val="nil"/>
            </w:tcBorders>
            <w:shd w:val="clear" w:color="auto" w:fill="auto"/>
            <w:noWrap/>
            <w:vAlign w:val="center"/>
          </w:tcPr>
          <w:p w14:paraId="5A1DD168">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0.08</w:t>
            </w:r>
          </w:p>
        </w:tc>
        <w:tc>
          <w:tcPr>
            <w:tcW w:w="903" w:type="dxa"/>
            <w:tcBorders>
              <w:top w:val="nil"/>
              <w:left w:val="nil"/>
              <w:bottom w:val="nil"/>
              <w:right w:val="nil"/>
            </w:tcBorders>
            <w:shd w:val="clear" w:color="auto" w:fill="auto"/>
            <w:noWrap/>
            <w:vAlign w:val="center"/>
          </w:tcPr>
          <w:p w14:paraId="44F77905">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0.02</w:t>
            </w:r>
          </w:p>
        </w:tc>
        <w:tc>
          <w:tcPr>
            <w:tcW w:w="903" w:type="dxa"/>
            <w:tcBorders>
              <w:top w:val="nil"/>
              <w:left w:val="nil"/>
              <w:bottom w:val="nil"/>
              <w:right w:val="nil"/>
            </w:tcBorders>
            <w:shd w:val="clear" w:color="auto" w:fill="auto"/>
            <w:noWrap/>
            <w:vAlign w:val="center"/>
          </w:tcPr>
          <w:p w14:paraId="64EA806B">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0.32</w:t>
            </w:r>
          </w:p>
        </w:tc>
        <w:tc>
          <w:tcPr>
            <w:tcW w:w="903" w:type="dxa"/>
            <w:tcBorders>
              <w:top w:val="nil"/>
              <w:left w:val="nil"/>
              <w:bottom w:val="nil"/>
              <w:right w:val="nil"/>
            </w:tcBorders>
            <w:shd w:val="clear" w:color="auto" w:fill="auto"/>
            <w:noWrap/>
            <w:vAlign w:val="center"/>
          </w:tcPr>
          <w:p w14:paraId="134D6D47">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0.21</w:t>
            </w:r>
          </w:p>
        </w:tc>
        <w:tc>
          <w:tcPr>
            <w:tcW w:w="904" w:type="dxa"/>
            <w:tcBorders>
              <w:top w:val="nil"/>
              <w:left w:val="nil"/>
              <w:bottom w:val="nil"/>
              <w:right w:val="nil"/>
            </w:tcBorders>
            <w:shd w:val="clear" w:color="auto" w:fill="auto"/>
            <w:noWrap/>
            <w:vAlign w:val="center"/>
          </w:tcPr>
          <w:p w14:paraId="1C65FF8E">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0.68</w:t>
            </w:r>
          </w:p>
        </w:tc>
      </w:tr>
      <w:tr w14:paraId="55A5E933">
        <w:tblPrEx>
          <w:tblCellMar>
            <w:top w:w="0" w:type="dxa"/>
            <w:left w:w="108" w:type="dxa"/>
            <w:bottom w:w="0" w:type="dxa"/>
            <w:right w:w="108" w:type="dxa"/>
          </w:tblCellMar>
        </w:tblPrEx>
        <w:trPr>
          <w:trHeight w:val="280" w:hRule="atLeast"/>
        </w:trPr>
        <w:tc>
          <w:tcPr>
            <w:tcW w:w="1170" w:type="dxa"/>
            <w:tcBorders>
              <w:top w:val="nil"/>
              <w:left w:val="nil"/>
              <w:bottom w:val="nil"/>
              <w:right w:val="nil"/>
            </w:tcBorders>
            <w:shd w:val="clear" w:color="auto" w:fill="auto"/>
            <w:noWrap/>
            <w:vAlign w:val="center"/>
          </w:tcPr>
          <w:p w14:paraId="60D885BE">
            <w:pPr>
              <w:widowControl/>
              <w:jc w:val="center"/>
              <w:textAlignment w:val="center"/>
              <w:rPr>
                <w:rFonts w:ascii="Times New Roman" w:hAnsi="Times New Roman" w:eastAsia="宋体" w:cs="Times New Roman"/>
                <w:color w:val="auto"/>
                <w:sz w:val="20"/>
                <w:szCs w:val="20"/>
                <w:highlight w:val="yellow"/>
              </w:rPr>
            </w:pPr>
            <w:r>
              <w:rPr>
                <w:rFonts w:ascii="Times New Roman" w:hAnsi="Times New Roman" w:eastAsia="宋体" w:cs="Times New Roman"/>
                <w:color w:val="auto"/>
                <w:kern w:val="0"/>
                <w:sz w:val="20"/>
                <w:szCs w:val="20"/>
                <w:highlight w:val="yellow"/>
                <w:lang w:bidi="ar"/>
              </w:rPr>
              <w:t>Tc1</w:t>
            </w:r>
          </w:p>
        </w:tc>
        <w:tc>
          <w:tcPr>
            <w:tcW w:w="931" w:type="dxa"/>
            <w:tcBorders>
              <w:top w:val="nil"/>
              <w:left w:val="nil"/>
              <w:bottom w:val="nil"/>
              <w:right w:val="nil"/>
            </w:tcBorders>
            <w:shd w:val="clear" w:color="auto" w:fill="auto"/>
            <w:noWrap/>
            <w:vAlign w:val="center"/>
          </w:tcPr>
          <w:p w14:paraId="24BB50C8">
            <w:pPr>
              <w:keepNext w:val="0"/>
              <w:keepLines w:val="0"/>
              <w:widowControl/>
              <w:suppressLineNumbers w:val="0"/>
              <w:jc w:val="center"/>
              <w:textAlignment w:val="center"/>
              <w:rPr>
                <w:rFonts w:ascii="Times New Roman" w:hAnsi="Times New Roman" w:eastAsia="宋体" w:cs="Times New Roman"/>
                <w:color w:val="auto"/>
                <w:kern w:val="0"/>
                <w:sz w:val="20"/>
                <w:szCs w:val="20"/>
                <w:highlight w:val="yellow"/>
                <w:lang w:bidi="ar"/>
              </w:rPr>
            </w:pPr>
            <w:r>
              <w:rPr>
                <w:rFonts w:hint="default" w:ascii="Times New Roman" w:hAnsi="Times New Roman" w:eastAsia="宋体" w:cs="Times New Roman"/>
                <w:i w:val="0"/>
                <w:iCs w:val="0"/>
                <w:color w:val="auto"/>
                <w:kern w:val="0"/>
                <w:sz w:val="20"/>
                <w:szCs w:val="20"/>
                <w:highlight w:val="yellow"/>
                <w:u w:val="none"/>
                <w:lang w:val="en-US" w:eastAsia="zh-CN" w:bidi="ar"/>
              </w:rPr>
              <w:t>0.14</w:t>
            </w:r>
          </w:p>
        </w:tc>
        <w:tc>
          <w:tcPr>
            <w:tcW w:w="903" w:type="dxa"/>
            <w:tcBorders>
              <w:top w:val="nil"/>
              <w:left w:val="nil"/>
              <w:bottom w:val="nil"/>
              <w:right w:val="nil"/>
            </w:tcBorders>
            <w:shd w:val="clear" w:color="auto" w:fill="auto"/>
            <w:noWrap/>
            <w:vAlign w:val="center"/>
          </w:tcPr>
          <w:p w14:paraId="6D8FBE4F">
            <w:pPr>
              <w:widowControl/>
              <w:jc w:val="center"/>
              <w:textAlignment w:val="center"/>
              <w:rPr>
                <w:rFonts w:ascii="Times New Roman" w:hAnsi="Times New Roman" w:eastAsia="宋体" w:cs="Times New Roman"/>
                <w:color w:val="auto"/>
                <w:sz w:val="20"/>
                <w:szCs w:val="20"/>
                <w:highlight w:val="yellow"/>
              </w:rPr>
            </w:pPr>
            <w:r>
              <w:rPr>
                <w:rFonts w:ascii="Times New Roman" w:hAnsi="Times New Roman" w:eastAsia="宋体" w:cs="Times New Roman"/>
                <w:color w:val="auto"/>
                <w:kern w:val="0"/>
                <w:sz w:val="20"/>
                <w:szCs w:val="20"/>
                <w:highlight w:val="yellow"/>
                <w:lang w:bidi="ar"/>
              </w:rPr>
              <w:t>15.01</w:t>
            </w:r>
          </w:p>
        </w:tc>
        <w:tc>
          <w:tcPr>
            <w:tcW w:w="903" w:type="dxa"/>
            <w:tcBorders>
              <w:top w:val="nil"/>
              <w:left w:val="nil"/>
              <w:bottom w:val="nil"/>
              <w:right w:val="nil"/>
            </w:tcBorders>
            <w:shd w:val="clear" w:color="auto" w:fill="auto"/>
            <w:noWrap/>
            <w:vAlign w:val="center"/>
          </w:tcPr>
          <w:p w14:paraId="3E84D94E">
            <w:pPr>
              <w:widowControl/>
              <w:jc w:val="center"/>
              <w:textAlignment w:val="center"/>
              <w:rPr>
                <w:rFonts w:ascii="Times New Roman" w:hAnsi="Times New Roman" w:eastAsia="宋体" w:cs="Times New Roman"/>
                <w:color w:val="auto"/>
                <w:sz w:val="20"/>
                <w:szCs w:val="20"/>
                <w:highlight w:val="yellow"/>
              </w:rPr>
            </w:pPr>
            <w:r>
              <w:rPr>
                <w:rFonts w:ascii="Times New Roman" w:hAnsi="Times New Roman" w:eastAsia="宋体" w:cs="Times New Roman"/>
                <w:color w:val="auto"/>
                <w:kern w:val="0"/>
                <w:sz w:val="20"/>
                <w:szCs w:val="20"/>
                <w:highlight w:val="yellow"/>
                <w:lang w:bidi="ar"/>
              </w:rPr>
              <w:t>8.43</w:t>
            </w:r>
          </w:p>
        </w:tc>
        <w:tc>
          <w:tcPr>
            <w:tcW w:w="903" w:type="dxa"/>
            <w:tcBorders>
              <w:top w:val="nil"/>
              <w:left w:val="nil"/>
              <w:bottom w:val="nil"/>
              <w:right w:val="nil"/>
            </w:tcBorders>
            <w:shd w:val="clear" w:color="auto" w:fill="auto"/>
            <w:noWrap/>
            <w:vAlign w:val="center"/>
          </w:tcPr>
          <w:p w14:paraId="099161E0">
            <w:pPr>
              <w:widowControl/>
              <w:jc w:val="center"/>
              <w:textAlignment w:val="center"/>
              <w:rPr>
                <w:rFonts w:ascii="Times New Roman" w:hAnsi="Times New Roman" w:eastAsia="宋体" w:cs="Times New Roman"/>
                <w:color w:val="auto"/>
                <w:sz w:val="20"/>
                <w:szCs w:val="20"/>
                <w:highlight w:val="yellow"/>
              </w:rPr>
            </w:pPr>
            <w:r>
              <w:rPr>
                <w:rFonts w:ascii="Times New Roman" w:hAnsi="Times New Roman" w:eastAsia="宋体" w:cs="Times New Roman"/>
                <w:color w:val="auto"/>
                <w:kern w:val="0"/>
                <w:sz w:val="20"/>
                <w:szCs w:val="20"/>
                <w:highlight w:val="yellow"/>
                <w:lang w:bidi="ar"/>
              </w:rPr>
              <w:t>6.20</w:t>
            </w:r>
          </w:p>
        </w:tc>
        <w:tc>
          <w:tcPr>
            <w:tcW w:w="903" w:type="dxa"/>
            <w:tcBorders>
              <w:top w:val="nil"/>
              <w:left w:val="nil"/>
              <w:bottom w:val="nil"/>
              <w:right w:val="nil"/>
            </w:tcBorders>
            <w:shd w:val="clear" w:color="auto" w:fill="auto"/>
            <w:noWrap/>
            <w:vAlign w:val="center"/>
          </w:tcPr>
          <w:p w14:paraId="29648E5E">
            <w:pPr>
              <w:widowControl/>
              <w:jc w:val="center"/>
              <w:textAlignment w:val="center"/>
              <w:rPr>
                <w:rFonts w:ascii="Times New Roman" w:hAnsi="Times New Roman" w:eastAsia="宋体" w:cs="Times New Roman"/>
                <w:color w:val="auto"/>
                <w:sz w:val="20"/>
                <w:szCs w:val="20"/>
                <w:highlight w:val="yellow"/>
              </w:rPr>
            </w:pPr>
            <w:r>
              <w:rPr>
                <w:rFonts w:ascii="Times New Roman" w:hAnsi="Times New Roman" w:eastAsia="宋体" w:cs="Times New Roman"/>
                <w:color w:val="auto"/>
                <w:kern w:val="0"/>
                <w:sz w:val="20"/>
                <w:szCs w:val="20"/>
                <w:highlight w:val="yellow"/>
                <w:lang w:bidi="ar"/>
              </w:rPr>
              <w:t>4.53</w:t>
            </w:r>
          </w:p>
        </w:tc>
        <w:tc>
          <w:tcPr>
            <w:tcW w:w="903" w:type="dxa"/>
            <w:tcBorders>
              <w:top w:val="nil"/>
              <w:left w:val="nil"/>
              <w:bottom w:val="nil"/>
              <w:right w:val="nil"/>
            </w:tcBorders>
            <w:shd w:val="clear" w:color="auto" w:fill="auto"/>
            <w:noWrap/>
            <w:vAlign w:val="center"/>
          </w:tcPr>
          <w:p w14:paraId="11B66446">
            <w:pPr>
              <w:widowControl/>
              <w:jc w:val="center"/>
              <w:textAlignment w:val="center"/>
              <w:rPr>
                <w:rFonts w:ascii="Times New Roman" w:hAnsi="Times New Roman" w:eastAsia="宋体" w:cs="Times New Roman"/>
                <w:color w:val="auto"/>
                <w:sz w:val="20"/>
                <w:szCs w:val="20"/>
                <w:highlight w:val="yellow"/>
              </w:rPr>
            </w:pPr>
            <w:r>
              <w:rPr>
                <w:rFonts w:ascii="Times New Roman" w:hAnsi="Times New Roman" w:eastAsia="宋体" w:cs="Times New Roman"/>
                <w:color w:val="auto"/>
                <w:kern w:val="0"/>
                <w:sz w:val="20"/>
                <w:szCs w:val="20"/>
                <w:highlight w:val="yellow"/>
                <w:lang w:bidi="ar"/>
              </w:rPr>
              <w:t>15.07</w:t>
            </w:r>
          </w:p>
        </w:tc>
        <w:tc>
          <w:tcPr>
            <w:tcW w:w="903" w:type="dxa"/>
            <w:tcBorders>
              <w:top w:val="nil"/>
              <w:left w:val="nil"/>
              <w:bottom w:val="nil"/>
              <w:right w:val="nil"/>
            </w:tcBorders>
            <w:shd w:val="clear" w:color="auto" w:fill="auto"/>
            <w:noWrap/>
            <w:vAlign w:val="center"/>
          </w:tcPr>
          <w:p w14:paraId="1D3186C8">
            <w:pPr>
              <w:widowControl/>
              <w:jc w:val="center"/>
              <w:textAlignment w:val="center"/>
              <w:rPr>
                <w:rFonts w:ascii="Times New Roman" w:hAnsi="Times New Roman" w:eastAsia="宋体" w:cs="Times New Roman"/>
                <w:color w:val="auto"/>
                <w:sz w:val="20"/>
                <w:szCs w:val="20"/>
                <w:highlight w:val="yellow"/>
              </w:rPr>
            </w:pPr>
            <w:r>
              <w:rPr>
                <w:rFonts w:ascii="Times New Roman" w:hAnsi="Times New Roman" w:eastAsia="宋体" w:cs="Times New Roman"/>
                <w:color w:val="auto"/>
                <w:kern w:val="0"/>
                <w:sz w:val="20"/>
                <w:szCs w:val="20"/>
                <w:highlight w:val="yellow"/>
                <w:lang w:bidi="ar"/>
              </w:rPr>
              <w:t>0.31</w:t>
            </w:r>
          </w:p>
        </w:tc>
        <w:tc>
          <w:tcPr>
            <w:tcW w:w="903" w:type="dxa"/>
            <w:tcBorders>
              <w:top w:val="nil"/>
              <w:left w:val="nil"/>
              <w:bottom w:val="nil"/>
              <w:right w:val="nil"/>
            </w:tcBorders>
            <w:shd w:val="clear" w:color="auto" w:fill="auto"/>
            <w:noWrap/>
            <w:vAlign w:val="center"/>
          </w:tcPr>
          <w:p w14:paraId="100C66B9">
            <w:pPr>
              <w:widowControl/>
              <w:jc w:val="center"/>
              <w:textAlignment w:val="center"/>
              <w:rPr>
                <w:rFonts w:ascii="Times New Roman" w:hAnsi="Times New Roman" w:eastAsia="宋体" w:cs="Times New Roman"/>
                <w:color w:val="auto"/>
                <w:sz w:val="20"/>
                <w:szCs w:val="20"/>
                <w:highlight w:val="yellow"/>
              </w:rPr>
            </w:pPr>
            <w:r>
              <w:rPr>
                <w:rFonts w:ascii="Times New Roman" w:hAnsi="Times New Roman" w:eastAsia="宋体" w:cs="Times New Roman"/>
                <w:color w:val="auto"/>
                <w:kern w:val="0"/>
                <w:sz w:val="20"/>
                <w:szCs w:val="20"/>
                <w:highlight w:val="yellow"/>
                <w:lang w:bidi="ar"/>
              </w:rPr>
              <w:t>1.79</w:t>
            </w:r>
          </w:p>
        </w:tc>
        <w:tc>
          <w:tcPr>
            <w:tcW w:w="904" w:type="dxa"/>
            <w:tcBorders>
              <w:top w:val="nil"/>
              <w:left w:val="nil"/>
              <w:bottom w:val="nil"/>
              <w:right w:val="nil"/>
            </w:tcBorders>
            <w:shd w:val="clear" w:color="auto" w:fill="auto"/>
            <w:noWrap/>
            <w:vAlign w:val="center"/>
          </w:tcPr>
          <w:p w14:paraId="46CD864C">
            <w:pPr>
              <w:widowControl/>
              <w:jc w:val="center"/>
              <w:textAlignment w:val="center"/>
              <w:rPr>
                <w:rFonts w:ascii="Times New Roman" w:hAnsi="Times New Roman" w:eastAsia="宋体" w:cs="Times New Roman"/>
                <w:color w:val="auto"/>
                <w:sz w:val="20"/>
                <w:szCs w:val="20"/>
                <w:highlight w:val="yellow"/>
              </w:rPr>
            </w:pPr>
            <w:r>
              <w:rPr>
                <w:rFonts w:ascii="Times New Roman" w:hAnsi="Times New Roman" w:eastAsia="宋体" w:cs="Times New Roman"/>
                <w:color w:val="auto"/>
                <w:kern w:val="0"/>
                <w:sz w:val="20"/>
                <w:szCs w:val="20"/>
                <w:highlight w:val="yellow"/>
                <w:lang w:bidi="ar"/>
              </w:rPr>
              <w:t>0.35</w:t>
            </w:r>
          </w:p>
        </w:tc>
      </w:tr>
      <w:tr w14:paraId="657577B0">
        <w:tblPrEx>
          <w:tblCellMar>
            <w:top w:w="0" w:type="dxa"/>
            <w:left w:w="108" w:type="dxa"/>
            <w:bottom w:w="0" w:type="dxa"/>
            <w:right w:w="108" w:type="dxa"/>
          </w:tblCellMar>
        </w:tblPrEx>
        <w:trPr>
          <w:trHeight w:val="280" w:hRule="atLeast"/>
        </w:trPr>
        <w:tc>
          <w:tcPr>
            <w:tcW w:w="1170" w:type="dxa"/>
            <w:tcBorders>
              <w:top w:val="nil"/>
              <w:left w:val="nil"/>
              <w:bottom w:val="nil"/>
              <w:right w:val="nil"/>
            </w:tcBorders>
            <w:shd w:val="clear" w:color="auto" w:fill="auto"/>
            <w:noWrap/>
            <w:vAlign w:val="center"/>
          </w:tcPr>
          <w:p w14:paraId="58F03054">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Th1/Treg</w:t>
            </w:r>
          </w:p>
        </w:tc>
        <w:tc>
          <w:tcPr>
            <w:tcW w:w="931" w:type="dxa"/>
            <w:tcBorders>
              <w:top w:val="nil"/>
              <w:left w:val="nil"/>
              <w:bottom w:val="nil"/>
              <w:right w:val="nil"/>
            </w:tcBorders>
            <w:shd w:val="clear" w:color="auto" w:fill="auto"/>
            <w:noWrap/>
            <w:vAlign w:val="center"/>
          </w:tcPr>
          <w:p w14:paraId="7980DED3">
            <w:pPr>
              <w:keepNext w:val="0"/>
              <w:keepLines w:val="0"/>
              <w:widowControl/>
              <w:suppressLineNumbers w:val="0"/>
              <w:jc w:val="center"/>
              <w:textAlignment w:val="center"/>
              <w:rPr>
                <w:rFonts w:ascii="Times New Roman" w:hAnsi="Times New Roman" w:eastAsia="宋体" w:cs="Times New Roman"/>
                <w:color w:val="auto"/>
                <w:kern w:val="0"/>
                <w:sz w:val="20"/>
                <w:szCs w:val="20"/>
                <w:highlight w:val="none"/>
                <w:lang w:bidi="ar"/>
              </w:rPr>
            </w:pPr>
            <w:r>
              <w:rPr>
                <w:rFonts w:hint="default" w:ascii="Times New Roman" w:hAnsi="Times New Roman" w:eastAsia="宋体" w:cs="Times New Roman"/>
                <w:i w:val="0"/>
                <w:iCs w:val="0"/>
                <w:color w:val="auto"/>
                <w:kern w:val="0"/>
                <w:sz w:val="20"/>
                <w:szCs w:val="20"/>
                <w:highlight w:val="none"/>
                <w:u w:val="none"/>
                <w:lang w:val="en-US" w:eastAsia="zh-CN" w:bidi="ar"/>
              </w:rPr>
              <w:t>0.24</w:t>
            </w:r>
          </w:p>
        </w:tc>
        <w:tc>
          <w:tcPr>
            <w:tcW w:w="903" w:type="dxa"/>
            <w:tcBorders>
              <w:top w:val="nil"/>
              <w:left w:val="nil"/>
              <w:bottom w:val="nil"/>
              <w:right w:val="nil"/>
            </w:tcBorders>
            <w:shd w:val="clear" w:color="auto" w:fill="auto"/>
            <w:noWrap/>
            <w:vAlign w:val="center"/>
          </w:tcPr>
          <w:p w14:paraId="117AE873">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0.81</w:t>
            </w:r>
          </w:p>
        </w:tc>
        <w:tc>
          <w:tcPr>
            <w:tcW w:w="903" w:type="dxa"/>
            <w:tcBorders>
              <w:top w:val="nil"/>
              <w:left w:val="nil"/>
              <w:bottom w:val="nil"/>
              <w:right w:val="nil"/>
            </w:tcBorders>
            <w:shd w:val="clear" w:color="auto" w:fill="auto"/>
            <w:noWrap/>
            <w:vAlign w:val="center"/>
          </w:tcPr>
          <w:p w14:paraId="333446C4">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0.90</w:t>
            </w:r>
          </w:p>
        </w:tc>
        <w:tc>
          <w:tcPr>
            <w:tcW w:w="903" w:type="dxa"/>
            <w:tcBorders>
              <w:top w:val="nil"/>
              <w:left w:val="nil"/>
              <w:bottom w:val="nil"/>
              <w:right w:val="nil"/>
            </w:tcBorders>
            <w:shd w:val="clear" w:color="auto" w:fill="auto"/>
            <w:noWrap/>
            <w:vAlign w:val="center"/>
          </w:tcPr>
          <w:p w14:paraId="778B8F83">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3.48</w:t>
            </w:r>
          </w:p>
        </w:tc>
        <w:tc>
          <w:tcPr>
            <w:tcW w:w="903" w:type="dxa"/>
            <w:tcBorders>
              <w:top w:val="nil"/>
              <w:left w:val="nil"/>
              <w:bottom w:val="nil"/>
              <w:right w:val="nil"/>
            </w:tcBorders>
            <w:shd w:val="clear" w:color="auto" w:fill="auto"/>
            <w:noWrap/>
            <w:vAlign w:val="center"/>
          </w:tcPr>
          <w:p w14:paraId="400D8B47">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0.35</w:t>
            </w:r>
          </w:p>
        </w:tc>
        <w:tc>
          <w:tcPr>
            <w:tcW w:w="903" w:type="dxa"/>
            <w:tcBorders>
              <w:top w:val="nil"/>
              <w:left w:val="nil"/>
              <w:bottom w:val="nil"/>
              <w:right w:val="nil"/>
            </w:tcBorders>
            <w:shd w:val="clear" w:color="auto" w:fill="auto"/>
            <w:noWrap/>
            <w:vAlign w:val="center"/>
          </w:tcPr>
          <w:p w14:paraId="62A4F1D7">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0.53</w:t>
            </w:r>
          </w:p>
        </w:tc>
        <w:tc>
          <w:tcPr>
            <w:tcW w:w="903" w:type="dxa"/>
            <w:tcBorders>
              <w:top w:val="nil"/>
              <w:left w:val="nil"/>
              <w:bottom w:val="nil"/>
              <w:right w:val="nil"/>
            </w:tcBorders>
            <w:shd w:val="clear" w:color="auto" w:fill="auto"/>
            <w:noWrap/>
            <w:vAlign w:val="center"/>
          </w:tcPr>
          <w:p w14:paraId="6CDEB725">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0.56</w:t>
            </w:r>
          </w:p>
        </w:tc>
        <w:tc>
          <w:tcPr>
            <w:tcW w:w="903" w:type="dxa"/>
            <w:tcBorders>
              <w:top w:val="nil"/>
              <w:left w:val="nil"/>
              <w:bottom w:val="nil"/>
              <w:right w:val="nil"/>
            </w:tcBorders>
            <w:shd w:val="clear" w:color="auto" w:fill="auto"/>
            <w:noWrap/>
            <w:vAlign w:val="center"/>
          </w:tcPr>
          <w:p w14:paraId="3724F1D1">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0.25</w:t>
            </w:r>
          </w:p>
        </w:tc>
        <w:tc>
          <w:tcPr>
            <w:tcW w:w="904" w:type="dxa"/>
            <w:tcBorders>
              <w:top w:val="nil"/>
              <w:left w:val="nil"/>
              <w:bottom w:val="nil"/>
              <w:right w:val="nil"/>
            </w:tcBorders>
            <w:shd w:val="clear" w:color="auto" w:fill="auto"/>
            <w:noWrap/>
            <w:vAlign w:val="center"/>
          </w:tcPr>
          <w:p w14:paraId="1F5D9DA5">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0.10</w:t>
            </w:r>
          </w:p>
        </w:tc>
      </w:tr>
      <w:tr w14:paraId="23A459E4">
        <w:tblPrEx>
          <w:tblCellMar>
            <w:top w:w="0" w:type="dxa"/>
            <w:left w:w="108" w:type="dxa"/>
            <w:bottom w:w="0" w:type="dxa"/>
            <w:right w:w="108" w:type="dxa"/>
          </w:tblCellMar>
        </w:tblPrEx>
        <w:trPr>
          <w:trHeight w:val="280" w:hRule="atLeast"/>
        </w:trPr>
        <w:tc>
          <w:tcPr>
            <w:tcW w:w="1170" w:type="dxa"/>
            <w:tcBorders>
              <w:top w:val="nil"/>
              <w:left w:val="nil"/>
              <w:bottom w:val="nil"/>
              <w:right w:val="nil"/>
            </w:tcBorders>
            <w:shd w:val="clear" w:color="auto" w:fill="auto"/>
            <w:noWrap/>
            <w:vAlign w:val="center"/>
          </w:tcPr>
          <w:p w14:paraId="667D9658">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Th2/Treg</w:t>
            </w:r>
          </w:p>
        </w:tc>
        <w:tc>
          <w:tcPr>
            <w:tcW w:w="931" w:type="dxa"/>
            <w:tcBorders>
              <w:top w:val="nil"/>
              <w:left w:val="nil"/>
              <w:bottom w:val="nil"/>
              <w:right w:val="nil"/>
            </w:tcBorders>
            <w:shd w:val="clear" w:color="auto" w:fill="auto"/>
            <w:noWrap/>
            <w:vAlign w:val="center"/>
          </w:tcPr>
          <w:p w14:paraId="0BC12EBE">
            <w:pPr>
              <w:keepNext w:val="0"/>
              <w:keepLines w:val="0"/>
              <w:widowControl/>
              <w:suppressLineNumbers w:val="0"/>
              <w:jc w:val="center"/>
              <w:textAlignment w:val="center"/>
              <w:rPr>
                <w:rFonts w:ascii="Times New Roman" w:hAnsi="Times New Roman" w:eastAsia="宋体" w:cs="Times New Roman"/>
                <w:color w:val="auto"/>
                <w:kern w:val="0"/>
                <w:sz w:val="20"/>
                <w:szCs w:val="20"/>
                <w:highlight w:val="none"/>
                <w:lang w:bidi="ar"/>
              </w:rPr>
            </w:pPr>
            <w:r>
              <w:rPr>
                <w:rFonts w:hint="default" w:ascii="Times New Roman" w:hAnsi="Times New Roman" w:eastAsia="宋体" w:cs="Times New Roman"/>
                <w:i w:val="0"/>
                <w:iCs w:val="0"/>
                <w:color w:val="auto"/>
                <w:kern w:val="0"/>
                <w:sz w:val="20"/>
                <w:szCs w:val="20"/>
                <w:highlight w:val="none"/>
                <w:u w:val="none"/>
                <w:lang w:val="en-US" w:eastAsia="zh-CN" w:bidi="ar"/>
              </w:rPr>
              <w:t>0.17</w:t>
            </w:r>
          </w:p>
        </w:tc>
        <w:tc>
          <w:tcPr>
            <w:tcW w:w="903" w:type="dxa"/>
            <w:tcBorders>
              <w:top w:val="nil"/>
              <w:left w:val="nil"/>
              <w:bottom w:val="nil"/>
              <w:right w:val="nil"/>
            </w:tcBorders>
            <w:shd w:val="clear" w:color="auto" w:fill="auto"/>
            <w:noWrap/>
            <w:vAlign w:val="center"/>
          </w:tcPr>
          <w:p w14:paraId="7AFD8E06">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0.27</w:t>
            </w:r>
          </w:p>
        </w:tc>
        <w:tc>
          <w:tcPr>
            <w:tcW w:w="903" w:type="dxa"/>
            <w:tcBorders>
              <w:top w:val="nil"/>
              <w:left w:val="nil"/>
              <w:bottom w:val="nil"/>
              <w:right w:val="nil"/>
            </w:tcBorders>
            <w:shd w:val="clear" w:color="auto" w:fill="auto"/>
            <w:noWrap/>
            <w:vAlign w:val="center"/>
          </w:tcPr>
          <w:p w14:paraId="6C3E7722">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0.12</w:t>
            </w:r>
          </w:p>
        </w:tc>
        <w:tc>
          <w:tcPr>
            <w:tcW w:w="903" w:type="dxa"/>
            <w:tcBorders>
              <w:top w:val="nil"/>
              <w:left w:val="nil"/>
              <w:bottom w:val="nil"/>
              <w:right w:val="nil"/>
            </w:tcBorders>
            <w:shd w:val="clear" w:color="auto" w:fill="auto"/>
            <w:noWrap/>
            <w:vAlign w:val="center"/>
          </w:tcPr>
          <w:p w14:paraId="336D5667">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0.98</w:t>
            </w:r>
          </w:p>
        </w:tc>
        <w:tc>
          <w:tcPr>
            <w:tcW w:w="903" w:type="dxa"/>
            <w:tcBorders>
              <w:top w:val="nil"/>
              <w:left w:val="nil"/>
              <w:bottom w:val="nil"/>
              <w:right w:val="nil"/>
            </w:tcBorders>
            <w:shd w:val="clear" w:color="auto" w:fill="auto"/>
            <w:noWrap/>
            <w:vAlign w:val="center"/>
          </w:tcPr>
          <w:p w14:paraId="04987B6C">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0.13</w:t>
            </w:r>
          </w:p>
        </w:tc>
        <w:tc>
          <w:tcPr>
            <w:tcW w:w="903" w:type="dxa"/>
            <w:tcBorders>
              <w:top w:val="nil"/>
              <w:left w:val="nil"/>
              <w:bottom w:val="nil"/>
              <w:right w:val="nil"/>
            </w:tcBorders>
            <w:shd w:val="clear" w:color="auto" w:fill="auto"/>
            <w:noWrap/>
            <w:vAlign w:val="center"/>
          </w:tcPr>
          <w:p w14:paraId="68C39514">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0.09</w:t>
            </w:r>
          </w:p>
        </w:tc>
        <w:tc>
          <w:tcPr>
            <w:tcW w:w="903" w:type="dxa"/>
            <w:tcBorders>
              <w:top w:val="nil"/>
              <w:left w:val="nil"/>
              <w:bottom w:val="nil"/>
              <w:right w:val="nil"/>
            </w:tcBorders>
            <w:shd w:val="clear" w:color="auto" w:fill="auto"/>
            <w:noWrap/>
            <w:vAlign w:val="center"/>
          </w:tcPr>
          <w:p w14:paraId="323B1EF8">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0.16</w:t>
            </w:r>
          </w:p>
        </w:tc>
        <w:tc>
          <w:tcPr>
            <w:tcW w:w="903" w:type="dxa"/>
            <w:tcBorders>
              <w:top w:val="nil"/>
              <w:left w:val="nil"/>
              <w:bottom w:val="nil"/>
              <w:right w:val="nil"/>
            </w:tcBorders>
            <w:shd w:val="clear" w:color="auto" w:fill="auto"/>
            <w:noWrap/>
            <w:vAlign w:val="center"/>
          </w:tcPr>
          <w:p w14:paraId="211FEFDB">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0.25</w:t>
            </w:r>
          </w:p>
        </w:tc>
        <w:tc>
          <w:tcPr>
            <w:tcW w:w="904" w:type="dxa"/>
            <w:tcBorders>
              <w:top w:val="nil"/>
              <w:left w:val="nil"/>
              <w:bottom w:val="nil"/>
              <w:right w:val="nil"/>
            </w:tcBorders>
            <w:shd w:val="clear" w:color="auto" w:fill="auto"/>
            <w:noWrap/>
            <w:vAlign w:val="center"/>
          </w:tcPr>
          <w:p w14:paraId="61415D47">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0.21</w:t>
            </w:r>
          </w:p>
        </w:tc>
      </w:tr>
      <w:tr w14:paraId="2B72EF9B">
        <w:tblPrEx>
          <w:tblCellMar>
            <w:top w:w="0" w:type="dxa"/>
            <w:left w:w="108" w:type="dxa"/>
            <w:bottom w:w="0" w:type="dxa"/>
            <w:right w:w="108" w:type="dxa"/>
          </w:tblCellMar>
        </w:tblPrEx>
        <w:trPr>
          <w:trHeight w:val="280" w:hRule="atLeast"/>
        </w:trPr>
        <w:tc>
          <w:tcPr>
            <w:tcW w:w="1170" w:type="dxa"/>
            <w:tcBorders>
              <w:top w:val="nil"/>
              <w:left w:val="nil"/>
              <w:bottom w:val="nil"/>
              <w:right w:val="nil"/>
            </w:tcBorders>
            <w:shd w:val="clear" w:color="auto" w:fill="auto"/>
            <w:noWrap/>
            <w:vAlign w:val="center"/>
          </w:tcPr>
          <w:p w14:paraId="73194549">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Tfh/Treg</w:t>
            </w:r>
          </w:p>
        </w:tc>
        <w:tc>
          <w:tcPr>
            <w:tcW w:w="931" w:type="dxa"/>
            <w:tcBorders>
              <w:top w:val="nil"/>
              <w:left w:val="nil"/>
              <w:bottom w:val="nil"/>
              <w:right w:val="nil"/>
            </w:tcBorders>
            <w:shd w:val="clear" w:color="auto" w:fill="auto"/>
            <w:noWrap/>
            <w:vAlign w:val="center"/>
          </w:tcPr>
          <w:p w14:paraId="34623F1A">
            <w:pPr>
              <w:widowControl/>
              <w:jc w:val="center"/>
              <w:textAlignment w:val="center"/>
              <w:rPr>
                <w:rFonts w:hint="eastAsia" w:ascii="Times New Roman" w:hAnsi="Times New Roman" w:eastAsia="宋体" w:cs="Times New Roman"/>
                <w:color w:val="auto"/>
                <w:kern w:val="0"/>
                <w:sz w:val="20"/>
                <w:szCs w:val="20"/>
                <w:highlight w:val="none"/>
                <w:lang w:bidi="ar"/>
              </w:rPr>
            </w:pPr>
            <w:r>
              <w:rPr>
                <w:rFonts w:hint="eastAsia" w:ascii="Times New Roman" w:hAnsi="Times New Roman" w:eastAsia="宋体" w:cs="Times New Roman"/>
                <w:color w:val="auto"/>
                <w:kern w:val="0"/>
                <w:sz w:val="20"/>
                <w:szCs w:val="20"/>
                <w:highlight w:val="none"/>
                <w:lang w:val="en-US" w:eastAsia="zh-CN" w:bidi="ar"/>
              </w:rPr>
              <w:t>-</w:t>
            </w:r>
          </w:p>
        </w:tc>
        <w:tc>
          <w:tcPr>
            <w:tcW w:w="903" w:type="dxa"/>
            <w:tcBorders>
              <w:top w:val="nil"/>
              <w:left w:val="nil"/>
              <w:bottom w:val="nil"/>
              <w:right w:val="nil"/>
            </w:tcBorders>
            <w:shd w:val="clear" w:color="auto" w:fill="auto"/>
            <w:noWrap/>
            <w:vAlign w:val="center"/>
          </w:tcPr>
          <w:p w14:paraId="2B83E9F9">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0.01</w:t>
            </w:r>
          </w:p>
        </w:tc>
        <w:tc>
          <w:tcPr>
            <w:tcW w:w="903" w:type="dxa"/>
            <w:tcBorders>
              <w:top w:val="nil"/>
              <w:left w:val="nil"/>
              <w:bottom w:val="nil"/>
              <w:right w:val="nil"/>
            </w:tcBorders>
            <w:shd w:val="clear" w:color="auto" w:fill="auto"/>
            <w:noWrap/>
            <w:vAlign w:val="center"/>
          </w:tcPr>
          <w:p w14:paraId="7EB3B106">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0.11</w:t>
            </w:r>
          </w:p>
        </w:tc>
        <w:tc>
          <w:tcPr>
            <w:tcW w:w="903" w:type="dxa"/>
            <w:tcBorders>
              <w:top w:val="nil"/>
              <w:left w:val="nil"/>
              <w:bottom w:val="nil"/>
              <w:right w:val="nil"/>
            </w:tcBorders>
            <w:shd w:val="clear" w:color="auto" w:fill="auto"/>
            <w:noWrap/>
            <w:vAlign w:val="center"/>
          </w:tcPr>
          <w:p w14:paraId="4E9B1C87">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0.65</w:t>
            </w:r>
          </w:p>
        </w:tc>
        <w:tc>
          <w:tcPr>
            <w:tcW w:w="903" w:type="dxa"/>
            <w:tcBorders>
              <w:top w:val="nil"/>
              <w:left w:val="nil"/>
              <w:bottom w:val="nil"/>
              <w:right w:val="nil"/>
            </w:tcBorders>
            <w:shd w:val="clear" w:color="auto" w:fill="auto"/>
            <w:noWrap/>
            <w:vAlign w:val="center"/>
          </w:tcPr>
          <w:p w14:paraId="7CE62B6D">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0.06</w:t>
            </w:r>
          </w:p>
        </w:tc>
        <w:tc>
          <w:tcPr>
            <w:tcW w:w="903" w:type="dxa"/>
            <w:tcBorders>
              <w:top w:val="nil"/>
              <w:left w:val="nil"/>
              <w:bottom w:val="nil"/>
              <w:right w:val="nil"/>
            </w:tcBorders>
            <w:shd w:val="clear" w:color="auto" w:fill="auto"/>
            <w:noWrap/>
            <w:vAlign w:val="center"/>
          </w:tcPr>
          <w:p w14:paraId="00DED5EA">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0.10</w:t>
            </w:r>
          </w:p>
        </w:tc>
        <w:tc>
          <w:tcPr>
            <w:tcW w:w="903" w:type="dxa"/>
            <w:tcBorders>
              <w:top w:val="nil"/>
              <w:left w:val="nil"/>
              <w:bottom w:val="nil"/>
              <w:right w:val="nil"/>
            </w:tcBorders>
            <w:shd w:val="clear" w:color="auto" w:fill="auto"/>
            <w:noWrap/>
            <w:vAlign w:val="center"/>
          </w:tcPr>
          <w:p w14:paraId="7FC11273">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0.12</w:t>
            </w:r>
          </w:p>
        </w:tc>
        <w:tc>
          <w:tcPr>
            <w:tcW w:w="903" w:type="dxa"/>
            <w:tcBorders>
              <w:top w:val="nil"/>
              <w:left w:val="nil"/>
              <w:bottom w:val="nil"/>
              <w:right w:val="nil"/>
            </w:tcBorders>
            <w:shd w:val="clear" w:color="auto" w:fill="auto"/>
            <w:noWrap/>
            <w:vAlign w:val="center"/>
          </w:tcPr>
          <w:p w14:paraId="2CEDB892">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0.71</w:t>
            </w:r>
          </w:p>
        </w:tc>
        <w:tc>
          <w:tcPr>
            <w:tcW w:w="904" w:type="dxa"/>
            <w:tcBorders>
              <w:top w:val="nil"/>
              <w:left w:val="nil"/>
              <w:bottom w:val="nil"/>
              <w:right w:val="nil"/>
            </w:tcBorders>
            <w:shd w:val="clear" w:color="auto" w:fill="auto"/>
            <w:noWrap/>
            <w:vAlign w:val="center"/>
          </w:tcPr>
          <w:p w14:paraId="36CE828B">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0.18</w:t>
            </w:r>
          </w:p>
        </w:tc>
      </w:tr>
      <w:tr w14:paraId="1EF24B8E">
        <w:tblPrEx>
          <w:tblCellMar>
            <w:top w:w="0" w:type="dxa"/>
            <w:left w:w="108" w:type="dxa"/>
            <w:bottom w:w="0" w:type="dxa"/>
            <w:right w:w="108" w:type="dxa"/>
          </w:tblCellMar>
        </w:tblPrEx>
        <w:trPr>
          <w:trHeight w:val="280" w:hRule="atLeast"/>
        </w:trPr>
        <w:tc>
          <w:tcPr>
            <w:tcW w:w="1170" w:type="dxa"/>
            <w:tcBorders>
              <w:top w:val="nil"/>
              <w:left w:val="nil"/>
              <w:bottom w:val="nil"/>
              <w:right w:val="nil"/>
            </w:tcBorders>
            <w:shd w:val="clear" w:color="auto" w:fill="auto"/>
            <w:noWrap/>
            <w:vAlign w:val="center"/>
          </w:tcPr>
          <w:p w14:paraId="735ED05E">
            <w:pPr>
              <w:widowControl/>
              <w:jc w:val="both"/>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Th17/Treg</w:t>
            </w:r>
          </w:p>
        </w:tc>
        <w:tc>
          <w:tcPr>
            <w:tcW w:w="931" w:type="dxa"/>
            <w:tcBorders>
              <w:top w:val="nil"/>
              <w:left w:val="nil"/>
              <w:bottom w:val="nil"/>
              <w:right w:val="nil"/>
            </w:tcBorders>
            <w:shd w:val="clear" w:color="auto" w:fill="auto"/>
            <w:noWrap/>
            <w:vAlign w:val="center"/>
          </w:tcPr>
          <w:p w14:paraId="352703ED">
            <w:pPr>
              <w:keepNext w:val="0"/>
              <w:keepLines w:val="0"/>
              <w:widowControl/>
              <w:suppressLineNumbers w:val="0"/>
              <w:jc w:val="center"/>
              <w:textAlignment w:val="center"/>
              <w:rPr>
                <w:rFonts w:ascii="Times New Roman" w:hAnsi="Times New Roman" w:eastAsia="宋体" w:cs="Times New Roman"/>
                <w:color w:val="auto"/>
                <w:kern w:val="0"/>
                <w:sz w:val="20"/>
                <w:szCs w:val="20"/>
                <w:highlight w:val="none"/>
                <w:lang w:bidi="ar"/>
              </w:rPr>
            </w:pPr>
            <w:r>
              <w:rPr>
                <w:rFonts w:hint="default" w:ascii="Times New Roman" w:hAnsi="Times New Roman" w:eastAsia="宋体" w:cs="Times New Roman"/>
                <w:i w:val="0"/>
                <w:iCs w:val="0"/>
                <w:color w:val="auto"/>
                <w:kern w:val="0"/>
                <w:sz w:val="20"/>
                <w:szCs w:val="20"/>
                <w:highlight w:val="none"/>
                <w:u w:val="none"/>
                <w:lang w:val="en-US" w:eastAsia="zh-CN" w:bidi="ar"/>
              </w:rPr>
              <w:t>0.11</w:t>
            </w:r>
          </w:p>
        </w:tc>
        <w:tc>
          <w:tcPr>
            <w:tcW w:w="903" w:type="dxa"/>
            <w:tcBorders>
              <w:top w:val="nil"/>
              <w:left w:val="nil"/>
              <w:bottom w:val="nil"/>
              <w:right w:val="nil"/>
            </w:tcBorders>
            <w:shd w:val="clear" w:color="auto" w:fill="auto"/>
            <w:noWrap/>
            <w:vAlign w:val="center"/>
          </w:tcPr>
          <w:p w14:paraId="176C95CB">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0.03</w:t>
            </w:r>
          </w:p>
        </w:tc>
        <w:tc>
          <w:tcPr>
            <w:tcW w:w="903" w:type="dxa"/>
            <w:tcBorders>
              <w:top w:val="nil"/>
              <w:left w:val="nil"/>
              <w:bottom w:val="nil"/>
              <w:right w:val="nil"/>
            </w:tcBorders>
            <w:shd w:val="clear" w:color="auto" w:fill="auto"/>
            <w:noWrap/>
            <w:vAlign w:val="center"/>
          </w:tcPr>
          <w:p w14:paraId="3BBB5919">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0.04</w:t>
            </w:r>
          </w:p>
        </w:tc>
        <w:tc>
          <w:tcPr>
            <w:tcW w:w="903" w:type="dxa"/>
            <w:tcBorders>
              <w:top w:val="nil"/>
              <w:left w:val="nil"/>
              <w:bottom w:val="nil"/>
              <w:right w:val="nil"/>
            </w:tcBorders>
            <w:shd w:val="clear" w:color="auto" w:fill="auto"/>
            <w:noWrap/>
            <w:vAlign w:val="center"/>
          </w:tcPr>
          <w:p w14:paraId="1D55F172">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0.10</w:t>
            </w:r>
          </w:p>
        </w:tc>
        <w:tc>
          <w:tcPr>
            <w:tcW w:w="903" w:type="dxa"/>
            <w:tcBorders>
              <w:top w:val="nil"/>
              <w:left w:val="nil"/>
              <w:bottom w:val="nil"/>
              <w:right w:val="nil"/>
            </w:tcBorders>
            <w:shd w:val="clear" w:color="auto" w:fill="auto"/>
            <w:noWrap/>
            <w:vAlign w:val="center"/>
          </w:tcPr>
          <w:p w14:paraId="051C6255">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0.02</w:t>
            </w:r>
          </w:p>
        </w:tc>
        <w:tc>
          <w:tcPr>
            <w:tcW w:w="903" w:type="dxa"/>
            <w:tcBorders>
              <w:top w:val="nil"/>
              <w:left w:val="nil"/>
              <w:bottom w:val="nil"/>
              <w:right w:val="nil"/>
            </w:tcBorders>
            <w:shd w:val="clear" w:color="auto" w:fill="auto"/>
            <w:noWrap/>
            <w:vAlign w:val="center"/>
          </w:tcPr>
          <w:p w14:paraId="2CF50809">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0.01</w:t>
            </w:r>
          </w:p>
        </w:tc>
        <w:tc>
          <w:tcPr>
            <w:tcW w:w="903" w:type="dxa"/>
            <w:tcBorders>
              <w:top w:val="nil"/>
              <w:left w:val="nil"/>
              <w:bottom w:val="nil"/>
              <w:right w:val="nil"/>
            </w:tcBorders>
            <w:shd w:val="clear" w:color="auto" w:fill="auto"/>
            <w:noWrap/>
            <w:vAlign w:val="center"/>
          </w:tcPr>
          <w:p w14:paraId="4F41FABD">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0.08</w:t>
            </w:r>
          </w:p>
        </w:tc>
        <w:tc>
          <w:tcPr>
            <w:tcW w:w="903" w:type="dxa"/>
            <w:tcBorders>
              <w:top w:val="nil"/>
              <w:left w:val="nil"/>
              <w:bottom w:val="nil"/>
              <w:right w:val="nil"/>
            </w:tcBorders>
            <w:shd w:val="clear" w:color="auto" w:fill="auto"/>
            <w:noWrap/>
            <w:vAlign w:val="center"/>
          </w:tcPr>
          <w:p w14:paraId="313D0AB7">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0.10</w:t>
            </w:r>
          </w:p>
        </w:tc>
        <w:tc>
          <w:tcPr>
            <w:tcW w:w="904" w:type="dxa"/>
            <w:tcBorders>
              <w:top w:val="nil"/>
              <w:left w:val="nil"/>
              <w:bottom w:val="nil"/>
              <w:right w:val="nil"/>
            </w:tcBorders>
            <w:shd w:val="clear" w:color="auto" w:fill="auto"/>
            <w:noWrap/>
            <w:vAlign w:val="center"/>
          </w:tcPr>
          <w:p w14:paraId="0DD0D118">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0.25</w:t>
            </w:r>
          </w:p>
        </w:tc>
      </w:tr>
      <w:tr w14:paraId="321B64DA">
        <w:tblPrEx>
          <w:tblCellMar>
            <w:top w:w="0" w:type="dxa"/>
            <w:left w:w="108" w:type="dxa"/>
            <w:bottom w:w="0" w:type="dxa"/>
            <w:right w:w="108" w:type="dxa"/>
          </w:tblCellMar>
        </w:tblPrEx>
        <w:trPr>
          <w:trHeight w:val="280" w:hRule="atLeast"/>
        </w:trPr>
        <w:tc>
          <w:tcPr>
            <w:tcW w:w="1170" w:type="dxa"/>
            <w:tcBorders>
              <w:top w:val="nil"/>
              <w:left w:val="nil"/>
              <w:bottom w:val="nil"/>
              <w:right w:val="nil"/>
            </w:tcBorders>
            <w:shd w:val="clear" w:color="auto" w:fill="auto"/>
            <w:noWrap/>
            <w:vAlign w:val="center"/>
          </w:tcPr>
          <w:p w14:paraId="50494527">
            <w:pPr>
              <w:widowControl/>
              <w:jc w:val="center"/>
              <w:textAlignment w:val="center"/>
              <w:rPr>
                <w:rFonts w:ascii="Times New Roman" w:hAnsi="Times New Roman" w:eastAsia="宋体" w:cs="Times New Roman"/>
                <w:color w:val="auto"/>
                <w:sz w:val="20"/>
                <w:szCs w:val="20"/>
                <w:highlight w:val="yellow"/>
              </w:rPr>
            </w:pPr>
            <w:r>
              <w:rPr>
                <w:rFonts w:ascii="Times New Roman" w:hAnsi="Times New Roman" w:eastAsia="宋体" w:cs="Times New Roman"/>
                <w:color w:val="auto"/>
                <w:kern w:val="0"/>
                <w:sz w:val="20"/>
                <w:szCs w:val="20"/>
                <w:highlight w:val="yellow"/>
                <w:lang w:bidi="ar"/>
              </w:rPr>
              <w:t>Tc1/Treg</w:t>
            </w:r>
          </w:p>
        </w:tc>
        <w:tc>
          <w:tcPr>
            <w:tcW w:w="931" w:type="dxa"/>
            <w:tcBorders>
              <w:top w:val="nil"/>
              <w:left w:val="nil"/>
              <w:bottom w:val="nil"/>
              <w:right w:val="nil"/>
            </w:tcBorders>
            <w:shd w:val="clear" w:color="auto" w:fill="auto"/>
            <w:noWrap/>
            <w:vAlign w:val="center"/>
          </w:tcPr>
          <w:p w14:paraId="4CDFFE48">
            <w:pPr>
              <w:keepNext w:val="0"/>
              <w:keepLines w:val="0"/>
              <w:widowControl/>
              <w:suppressLineNumbers w:val="0"/>
              <w:jc w:val="center"/>
              <w:textAlignment w:val="center"/>
              <w:rPr>
                <w:rFonts w:ascii="Times New Roman" w:hAnsi="Times New Roman" w:eastAsia="宋体" w:cs="Times New Roman"/>
                <w:color w:val="auto"/>
                <w:kern w:val="0"/>
                <w:sz w:val="20"/>
                <w:szCs w:val="20"/>
                <w:highlight w:val="yellow"/>
                <w:lang w:bidi="ar"/>
              </w:rPr>
            </w:pPr>
            <w:r>
              <w:rPr>
                <w:rFonts w:hint="default" w:ascii="Times New Roman" w:hAnsi="Times New Roman" w:eastAsia="宋体" w:cs="Times New Roman"/>
                <w:i w:val="0"/>
                <w:iCs w:val="0"/>
                <w:color w:val="auto"/>
                <w:kern w:val="0"/>
                <w:sz w:val="20"/>
                <w:szCs w:val="20"/>
                <w:highlight w:val="yellow"/>
                <w:u w:val="none"/>
                <w:lang w:val="en-US" w:eastAsia="zh-CN" w:bidi="ar"/>
              </w:rPr>
              <w:t>0.03</w:t>
            </w:r>
          </w:p>
        </w:tc>
        <w:tc>
          <w:tcPr>
            <w:tcW w:w="903" w:type="dxa"/>
            <w:tcBorders>
              <w:top w:val="nil"/>
              <w:left w:val="nil"/>
              <w:bottom w:val="nil"/>
              <w:right w:val="nil"/>
            </w:tcBorders>
            <w:shd w:val="clear" w:color="auto" w:fill="auto"/>
            <w:noWrap/>
            <w:vAlign w:val="center"/>
          </w:tcPr>
          <w:p w14:paraId="25EEB659">
            <w:pPr>
              <w:widowControl/>
              <w:jc w:val="center"/>
              <w:textAlignment w:val="center"/>
              <w:rPr>
                <w:rFonts w:ascii="Times New Roman" w:hAnsi="Times New Roman" w:eastAsia="宋体" w:cs="Times New Roman"/>
                <w:color w:val="auto"/>
                <w:sz w:val="20"/>
                <w:szCs w:val="20"/>
                <w:highlight w:val="yellow"/>
              </w:rPr>
            </w:pPr>
            <w:r>
              <w:rPr>
                <w:rFonts w:ascii="Times New Roman" w:hAnsi="Times New Roman" w:eastAsia="宋体" w:cs="Times New Roman"/>
                <w:color w:val="auto"/>
                <w:kern w:val="0"/>
                <w:sz w:val="20"/>
                <w:szCs w:val="20"/>
                <w:highlight w:val="yellow"/>
                <w:lang w:bidi="ar"/>
              </w:rPr>
              <w:t>4.84</w:t>
            </w:r>
          </w:p>
        </w:tc>
        <w:tc>
          <w:tcPr>
            <w:tcW w:w="903" w:type="dxa"/>
            <w:tcBorders>
              <w:top w:val="nil"/>
              <w:left w:val="nil"/>
              <w:bottom w:val="nil"/>
              <w:right w:val="nil"/>
            </w:tcBorders>
            <w:shd w:val="clear" w:color="auto" w:fill="auto"/>
            <w:noWrap/>
            <w:vAlign w:val="center"/>
          </w:tcPr>
          <w:p w14:paraId="51D62B41">
            <w:pPr>
              <w:widowControl/>
              <w:jc w:val="center"/>
              <w:textAlignment w:val="center"/>
              <w:rPr>
                <w:rFonts w:ascii="Times New Roman" w:hAnsi="Times New Roman" w:eastAsia="宋体" w:cs="Times New Roman"/>
                <w:color w:val="auto"/>
                <w:sz w:val="20"/>
                <w:szCs w:val="20"/>
                <w:highlight w:val="yellow"/>
              </w:rPr>
            </w:pPr>
            <w:r>
              <w:rPr>
                <w:rFonts w:ascii="Times New Roman" w:hAnsi="Times New Roman" w:eastAsia="宋体" w:cs="Times New Roman"/>
                <w:color w:val="auto"/>
                <w:kern w:val="0"/>
                <w:sz w:val="20"/>
                <w:szCs w:val="20"/>
                <w:highlight w:val="yellow"/>
                <w:lang w:bidi="ar"/>
              </w:rPr>
              <w:t>3.07</w:t>
            </w:r>
          </w:p>
        </w:tc>
        <w:tc>
          <w:tcPr>
            <w:tcW w:w="903" w:type="dxa"/>
            <w:tcBorders>
              <w:top w:val="nil"/>
              <w:left w:val="nil"/>
              <w:bottom w:val="nil"/>
              <w:right w:val="nil"/>
            </w:tcBorders>
            <w:shd w:val="clear" w:color="auto" w:fill="auto"/>
            <w:noWrap/>
            <w:vAlign w:val="center"/>
          </w:tcPr>
          <w:p w14:paraId="20463BED">
            <w:pPr>
              <w:widowControl/>
              <w:jc w:val="center"/>
              <w:textAlignment w:val="center"/>
              <w:rPr>
                <w:rFonts w:ascii="Times New Roman" w:hAnsi="Times New Roman" w:eastAsia="宋体" w:cs="Times New Roman"/>
                <w:color w:val="auto"/>
                <w:sz w:val="20"/>
                <w:szCs w:val="20"/>
                <w:highlight w:val="yellow"/>
              </w:rPr>
            </w:pPr>
            <w:r>
              <w:rPr>
                <w:rFonts w:ascii="Times New Roman" w:hAnsi="Times New Roman" w:eastAsia="宋体" w:cs="Times New Roman"/>
                <w:color w:val="auto"/>
                <w:kern w:val="0"/>
                <w:sz w:val="20"/>
                <w:szCs w:val="20"/>
                <w:highlight w:val="yellow"/>
                <w:lang w:bidi="ar"/>
              </w:rPr>
              <w:t>15.5</w:t>
            </w:r>
          </w:p>
        </w:tc>
        <w:tc>
          <w:tcPr>
            <w:tcW w:w="903" w:type="dxa"/>
            <w:tcBorders>
              <w:top w:val="nil"/>
              <w:left w:val="nil"/>
              <w:bottom w:val="nil"/>
              <w:right w:val="nil"/>
            </w:tcBorders>
            <w:shd w:val="clear" w:color="auto" w:fill="auto"/>
            <w:noWrap/>
            <w:vAlign w:val="center"/>
          </w:tcPr>
          <w:p w14:paraId="4175A85F">
            <w:pPr>
              <w:widowControl/>
              <w:jc w:val="center"/>
              <w:textAlignment w:val="center"/>
              <w:rPr>
                <w:rFonts w:ascii="Times New Roman" w:hAnsi="Times New Roman" w:eastAsia="宋体" w:cs="Times New Roman"/>
                <w:color w:val="auto"/>
                <w:sz w:val="20"/>
                <w:szCs w:val="20"/>
                <w:highlight w:val="yellow"/>
              </w:rPr>
            </w:pPr>
            <w:r>
              <w:rPr>
                <w:rFonts w:ascii="Times New Roman" w:hAnsi="Times New Roman" w:eastAsia="宋体" w:cs="Times New Roman"/>
                <w:color w:val="auto"/>
                <w:kern w:val="0"/>
                <w:sz w:val="20"/>
                <w:szCs w:val="20"/>
                <w:highlight w:val="yellow"/>
                <w:lang w:bidi="ar"/>
              </w:rPr>
              <w:t>0.92</w:t>
            </w:r>
          </w:p>
        </w:tc>
        <w:tc>
          <w:tcPr>
            <w:tcW w:w="903" w:type="dxa"/>
            <w:tcBorders>
              <w:top w:val="nil"/>
              <w:left w:val="nil"/>
              <w:bottom w:val="nil"/>
              <w:right w:val="nil"/>
            </w:tcBorders>
            <w:shd w:val="clear" w:color="auto" w:fill="auto"/>
            <w:noWrap/>
            <w:vAlign w:val="center"/>
          </w:tcPr>
          <w:p w14:paraId="59C923F8">
            <w:pPr>
              <w:widowControl/>
              <w:jc w:val="center"/>
              <w:textAlignment w:val="center"/>
              <w:rPr>
                <w:rFonts w:ascii="Times New Roman" w:hAnsi="Times New Roman" w:eastAsia="宋体" w:cs="Times New Roman"/>
                <w:color w:val="auto"/>
                <w:sz w:val="20"/>
                <w:szCs w:val="20"/>
                <w:highlight w:val="yellow"/>
              </w:rPr>
            </w:pPr>
            <w:r>
              <w:rPr>
                <w:rFonts w:ascii="Times New Roman" w:hAnsi="Times New Roman" w:eastAsia="宋体" w:cs="Times New Roman"/>
                <w:color w:val="auto"/>
                <w:kern w:val="0"/>
                <w:sz w:val="20"/>
                <w:szCs w:val="20"/>
                <w:highlight w:val="yellow"/>
                <w:lang w:bidi="ar"/>
              </w:rPr>
              <w:t>5.18</w:t>
            </w:r>
          </w:p>
        </w:tc>
        <w:tc>
          <w:tcPr>
            <w:tcW w:w="903" w:type="dxa"/>
            <w:tcBorders>
              <w:top w:val="nil"/>
              <w:left w:val="nil"/>
              <w:bottom w:val="nil"/>
              <w:right w:val="nil"/>
            </w:tcBorders>
            <w:shd w:val="clear" w:color="auto" w:fill="auto"/>
            <w:noWrap/>
            <w:vAlign w:val="center"/>
          </w:tcPr>
          <w:p w14:paraId="1475CAAC">
            <w:pPr>
              <w:widowControl/>
              <w:jc w:val="center"/>
              <w:textAlignment w:val="center"/>
              <w:rPr>
                <w:rFonts w:ascii="Times New Roman" w:hAnsi="Times New Roman" w:eastAsia="宋体" w:cs="Times New Roman"/>
                <w:color w:val="auto"/>
                <w:sz w:val="20"/>
                <w:szCs w:val="20"/>
                <w:highlight w:val="yellow"/>
              </w:rPr>
            </w:pPr>
            <w:r>
              <w:rPr>
                <w:rFonts w:ascii="Times New Roman" w:hAnsi="Times New Roman" w:eastAsia="宋体" w:cs="Times New Roman"/>
                <w:color w:val="auto"/>
                <w:kern w:val="0"/>
                <w:sz w:val="20"/>
                <w:szCs w:val="20"/>
                <w:highlight w:val="yellow"/>
                <w:lang w:bidi="ar"/>
              </w:rPr>
              <w:t>0.08</w:t>
            </w:r>
          </w:p>
        </w:tc>
        <w:tc>
          <w:tcPr>
            <w:tcW w:w="903" w:type="dxa"/>
            <w:tcBorders>
              <w:top w:val="nil"/>
              <w:left w:val="nil"/>
              <w:bottom w:val="nil"/>
              <w:right w:val="nil"/>
            </w:tcBorders>
            <w:shd w:val="clear" w:color="auto" w:fill="auto"/>
            <w:noWrap/>
            <w:vAlign w:val="center"/>
          </w:tcPr>
          <w:p w14:paraId="05ECD957">
            <w:pPr>
              <w:widowControl/>
              <w:jc w:val="center"/>
              <w:textAlignment w:val="center"/>
              <w:rPr>
                <w:rFonts w:ascii="Times New Roman" w:hAnsi="Times New Roman" w:eastAsia="宋体" w:cs="Times New Roman"/>
                <w:color w:val="auto"/>
                <w:sz w:val="20"/>
                <w:szCs w:val="20"/>
                <w:highlight w:val="yellow"/>
              </w:rPr>
            </w:pPr>
            <w:r>
              <w:rPr>
                <w:rFonts w:ascii="Times New Roman" w:hAnsi="Times New Roman" w:eastAsia="宋体" w:cs="Times New Roman"/>
                <w:color w:val="auto"/>
                <w:kern w:val="0"/>
                <w:sz w:val="20"/>
                <w:szCs w:val="20"/>
                <w:highlight w:val="yellow"/>
                <w:lang w:bidi="ar"/>
              </w:rPr>
              <w:t>0.81</w:t>
            </w:r>
          </w:p>
        </w:tc>
        <w:tc>
          <w:tcPr>
            <w:tcW w:w="904" w:type="dxa"/>
            <w:tcBorders>
              <w:top w:val="nil"/>
              <w:left w:val="nil"/>
              <w:bottom w:val="nil"/>
              <w:right w:val="nil"/>
            </w:tcBorders>
            <w:shd w:val="clear" w:color="auto" w:fill="auto"/>
            <w:noWrap/>
            <w:vAlign w:val="center"/>
          </w:tcPr>
          <w:p w14:paraId="6A5AA290">
            <w:pPr>
              <w:widowControl/>
              <w:jc w:val="center"/>
              <w:textAlignment w:val="center"/>
              <w:rPr>
                <w:rFonts w:ascii="Times New Roman" w:hAnsi="Times New Roman" w:eastAsia="宋体" w:cs="Times New Roman"/>
                <w:color w:val="auto"/>
                <w:sz w:val="20"/>
                <w:szCs w:val="20"/>
                <w:highlight w:val="yellow"/>
              </w:rPr>
            </w:pPr>
            <w:r>
              <w:rPr>
                <w:rFonts w:ascii="Times New Roman" w:hAnsi="Times New Roman" w:eastAsia="宋体" w:cs="Times New Roman"/>
                <w:color w:val="auto"/>
                <w:kern w:val="0"/>
                <w:sz w:val="20"/>
                <w:szCs w:val="20"/>
                <w:highlight w:val="yellow"/>
                <w:lang w:bidi="ar"/>
              </w:rPr>
              <w:t>0.13</w:t>
            </w:r>
          </w:p>
        </w:tc>
      </w:tr>
      <w:tr w14:paraId="1B918977">
        <w:tblPrEx>
          <w:tblCellMar>
            <w:top w:w="0" w:type="dxa"/>
            <w:left w:w="108" w:type="dxa"/>
            <w:bottom w:w="0" w:type="dxa"/>
            <w:right w:w="108" w:type="dxa"/>
          </w:tblCellMar>
        </w:tblPrEx>
        <w:trPr>
          <w:trHeight w:val="280" w:hRule="atLeast"/>
        </w:trPr>
        <w:tc>
          <w:tcPr>
            <w:tcW w:w="1170" w:type="dxa"/>
            <w:tcBorders>
              <w:top w:val="nil"/>
              <w:left w:val="nil"/>
              <w:bottom w:val="nil"/>
              <w:right w:val="nil"/>
            </w:tcBorders>
            <w:shd w:val="clear" w:color="auto" w:fill="auto"/>
            <w:noWrap/>
            <w:vAlign w:val="center"/>
          </w:tcPr>
          <w:p w14:paraId="5FF8C04E">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Th1/Th2</w:t>
            </w:r>
          </w:p>
        </w:tc>
        <w:tc>
          <w:tcPr>
            <w:tcW w:w="931" w:type="dxa"/>
            <w:tcBorders>
              <w:top w:val="nil"/>
              <w:left w:val="nil"/>
              <w:bottom w:val="nil"/>
              <w:right w:val="nil"/>
            </w:tcBorders>
            <w:shd w:val="clear" w:color="auto" w:fill="auto"/>
            <w:noWrap/>
            <w:vAlign w:val="center"/>
          </w:tcPr>
          <w:p w14:paraId="0D4EAFD3">
            <w:pPr>
              <w:widowControl/>
              <w:jc w:val="center"/>
              <w:textAlignment w:val="center"/>
              <w:rPr>
                <w:rFonts w:hint="default" w:ascii="Times New Roman" w:hAnsi="Times New Roman" w:eastAsia="宋体" w:cs="Times New Roman"/>
                <w:color w:val="auto"/>
                <w:kern w:val="0"/>
                <w:sz w:val="20"/>
                <w:szCs w:val="20"/>
                <w:highlight w:val="none"/>
                <w:lang w:bidi="ar"/>
              </w:rPr>
            </w:pPr>
            <w:r>
              <w:rPr>
                <w:rFonts w:hint="eastAsia" w:ascii="Times New Roman" w:hAnsi="Times New Roman" w:eastAsia="宋体" w:cs="Times New Roman"/>
                <w:color w:val="auto"/>
                <w:kern w:val="0"/>
                <w:sz w:val="20"/>
                <w:szCs w:val="20"/>
                <w:highlight w:val="none"/>
                <w:lang w:val="en-US" w:eastAsia="zh-CN" w:bidi="ar"/>
              </w:rPr>
              <w:t>1.43</w:t>
            </w:r>
          </w:p>
        </w:tc>
        <w:tc>
          <w:tcPr>
            <w:tcW w:w="903" w:type="dxa"/>
            <w:tcBorders>
              <w:top w:val="nil"/>
              <w:left w:val="nil"/>
              <w:bottom w:val="nil"/>
              <w:right w:val="nil"/>
            </w:tcBorders>
            <w:shd w:val="clear" w:color="auto" w:fill="auto"/>
            <w:noWrap/>
            <w:vAlign w:val="center"/>
          </w:tcPr>
          <w:p w14:paraId="64F66A9E">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2.94</w:t>
            </w:r>
          </w:p>
        </w:tc>
        <w:tc>
          <w:tcPr>
            <w:tcW w:w="903" w:type="dxa"/>
            <w:tcBorders>
              <w:top w:val="nil"/>
              <w:left w:val="nil"/>
              <w:bottom w:val="nil"/>
              <w:right w:val="nil"/>
            </w:tcBorders>
            <w:shd w:val="clear" w:color="auto" w:fill="auto"/>
            <w:noWrap/>
            <w:vAlign w:val="center"/>
          </w:tcPr>
          <w:p w14:paraId="5C651A05">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7.72</w:t>
            </w:r>
          </w:p>
        </w:tc>
        <w:tc>
          <w:tcPr>
            <w:tcW w:w="903" w:type="dxa"/>
            <w:tcBorders>
              <w:top w:val="nil"/>
              <w:left w:val="nil"/>
              <w:bottom w:val="nil"/>
              <w:right w:val="nil"/>
            </w:tcBorders>
            <w:shd w:val="clear" w:color="auto" w:fill="auto"/>
            <w:noWrap/>
            <w:vAlign w:val="center"/>
          </w:tcPr>
          <w:p w14:paraId="2DA41DDD">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3.56</w:t>
            </w:r>
          </w:p>
        </w:tc>
        <w:tc>
          <w:tcPr>
            <w:tcW w:w="903" w:type="dxa"/>
            <w:tcBorders>
              <w:top w:val="nil"/>
              <w:left w:val="nil"/>
              <w:bottom w:val="nil"/>
              <w:right w:val="nil"/>
            </w:tcBorders>
            <w:shd w:val="clear" w:color="auto" w:fill="auto"/>
            <w:noWrap/>
            <w:vAlign w:val="center"/>
          </w:tcPr>
          <w:p w14:paraId="0C1A7E48">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2.67</w:t>
            </w:r>
          </w:p>
        </w:tc>
        <w:tc>
          <w:tcPr>
            <w:tcW w:w="903" w:type="dxa"/>
            <w:tcBorders>
              <w:top w:val="nil"/>
              <w:left w:val="nil"/>
              <w:bottom w:val="nil"/>
              <w:right w:val="nil"/>
            </w:tcBorders>
            <w:shd w:val="clear" w:color="auto" w:fill="auto"/>
            <w:noWrap/>
            <w:vAlign w:val="center"/>
          </w:tcPr>
          <w:p w14:paraId="6F6B3F35">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5.67</w:t>
            </w:r>
          </w:p>
        </w:tc>
        <w:tc>
          <w:tcPr>
            <w:tcW w:w="903" w:type="dxa"/>
            <w:tcBorders>
              <w:top w:val="nil"/>
              <w:left w:val="nil"/>
              <w:bottom w:val="nil"/>
              <w:right w:val="nil"/>
            </w:tcBorders>
            <w:shd w:val="clear" w:color="auto" w:fill="auto"/>
            <w:noWrap/>
            <w:vAlign w:val="center"/>
          </w:tcPr>
          <w:p w14:paraId="0064D728">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3.55</w:t>
            </w:r>
          </w:p>
        </w:tc>
        <w:tc>
          <w:tcPr>
            <w:tcW w:w="903" w:type="dxa"/>
            <w:tcBorders>
              <w:top w:val="nil"/>
              <w:left w:val="nil"/>
              <w:bottom w:val="nil"/>
              <w:right w:val="nil"/>
            </w:tcBorders>
            <w:shd w:val="clear" w:color="auto" w:fill="auto"/>
            <w:noWrap/>
            <w:vAlign w:val="center"/>
          </w:tcPr>
          <w:p w14:paraId="379ED999">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1.00</w:t>
            </w:r>
          </w:p>
        </w:tc>
        <w:tc>
          <w:tcPr>
            <w:tcW w:w="904" w:type="dxa"/>
            <w:tcBorders>
              <w:top w:val="nil"/>
              <w:left w:val="nil"/>
              <w:bottom w:val="nil"/>
              <w:right w:val="nil"/>
            </w:tcBorders>
            <w:shd w:val="clear" w:color="auto" w:fill="auto"/>
            <w:noWrap/>
            <w:vAlign w:val="center"/>
          </w:tcPr>
          <w:p w14:paraId="640E81AC">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0.46</w:t>
            </w:r>
          </w:p>
        </w:tc>
      </w:tr>
      <w:tr w14:paraId="520EADBF">
        <w:tblPrEx>
          <w:tblCellMar>
            <w:top w:w="0" w:type="dxa"/>
            <w:left w:w="108" w:type="dxa"/>
            <w:bottom w:w="0" w:type="dxa"/>
            <w:right w:w="108" w:type="dxa"/>
          </w:tblCellMar>
        </w:tblPrEx>
        <w:trPr>
          <w:trHeight w:val="280" w:hRule="atLeast"/>
        </w:trPr>
        <w:tc>
          <w:tcPr>
            <w:tcW w:w="1170" w:type="dxa"/>
            <w:tcBorders>
              <w:top w:val="nil"/>
              <w:left w:val="nil"/>
              <w:bottom w:val="nil"/>
              <w:right w:val="nil"/>
            </w:tcBorders>
            <w:shd w:val="clear" w:color="auto" w:fill="auto"/>
            <w:noWrap/>
            <w:vAlign w:val="center"/>
          </w:tcPr>
          <w:p w14:paraId="395355E0">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IL-4</w:t>
            </w:r>
          </w:p>
        </w:tc>
        <w:tc>
          <w:tcPr>
            <w:tcW w:w="931" w:type="dxa"/>
            <w:tcBorders>
              <w:top w:val="nil"/>
              <w:left w:val="nil"/>
              <w:bottom w:val="nil"/>
              <w:right w:val="nil"/>
            </w:tcBorders>
            <w:shd w:val="clear" w:color="auto" w:fill="auto"/>
            <w:noWrap/>
            <w:vAlign w:val="center"/>
          </w:tcPr>
          <w:p w14:paraId="4E112024">
            <w:pPr>
              <w:keepNext w:val="0"/>
              <w:keepLines w:val="0"/>
              <w:widowControl/>
              <w:suppressLineNumbers w:val="0"/>
              <w:jc w:val="center"/>
              <w:textAlignment w:val="center"/>
              <w:rPr>
                <w:rFonts w:ascii="Times New Roman" w:hAnsi="Times New Roman" w:eastAsia="宋体" w:cs="Times New Roman"/>
                <w:color w:val="auto"/>
                <w:kern w:val="0"/>
                <w:sz w:val="20"/>
                <w:szCs w:val="20"/>
                <w:highlight w:val="none"/>
                <w:lang w:bidi="ar"/>
              </w:rPr>
            </w:pPr>
            <w:r>
              <w:rPr>
                <w:rFonts w:hint="default" w:ascii="Times New Roman" w:hAnsi="Times New Roman" w:eastAsia="宋体" w:cs="Times New Roman"/>
                <w:i w:val="0"/>
                <w:iCs w:val="0"/>
                <w:color w:val="auto"/>
                <w:kern w:val="0"/>
                <w:sz w:val="20"/>
                <w:szCs w:val="20"/>
                <w:highlight w:val="none"/>
                <w:u w:val="none"/>
                <w:lang w:val="en-US" w:eastAsia="zh-CN" w:bidi="ar"/>
              </w:rPr>
              <w:t>2.01</w:t>
            </w:r>
          </w:p>
        </w:tc>
        <w:tc>
          <w:tcPr>
            <w:tcW w:w="903" w:type="dxa"/>
            <w:tcBorders>
              <w:top w:val="nil"/>
              <w:left w:val="nil"/>
              <w:bottom w:val="nil"/>
              <w:right w:val="nil"/>
            </w:tcBorders>
            <w:shd w:val="clear" w:color="auto" w:fill="auto"/>
            <w:noWrap/>
            <w:vAlign w:val="center"/>
          </w:tcPr>
          <w:p w14:paraId="4D123C54">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3.52</w:t>
            </w:r>
          </w:p>
        </w:tc>
        <w:tc>
          <w:tcPr>
            <w:tcW w:w="903" w:type="dxa"/>
            <w:tcBorders>
              <w:top w:val="nil"/>
              <w:left w:val="nil"/>
              <w:bottom w:val="nil"/>
              <w:right w:val="nil"/>
            </w:tcBorders>
            <w:shd w:val="clear" w:color="auto" w:fill="auto"/>
            <w:noWrap/>
            <w:vAlign w:val="center"/>
          </w:tcPr>
          <w:p w14:paraId="4FA14712">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7.37</w:t>
            </w:r>
          </w:p>
        </w:tc>
        <w:tc>
          <w:tcPr>
            <w:tcW w:w="903" w:type="dxa"/>
            <w:tcBorders>
              <w:top w:val="nil"/>
              <w:left w:val="nil"/>
              <w:bottom w:val="nil"/>
              <w:right w:val="nil"/>
            </w:tcBorders>
            <w:shd w:val="clear" w:color="auto" w:fill="auto"/>
            <w:noWrap/>
            <w:vAlign w:val="center"/>
          </w:tcPr>
          <w:p w14:paraId="79304E3C">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2.10</w:t>
            </w:r>
          </w:p>
        </w:tc>
        <w:tc>
          <w:tcPr>
            <w:tcW w:w="903" w:type="dxa"/>
            <w:tcBorders>
              <w:top w:val="nil"/>
              <w:left w:val="nil"/>
              <w:bottom w:val="nil"/>
              <w:right w:val="nil"/>
            </w:tcBorders>
            <w:shd w:val="clear" w:color="auto" w:fill="auto"/>
            <w:noWrap/>
            <w:vAlign w:val="center"/>
          </w:tcPr>
          <w:p w14:paraId="4D3645B0">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1.95</w:t>
            </w:r>
          </w:p>
        </w:tc>
        <w:tc>
          <w:tcPr>
            <w:tcW w:w="903" w:type="dxa"/>
            <w:tcBorders>
              <w:top w:val="nil"/>
              <w:left w:val="nil"/>
              <w:bottom w:val="nil"/>
              <w:right w:val="nil"/>
            </w:tcBorders>
            <w:shd w:val="clear" w:color="auto" w:fill="auto"/>
            <w:noWrap/>
            <w:vAlign w:val="center"/>
          </w:tcPr>
          <w:p w14:paraId="361C4E60">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3.66</w:t>
            </w:r>
          </w:p>
        </w:tc>
        <w:tc>
          <w:tcPr>
            <w:tcW w:w="903" w:type="dxa"/>
            <w:tcBorders>
              <w:top w:val="nil"/>
              <w:left w:val="nil"/>
              <w:bottom w:val="nil"/>
              <w:right w:val="nil"/>
            </w:tcBorders>
            <w:shd w:val="clear" w:color="auto" w:fill="auto"/>
            <w:noWrap/>
            <w:vAlign w:val="center"/>
          </w:tcPr>
          <w:p w14:paraId="76F77FC1">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2.86</w:t>
            </w:r>
          </w:p>
        </w:tc>
        <w:tc>
          <w:tcPr>
            <w:tcW w:w="903" w:type="dxa"/>
            <w:tcBorders>
              <w:top w:val="nil"/>
              <w:left w:val="nil"/>
              <w:bottom w:val="nil"/>
              <w:right w:val="nil"/>
            </w:tcBorders>
            <w:shd w:val="clear" w:color="auto" w:fill="auto"/>
            <w:noWrap/>
            <w:vAlign w:val="center"/>
          </w:tcPr>
          <w:p w14:paraId="0FED08E0">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2.51</w:t>
            </w:r>
          </w:p>
        </w:tc>
        <w:tc>
          <w:tcPr>
            <w:tcW w:w="904" w:type="dxa"/>
            <w:tcBorders>
              <w:top w:val="nil"/>
              <w:left w:val="nil"/>
              <w:bottom w:val="nil"/>
              <w:right w:val="nil"/>
            </w:tcBorders>
            <w:shd w:val="clear" w:color="auto" w:fill="auto"/>
            <w:noWrap/>
            <w:vAlign w:val="center"/>
          </w:tcPr>
          <w:p w14:paraId="137A334C">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3.3</w:t>
            </w:r>
          </w:p>
        </w:tc>
      </w:tr>
      <w:tr w14:paraId="77C44E2A">
        <w:tblPrEx>
          <w:tblCellMar>
            <w:top w:w="0" w:type="dxa"/>
            <w:left w:w="108" w:type="dxa"/>
            <w:bottom w:w="0" w:type="dxa"/>
            <w:right w:w="108" w:type="dxa"/>
          </w:tblCellMar>
        </w:tblPrEx>
        <w:trPr>
          <w:trHeight w:val="280" w:hRule="atLeast"/>
        </w:trPr>
        <w:tc>
          <w:tcPr>
            <w:tcW w:w="1170" w:type="dxa"/>
            <w:tcBorders>
              <w:top w:val="nil"/>
              <w:left w:val="nil"/>
              <w:bottom w:val="nil"/>
              <w:right w:val="nil"/>
            </w:tcBorders>
            <w:shd w:val="clear" w:color="auto" w:fill="auto"/>
            <w:noWrap/>
            <w:vAlign w:val="center"/>
          </w:tcPr>
          <w:p w14:paraId="182C48A3">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IL-5</w:t>
            </w:r>
          </w:p>
        </w:tc>
        <w:tc>
          <w:tcPr>
            <w:tcW w:w="931" w:type="dxa"/>
            <w:tcBorders>
              <w:top w:val="nil"/>
              <w:left w:val="nil"/>
              <w:bottom w:val="nil"/>
              <w:right w:val="nil"/>
            </w:tcBorders>
            <w:shd w:val="clear" w:color="auto" w:fill="auto"/>
            <w:noWrap/>
            <w:vAlign w:val="center"/>
          </w:tcPr>
          <w:p w14:paraId="09F1E08A">
            <w:pPr>
              <w:keepNext w:val="0"/>
              <w:keepLines w:val="0"/>
              <w:widowControl/>
              <w:suppressLineNumbers w:val="0"/>
              <w:jc w:val="center"/>
              <w:textAlignment w:val="center"/>
              <w:rPr>
                <w:rFonts w:ascii="Times New Roman" w:hAnsi="Times New Roman" w:eastAsia="宋体" w:cs="Times New Roman"/>
                <w:color w:val="auto"/>
                <w:kern w:val="0"/>
                <w:sz w:val="20"/>
                <w:szCs w:val="20"/>
                <w:highlight w:val="none"/>
                <w:lang w:bidi="ar"/>
              </w:rPr>
            </w:pPr>
            <w:r>
              <w:rPr>
                <w:rFonts w:hint="default" w:ascii="Times New Roman" w:hAnsi="Times New Roman" w:eastAsia="宋体" w:cs="Times New Roman"/>
                <w:i w:val="0"/>
                <w:iCs w:val="0"/>
                <w:color w:val="auto"/>
                <w:kern w:val="0"/>
                <w:sz w:val="20"/>
                <w:szCs w:val="20"/>
                <w:highlight w:val="none"/>
                <w:u w:val="none"/>
                <w:lang w:val="en-US" w:eastAsia="zh-CN" w:bidi="ar"/>
              </w:rPr>
              <w:t>3.75</w:t>
            </w:r>
          </w:p>
        </w:tc>
        <w:tc>
          <w:tcPr>
            <w:tcW w:w="903" w:type="dxa"/>
            <w:tcBorders>
              <w:top w:val="nil"/>
              <w:left w:val="nil"/>
              <w:bottom w:val="nil"/>
              <w:right w:val="nil"/>
            </w:tcBorders>
            <w:shd w:val="clear" w:color="auto" w:fill="auto"/>
            <w:noWrap/>
            <w:vAlign w:val="center"/>
          </w:tcPr>
          <w:p w14:paraId="75EB5D4B">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2.80</w:t>
            </w:r>
          </w:p>
        </w:tc>
        <w:tc>
          <w:tcPr>
            <w:tcW w:w="903" w:type="dxa"/>
            <w:tcBorders>
              <w:top w:val="nil"/>
              <w:left w:val="nil"/>
              <w:bottom w:val="nil"/>
              <w:right w:val="nil"/>
            </w:tcBorders>
            <w:shd w:val="clear" w:color="auto" w:fill="auto"/>
            <w:noWrap/>
            <w:vAlign w:val="center"/>
          </w:tcPr>
          <w:p w14:paraId="6166FC68">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3.10</w:t>
            </w:r>
          </w:p>
        </w:tc>
        <w:tc>
          <w:tcPr>
            <w:tcW w:w="903" w:type="dxa"/>
            <w:tcBorders>
              <w:top w:val="nil"/>
              <w:left w:val="nil"/>
              <w:bottom w:val="nil"/>
              <w:right w:val="nil"/>
            </w:tcBorders>
            <w:shd w:val="clear" w:color="auto" w:fill="auto"/>
            <w:noWrap/>
            <w:vAlign w:val="center"/>
          </w:tcPr>
          <w:p w14:paraId="46EE0CDB">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2.50</w:t>
            </w:r>
          </w:p>
        </w:tc>
        <w:tc>
          <w:tcPr>
            <w:tcW w:w="903" w:type="dxa"/>
            <w:tcBorders>
              <w:top w:val="nil"/>
              <w:left w:val="nil"/>
              <w:bottom w:val="nil"/>
              <w:right w:val="nil"/>
            </w:tcBorders>
            <w:shd w:val="clear" w:color="auto" w:fill="auto"/>
            <w:noWrap/>
            <w:vAlign w:val="center"/>
          </w:tcPr>
          <w:p w14:paraId="356FF6B1">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1.90</w:t>
            </w:r>
          </w:p>
        </w:tc>
        <w:tc>
          <w:tcPr>
            <w:tcW w:w="903" w:type="dxa"/>
            <w:tcBorders>
              <w:top w:val="nil"/>
              <w:left w:val="nil"/>
              <w:bottom w:val="nil"/>
              <w:right w:val="nil"/>
            </w:tcBorders>
            <w:shd w:val="clear" w:color="auto" w:fill="auto"/>
            <w:noWrap/>
            <w:vAlign w:val="center"/>
          </w:tcPr>
          <w:p w14:paraId="2357A291">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1.33</w:t>
            </w:r>
          </w:p>
        </w:tc>
        <w:tc>
          <w:tcPr>
            <w:tcW w:w="903" w:type="dxa"/>
            <w:tcBorders>
              <w:top w:val="nil"/>
              <w:left w:val="nil"/>
              <w:bottom w:val="nil"/>
              <w:right w:val="nil"/>
            </w:tcBorders>
            <w:shd w:val="clear" w:color="auto" w:fill="auto"/>
            <w:noWrap/>
            <w:vAlign w:val="center"/>
          </w:tcPr>
          <w:p w14:paraId="74046C57">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1.73</w:t>
            </w:r>
          </w:p>
        </w:tc>
        <w:tc>
          <w:tcPr>
            <w:tcW w:w="903" w:type="dxa"/>
            <w:tcBorders>
              <w:top w:val="nil"/>
              <w:left w:val="nil"/>
              <w:bottom w:val="nil"/>
              <w:right w:val="nil"/>
            </w:tcBorders>
            <w:shd w:val="clear" w:color="auto" w:fill="auto"/>
            <w:noWrap/>
            <w:vAlign w:val="center"/>
          </w:tcPr>
          <w:p w14:paraId="68BD3360">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1.61</w:t>
            </w:r>
          </w:p>
        </w:tc>
        <w:tc>
          <w:tcPr>
            <w:tcW w:w="904" w:type="dxa"/>
            <w:tcBorders>
              <w:top w:val="nil"/>
              <w:left w:val="nil"/>
              <w:bottom w:val="nil"/>
              <w:right w:val="nil"/>
            </w:tcBorders>
            <w:shd w:val="clear" w:color="auto" w:fill="auto"/>
            <w:noWrap/>
            <w:vAlign w:val="center"/>
          </w:tcPr>
          <w:p w14:paraId="3D68C7C3">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2.64</w:t>
            </w:r>
          </w:p>
        </w:tc>
      </w:tr>
      <w:tr w14:paraId="3E6B4F0A">
        <w:tblPrEx>
          <w:tblCellMar>
            <w:top w:w="0" w:type="dxa"/>
            <w:left w:w="108" w:type="dxa"/>
            <w:bottom w:w="0" w:type="dxa"/>
            <w:right w:w="108" w:type="dxa"/>
          </w:tblCellMar>
        </w:tblPrEx>
        <w:trPr>
          <w:trHeight w:val="280" w:hRule="atLeast"/>
        </w:trPr>
        <w:tc>
          <w:tcPr>
            <w:tcW w:w="1170" w:type="dxa"/>
            <w:tcBorders>
              <w:top w:val="nil"/>
              <w:left w:val="nil"/>
              <w:bottom w:val="nil"/>
              <w:right w:val="nil"/>
            </w:tcBorders>
            <w:shd w:val="clear" w:color="auto" w:fill="auto"/>
            <w:noWrap/>
            <w:vAlign w:val="center"/>
          </w:tcPr>
          <w:p w14:paraId="40F7A8A7">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IL-6</w:t>
            </w:r>
          </w:p>
        </w:tc>
        <w:tc>
          <w:tcPr>
            <w:tcW w:w="931" w:type="dxa"/>
            <w:tcBorders>
              <w:top w:val="nil"/>
              <w:left w:val="nil"/>
              <w:bottom w:val="nil"/>
              <w:right w:val="nil"/>
            </w:tcBorders>
            <w:shd w:val="clear" w:color="auto" w:fill="auto"/>
            <w:noWrap/>
            <w:vAlign w:val="center"/>
          </w:tcPr>
          <w:p w14:paraId="0EA14361">
            <w:pPr>
              <w:keepNext w:val="0"/>
              <w:keepLines w:val="0"/>
              <w:widowControl/>
              <w:suppressLineNumbers w:val="0"/>
              <w:jc w:val="center"/>
              <w:textAlignment w:val="center"/>
              <w:rPr>
                <w:rFonts w:ascii="Times New Roman" w:hAnsi="Times New Roman" w:eastAsia="宋体" w:cs="Times New Roman"/>
                <w:color w:val="auto"/>
                <w:kern w:val="0"/>
                <w:sz w:val="20"/>
                <w:szCs w:val="20"/>
                <w:highlight w:val="none"/>
                <w:lang w:bidi="ar"/>
              </w:rPr>
            </w:pPr>
            <w:r>
              <w:rPr>
                <w:rFonts w:hint="default" w:ascii="Times New Roman" w:hAnsi="Times New Roman" w:eastAsia="宋体" w:cs="Times New Roman"/>
                <w:i w:val="0"/>
                <w:iCs w:val="0"/>
                <w:color w:val="auto"/>
                <w:kern w:val="0"/>
                <w:sz w:val="20"/>
                <w:szCs w:val="20"/>
                <w:highlight w:val="none"/>
                <w:u w:val="none"/>
                <w:lang w:val="en-US" w:eastAsia="zh-CN" w:bidi="ar"/>
              </w:rPr>
              <w:t>5.87</w:t>
            </w:r>
          </w:p>
        </w:tc>
        <w:tc>
          <w:tcPr>
            <w:tcW w:w="903" w:type="dxa"/>
            <w:tcBorders>
              <w:top w:val="nil"/>
              <w:left w:val="nil"/>
              <w:bottom w:val="nil"/>
              <w:right w:val="nil"/>
            </w:tcBorders>
            <w:shd w:val="clear" w:color="auto" w:fill="auto"/>
            <w:noWrap/>
            <w:vAlign w:val="center"/>
          </w:tcPr>
          <w:p w14:paraId="780DF132">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4.03</w:t>
            </w:r>
          </w:p>
        </w:tc>
        <w:tc>
          <w:tcPr>
            <w:tcW w:w="903" w:type="dxa"/>
            <w:tcBorders>
              <w:top w:val="nil"/>
              <w:left w:val="nil"/>
              <w:bottom w:val="nil"/>
              <w:right w:val="nil"/>
            </w:tcBorders>
            <w:shd w:val="clear" w:color="auto" w:fill="auto"/>
            <w:noWrap/>
            <w:vAlign w:val="center"/>
          </w:tcPr>
          <w:p w14:paraId="49EB05E5">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6.59</w:t>
            </w:r>
          </w:p>
        </w:tc>
        <w:tc>
          <w:tcPr>
            <w:tcW w:w="903" w:type="dxa"/>
            <w:tcBorders>
              <w:top w:val="nil"/>
              <w:left w:val="nil"/>
              <w:bottom w:val="nil"/>
              <w:right w:val="nil"/>
            </w:tcBorders>
            <w:shd w:val="clear" w:color="auto" w:fill="auto"/>
            <w:noWrap/>
            <w:vAlign w:val="center"/>
          </w:tcPr>
          <w:p w14:paraId="584E1069">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3.99</w:t>
            </w:r>
          </w:p>
        </w:tc>
        <w:tc>
          <w:tcPr>
            <w:tcW w:w="903" w:type="dxa"/>
            <w:tcBorders>
              <w:top w:val="nil"/>
              <w:left w:val="nil"/>
              <w:bottom w:val="nil"/>
              <w:right w:val="nil"/>
            </w:tcBorders>
            <w:shd w:val="clear" w:color="auto" w:fill="auto"/>
            <w:noWrap/>
            <w:vAlign w:val="center"/>
          </w:tcPr>
          <w:p w14:paraId="45D86D67">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4.59</w:t>
            </w:r>
          </w:p>
        </w:tc>
        <w:tc>
          <w:tcPr>
            <w:tcW w:w="903" w:type="dxa"/>
            <w:tcBorders>
              <w:top w:val="nil"/>
              <w:left w:val="nil"/>
              <w:bottom w:val="nil"/>
              <w:right w:val="nil"/>
            </w:tcBorders>
            <w:shd w:val="clear" w:color="auto" w:fill="auto"/>
            <w:noWrap/>
            <w:vAlign w:val="center"/>
          </w:tcPr>
          <w:p w14:paraId="1AE9D96B">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4.34</w:t>
            </w:r>
          </w:p>
        </w:tc>
        <w:tc>
          <w:tcPr>
            <w:tcW w:w="903" w:type="dxa"/>
            <w:tcBorders>
              <w:top w:val="nil"/>
              <w:left w:val="nil"/>
              <w:bottom w:val="nil"/>
              <w:right w:val="nil"/>
            </w:tcBorders>
            <w:shd w:val="clear" w:color="auto" w:fill="auto"/>
            <w:noWrap/>
            <w:vAlign w:val="center"/>
          </w:tcPr>
          <w:p w14:paraId="18469EE9">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4.03</w:t>
            </w:r>
          </w:p>
        </w:tc>
        <w:tc>
          <w:tcPr>
            <w:tcW w:w="903" w:type="dxa"/>
            <w:tcBorders>
              <w:top w:val="nil"/>
              <w:left w:val="nil"/>
              <w:bottom w:val="nil"/>
              <w:right w:val="nil"/>
            </w:tcBorders>
            <w:shd w:val="clear" w:color="auto" w:fill="auto"/>
            <w:noWrap/>
            <w:vAlign w:val="center"/>
          </w:tcPr>
          <w:p w14:paraId="684B1D98">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4.60</w:t>
            </w:r>
          </w:p>
        </w:tc>
        <w:tc>
          <w:tcPr>
            <w:tcW w:w="904" w:type="dxa"/>
            <w:tcBorders>
              <w:top w:val="nil"/>
              <w:left w:val="nil"/>
              <w:bottom w:val="nil"/>
              <w:right w:val="nil"/>
            </w:tcBorders>
            <w:shd w:val="clear" w:color="auto" w:fill="auto"/>
            <w:noWrap/>
            <w:vAlign w:val="center"/>
          </w:tcPr>
          <w:p w14:paraId="24BB3EF7">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3.59</w:t>
            </w:r>
          </w:p>
        </w:tc>
      </w:tr>
      <w:tr w14:paraId="6DF053E8">
        <w:tblPrEx>
          <w:tblCellMar>
            <w:top w:w="0" w:type="dxa"/>
            <w:left w:w="108" w:type="dxa"/>
            <w:bottom w:w="0" w:type="dxa"/>
            <w:right w:w="108" w:type="dxa"/>
          </w:tblCellMar>
        </w:tblPrEx>
        <w:trPr>
          <w:trHeight w:val="280" w:hRule="atLeast"/>
        </w:trPr>
        <w:tc>
          <w:tcPr>
            <w:tcW w:w="1170" w:type="dxa"/>
            <w:tcBorders>
              <w:top w:val="nil"/>
              <w:left w:val="nil"/>
              <w:bottom w:val="nil"/>
              <w:right w:val="nil"/>
            </w:tcBorders>
            <w:shd w:val="clear" w:color="auto" w:fill="auto"/>
            <w:noWrap/>
            <w:vAlign w:val="center"/>
          </w:tcPr>
          <w:p w14:paraId="35C40D26">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IL-8</w:t>
            </w:r>
          </w:p>
        </w:tc>
        <w:tc>
          <w:tcPr>
            <w:tcW w:w="931" w:type="dxa"/>
            <w:tcBorders>
              <w:top w:val="nil"/>
              <w:left w:val="nil"/>
              <w:bottom w:val="nil"/>
              <w:right w:val="nil"/>
            </w:tcBorders>
            <w:shd w:val="clear" w:color="auto" w:fill="auto"/>
            <w:noWrap/>
            <w:vAlign w:val="center"/>
          </w:tcPr>
          <w:p w14:paraId="4B2D8404">
            <w:pPr>
              <w:keepNext w:val="0"/>
              <w:keepLines w:val="0"/>
              <w:widowControl/>
              <w:suppressLineNumbers w:val="0"/>
              <w:jc w:val="center"/>
              <w:textAlignment w:val="center"/>
              <w:rPr>
                <w:rFonts w:ascii="Times New Roman" w:hAnsi="Times New Roman" w:eastAsia="宋体" w:cs="Times New Roman"/>
                <w:color w:val="auto"/>
                <w:kern w:val="0"/>
                <w:sz w:val="20"/>
                <w:szCs w:val="20"/>
                <w:highlight w:val="none"/>
                <w:lang w:bidi="ar"/>
              </w:rPr>
            </w:pPr>
            <w:r>
              <w:rPr>
                <w:rFonts w:hint="default" w:ascii="Times New Roman" w:hAnsi="Times New Roman" w:eastAsia="宋体" w:cs="Times New Roman"/>
                <w:i w:val="0"/>
                <w:iCs w:val="0"/>
                <w:color w:val="auto"/>
                <w:kern w:val="0"/>
                <w:sz w:val="20"/>
                <w:szCs w:val="20"/>
                <w:highlight w:val="none"/>
                <w:u w:val="none"/>
                <w:lang w:val="en-US" w:eastAsia="zh-CN" w:bidi="ar"/>
              </w:rPr>
              <w:t xml:space="preserve">0.80 </w:t>
            </w:r>
          </w:p>
        </w:tc>
        <w:tc>
          <w:tcPr>
            <w:tcW w:w="903" w:type="dxa"/>
            <w:tcBorders>
              <w:top w:val="nil"/>
              <w:left w:val="nil"/>
              <w:bottom w:val="nil"/>
              <w:right w:val="nil"/>
            </w:tcBorders>
            <w:shd w:val="clear" w:color="auto" w:fill="auto"/>
            <w:noWrap/>
            <w:vAlign w:val="center"/>
          </w:tcPr>
          <w:p w14:paraId="3D392E77">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7.92</w:t>
            </w:r>
          </w:p>
        </w:tc>
        <w:tc>
          <w:tcPr>
            <w:tcW w:w="903" w:type="dxa"/>
            <w:tcBorders>
              <w:top w:val="nil"/>
              <w:left w:val="nil"/>
              <w:bottom w:val="nil"/>
              <w:right w:val="nil"/>
            </w:tcBorders>
            <w:shd w:val="clear" w:color="auto" w:fill="auto"/>
            <w:noWrap/>
            <w:vAlign w:val="center"/>
          </w:tcPr>
          <w:p w14:paraId="55B865E5">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9.51</w:t>
            </w:r>
          </w:p>
        </w:tc>
        <w:tc>
          <w:tcPr>
            <w:tcW w:w="903" w:type="dxa"/>
            <w:tcBorders>
              <w:top w:val="nil"/>
              <w:left w:val="nil"/>
              <w:bottom w:val="nil"/>
              <w:right w:val="nil"/>
            </w:tcBorders>
            <w:shd w:val="clear" w:color="auto" w:fill="auto"/>
            <w:noWrap/>
            <w:vAlign w:val="center"/>
          </w:tcPr>
          <w:p w14:paraId="1E29D3CA">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3.32</w:t>
            </w:r>
          </w:p>
        </w:tc>
        <w:tc>
          <w:tcPr>
            <w:tcW w:w="903" w:type="dxa"/>
            <w:tcBorders>
              <w:top w:val="nil"/>
              <w:left w:val="nil"/>
              <w:bottom w:val="nil"/>
              <w:right w:val="nil"/>
            </w:tcBorders>
            <w:shd w:val="clear" w:color="auto" w:fill="auto"/>
            <w:noWrap/>
            <w:vAlign w:val="center"/>
          </w:tcPr>
          <w:p w14:paraId="45AEBECE">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2.75</w:t>
            </w:r>
          </w:p>
        </w:tc>
        <w:tc>
          <w:tcPr>
            <w:tcW w:w="903" w:type="dxa"/>
            <w:tcBorders>
              <w:top w:val="nil"/>
              <w:left w:val="nil"/>
              <w:bottom w:val="nil"/>
              <w:right w:val="nil"/>
            </w:tcBorders>
            <w:shd w:val="clear" w:color="auto" w:fill="auto"/>
            <w:noWrap/>
            <w:vAlign w:val="center"/>
          </w:tcPr>
          <w:p w14:paraId="5BDAB72E">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3.53</w:t>
            </w:r>
          </w:p>
        </w:tc>
        <w:tc>
          <w:tcPr>
            <w:tcW w:w="903" w:type="dxa"/>
            <w:tcBorders>
              <w:top w:val="nil"/>
              <w:left w:val="nil"/>
              <w:bottom w:val="nil"/>
              <w:right w:val="nil"/>
            </w:tcBorders>
            <w:shd w:val="clear" w:color="auto" w:fill="auto"/>
            <w:noWrap/>
            <w:vAlign w:val="center"/>
          </w:tcPr>
          <w:p w14:paraId="70B25173">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4.01</w:t>
            </w:r>
          </w:p>
        </w:tc>
        <w:tc>
          <w:tcPr>
            <w:tcW w:w="903" w:type="dxa"/>
            <w:tcBorders>
              <w:top w:val="nil"/>
              <w:left w:val="nil"/>
              <w:bottom w:val="nil"/>
              <w:right w:val="nil"/>
            </w:tcBorders>
            <w:shd w:val="clear" w:color="auto" w:fill="auto"/>
            <w:noWrap/>
            <w:vAlign w:val="center"/>
          </w:tcPr>
          <w:p w14:paraId="03EB9EA5">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4.50</w:t>
            </w:r>
          </w:p>
        </w:tc>
        <w:tc>
          <w:tcPr>
            <w:tcW w:w="904" w:type="dxa"/>
            <w:tcBorders>
              <w:top w:val="nil"/>
              <w:left w:val="nil"/>
              <w:bottom w:val="nil"/>
              <w:right w:val="nil"/>
            </w:tcBorders>
            <w:shd w:val="clear" w:color="auto" w:fill="auto"/>
            <w:noWrap/>
            <w:vAlign w:val="center"/>
          </w:tcPr>
          <w:p w14:paraId="0131C8C8">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8.71</w:t>
            </w:r>
          </w:p>
        </w:tc>
      </w:tr>
      <w:tr w14:paraId="20E738D1">
        <w:tblPrEx>
          <w:tblCellMar>
            <w:top w:w="0" w:type="dxa"/>
            <w:left w:w="108" w:type="dxa"/>
            <w:bottom w:w="0" w:type="dxa"/>
            <w:right w:w="108" w:type="dxa"/>
          </w:tblCellMar>
        </w:tblPrEx>
        <w:trPr>
          <w:trHeight w:val="280" w:hRule="atLeast"/>
        </w:trPr>
        <w:tc>
          <w:tcPr>
            <w:tcW w:w="1170" w:type="dxa"/>
            <w:tcBorders>
              <w:top w:val="nil"/>
              <w:left w:val="nil"/>
              <w:bottom w:val="nil"/>
              <w:right w:val="nil"/>
            </w:tcBorders>
            <w:shd w:val="clear" w:color="auto" w:fill="auto"/>
            <w:noWrap/>
            <w:vAlign w:val="center"/>
          </w:tcPr>
          <w:p w14:paraId="37CFCE6A">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IL-10</w:t>
            </w:r>
          </w:p>
        </w:tc>
        <w:tc>
          <w:tcPr>
            <w:tcW w:w="931" w:type="dxa"/>
            <w:tcBorders>
              <w:top w:val="nil"/>
              <w:left w:val="nil"/>
              <w:bottom w:val="nil"/>
              <w:right w:val="nil"/>
            </w:tcBorders>
            <w:shd w:val="clear" w:color="auto" w:fill="auto"/>
            <w:noWrap/>
            <w:vAlign w:val="center"/>
          </w:tcPr>
          <w:p w14:paraId="7C55C489">
            <w:pPr>
              <w:keepNext w:val="0"/>
              <w:keepLines w:val="0"/>
              <w:widowControl/>
              <w:suppressLineNumbers w:val="0"/>
              <w:jc w:val="center"/>
              <w:textAlignment w:val="center"/>
              <w:rPr>
                <w:rFonts w:ascii="Times New Roman" w:hAnsi="Times New Roman" w:eastAsia="宋体" w:cs="Times New Roman"/>
                <w:color w:val="auto"/>
                <w:kern w:val="0"/>
                <w:sz w:val="20"/>
                <w:szCs w:val="20"/>
                <w:highlight w:val="none"/>
                <w:lang w:bidi="ar"/>
              </w:rPr>
            </w:pPr>
            <w:r>
              <w:rPr>
                <w:rFonts w:hint="default" w:ascii="Times New Roman" w:hAnsi="Times New Roman" w:eastAsia="宋体" w:cs="Times New Roman"/>
                <w:i w:val="0"/>
                <w:iCs w:val="0"/>
                <w:color w:val="auto"/>
                <w:kern w:val="0"/>
                <w:sz w:val="20"/>
                <w:szCs w:val="20"/>
                <w:highlight w:val="none"/>
                <w:u w:val="none"/>
                <w:lang w:val="en-US" w:eastAsia="zh-CN" w:bidi="ar"/>
              </w:rPr>
              <w:t>5.46</w:t>
            </w:r>
          </w:p>
        </w:tc>
        <w:tc>
          <w:tcPr>
            <w:tcW w:w="903" w:type="dxa"/>
            <w:tcBorders>
              <w:top w:val="nil"/>
              <w:left w:val="nil"/>
              <w:bottom w:val="nil"/>
              <w:right w:val="nil"/>
            </w:tcBorders>
            <w:shd w:val="clear" w:color="auto" w:fill="auto"/>
            <w:noWrap/>
            <w:vAlign w:val="center"/>
          </w:tcPr>
          <w:p w14:paraId="3A2E8383">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6.23</w:t>
            </w:r>
          </w:p>
        </w:tc>
        <w:tc>
          <w:tcPr>
            <w:tcW w:w="903" w:type="dxa"/>
            <w:tcBorders>
              <w:top w:val="nil"/>
              <w:left w:val="nil"/>
              <w:bottom w:val="nil"/>
              <w:right w:val="nil"/>
            </w:tcBorders>
            <w:shd w:val="clear" w:color="auto" w:fill="auto"/>
            <w:noWrap/>
            <w:vAlign w:val="center"/>
          </w:tcPr>
          <w:p w14:paraId="25780B9D">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6.84</w:t>
            </w:r>
          </w:p>
        </w:tc>
        <w:tc>
          <w:tcPr>
            <w:tcW w:w="903" w:type="dxa"/>
            <w:tcBorders>
              <w:top w:val="nil"/>
              <w:left w:val="nil"/>
              <w:bottom w:val="nil"/>
              <w:right w:val="nil"/>
            </w:tcBorders>
            <w:shd w:val="clear" w:color="auto" w:fill="auto"/>
            <w:noWrap/>
            <w:vAlign w:val="center"/>
          </w:tcPr>
          <w:p w14:paraId="09624368">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4.18</w:t>
            </w:r>
          </w:p>
        </w:tc>
        <w:tc>
          <w:tcPr>
            <w:tcW w:w="903" w:type="dxa"/>
            <w:tcBorders>
              <w:top w:val="nil"/>
              <w:left w:val="nil"/>
              <w:bottom w:val="nil"/>
              <w:right w:val="nil"/>
            </w:tcBorders>
            <w:shd w:val="clear" w:color="auto" w:fill="auto"/>
            <w:noWrap/>
            <w:vAlign w:val="center"/>
          </w:tcPr>
          <w:p w14:paraId="19C09731">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3.76</w:t>
            </w:r>
          </w:p>
        </w:tc>
        <w:tc>
          <w:tcPr>
            <w:tcW w:w="903" w:type="dxa"/>
            <w:tcBorders>
              <w:top w:val="nil"/>
              <w:left w:val="nil"/>
              <w:bottom w:val="nil"/>
              <w:right w:val="nil"/>
            </w:tcBorders>
            <w:shd w:val="clear" w:color="auto" w:fill="auto"/>
            <w:noWrap/>
            <w:vAlign w:val="center"/>
          </w:tcPr>
          <w:p w14:paraId="0C75054D">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4.44</w:t>
            </w:r>
          </w:p>
        </w:tc>
        <w:tc>
          <w:tcPr>
            <w:tcW w:w="903" w:type="dxa"/>
            <w:tcBorders>
              <w:top w:val="nil"/>
              <w:left w:val="nil"/>
              <w:bottom w:val="nil"/>
              <w:right w:val="nil"/>
            </w:tcBorders>
            <w:shd w:val="clear" w:color="auto" w:fill="auto"/>
            <w:noWrap/>
            <w:vAlign w:val="center"/>
          </w:tcPr>
          <w:p w14:paraId="00590DEE">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4.35</w:t>
            </w:r>
          </w:p>
        </w:tc>
        <w:tc>
          <w:tcPr>
            <w:tcW w:w="903" w:type="dxa"/>
            <w:tcBorders>
              <w:top w:val="nil"/>
              <w:left w:val="nil"/>
              <w:bottom w:val="nil"/>
              <w:right w:val="nil"/>
            </w:tcBorders>
            <w:shd w:val="clear" w:color="auto" w:fill="auto"/>
            <w:noWrap/>
            <w:vAlign w:val="center"/>
          </w:tcPr>
          <w:p w14:paraId="7378045A">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4.26</w:t>
            </w:r>
          </w:p>
        </w:tc>
        <w:tc>
          <w:tcPr>
            <w:tcW w:w="904" w:type="dxa"/>
            <w:tcBorders>
              <w:top w:val="nil"/>
              <w:left w:val="nil"/>
              <w:bottom w:val="nil"/>
              <w:right w:val="nil"/>
            </w:tcBorders>
            <w:shd w:val="clear" w:color="auto" w:fill="auto"/>
            <w:noWrap/>
            <w:vAlign w:val="center"/>
          </w:tcPr>
          <w:p w14:paraId="5E4BE6EF">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4.87</w:t>
            </w:r>
          </w:p>
        </w:tc>
      </w:tr>
      <w:tr w14:paraId="4F999893">
        <w:tblPrEx>
          <w:tblCellMar>
            <w:top w:w="0" w:type="dxa"/>
            <w:left w:w="108" w:type="dxa"/>
            <w:bottom w:w="0" w:type="dxa"/>
            <w:right w:w="108" w:type="dxa"/>
          </w:tblCellMar>
        </w:tblPrEx>
        <w:trPr>
          <w:trHeight w:val="280" w:hRule="atLeast"/>
        </w:trPr>
        <w:tc>
          <w:tcPr>
            <w:tcW w:w="1170" w:type="dxa"/>
            <w:tcBorders>
              <w:top w:val="nil"/>
              <w:left w:val="nil"/>
              <w:bottom w:val="nil"/>
              <w:right w:val="nil"/>
            </w:tcBorders>
            <w:shd w:val="clear" w:color="auto" w:fill="auto"/>
            <w:noWrap/>
            <w:vAlign w:val="center"/>
          </w:tcPr>
          <w:p w14:paraId="617B632B">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IL-12P70</w:t>
            </w:r>
          </w:p>
        </w:tc>
        <w:tc>
          <w:tcPr>
            <w:tcW w:w="931" w:type="dxa"/>
            <w:tcBorders>
              <w:top w:val="nil"/>
              <w:left w:val="nil"/>
              <w:bottom w:val="nil"/>
              <w:right w:val="nil"/>
            </w:tcBorders>
            <w:shd w:val="clear" w:color="auto" w:fill="auto"/>
            <w:noWrap/>
            <w:vAlign w:val="center"/>
          </w:tcPr>
          <w:p w14:paraId="3EB31C46">
            <w:pPr>
              <w:keepNext w:val="0"/>
              <w:keepLines w:val="0"/>
              <w:widowControl/>
              <w:suppressLineNumbers w:val="0"/>
              <w:jc w:val="center"/>
              <w:textAlignment w:val="center"/>
              <w:rPr>
                <w:rFonts w:ascii="Times New Roman" w:hAnsi="Times New Roman" w:eastAsia="宋体" w:cs="Times New Roman"/>
                <w:color w:val="auto"/>
                <w:kern w:val="0"/>
                <w:sz w:val="20"/>
                <w:szCs w:val="20"/>
                <w:highlight w:val="none"/>
                <w:lang w:bidi="ar"/>
              </w:rPr>
            </w:pPr>
            <w:r>
              <w:rPr>
                <w:rFonts w:hint="default" w:ascii="Times New Roman" w:hAnsi="Times New Roman" w:eastAsia="宋体" w:cs="Times New Roman"/>
                <w:i w:val="0"/>
                <w:iCs w:val="0"/>
                <w:color w:val="auto"/>
                <w:kern w:val="0"/>
                <w:sz w:val="20"/>
                <w:szCs w:val="20"/>
                <w:highlight w:val="none"/>
                <w:u w:val="none"/>
                <w:lang w:val="en-US" w:eastAsia="zh-CN" w:bidi="ar"/>
              </w:rPr>
              <w:t>2.67</w:t>
            </w:r>
          </w:p>
        </w:tc>
        <w:tc>
          <w:tcPr>
            <w:tcW w:w="903" w:type="dxa"/>
            <w:tcBorders>
              <w:top w:val="nil"/>
              <w:left w:val="nil"/>
              <w:bottom w:val="nil"/>
              <w:right w:val="nil"/>
            </w:tcBorders>
            <w:shd w:val="clear" w:color="auto" w:fill="auto"/>
            <w:noWrap/>
            <w:vAlign w:val="center"/>
          </w:tcPr>
          <w:p w14:paraId="55986021">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4.94</w:t>
            </w:r>
          </w:p>
        </w:tc>
        <w:tc>
          <w:tcPr>
            <w:tcW w:w="903" w:type="dxa"/>
            <w:tcBorders>
              <w:top w:val="nil"/>
              <w:left w:val="nil"/>
              <w:bottom w:val="nil"/>
              <w:right w:val="nil"/>
            </w:tcBorders>
            <w:shd w:val="clear" w:color="auto" w:fill="auto"/>
            <w:noWrap/>
            <w:vAlign w:val="center"/>
          </w:tcPr>
          <w:p w14:paraId="51ACC753">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4.53</w:t>
            </w:r>
          </w:p>
        </w:tc>
        <w:tc>
          <w:tcPr>
            <w:tcW w:w="903" w:type="dxa"/>
            <w:tcBorders>
              <w:top w:val="nil"/>
              <w:left w:val="nil"/>
              <w:bottom w:val="nil"/>
              <w:right w:val="nil"/>
            </w:tcBorders>
            <w:shd w:val="clear" w:color="auto" w:fill="auto"/>
            <w:noWrap/>
            <w:vAlign w:val="center"/>
          </w:tcPr>
          <w:p w14:paraId="6C67A639">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3.93</w:t>
            </w:r>
          </w:p>
        </w:tc>
        <w:tc>
          <w:tcPr>
            <w:tcW w:w="903" w:type="dxa"/>
            <w:tcBorders>
              <w:top w:val="nil"/>
              <w:left w:val="nil"/>
              <w:bottom w:val="nil"/>
              <w:right w:val="nil"/>
            </w:tcBorders>
            <w:shd w:val="clear" w:color="auto" w:fill="auto"/>
            <w:noWrap/>
            <w:vAlign w:val="center"/>
          </w:tcPr>
          <w:p w14:paraId="5F60C833">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3.14</w:t>
            </w:r>
          </w:p>
        </w:tc>
        <w:tc>
          <w:tcPr>
            <w:tcW w:w="903" w:type="dxa"/>
            <w:tcBorders>
              <w:top w:val="nil"/>
              <w:left w:val="nil"/>
              <w:bottom w:val="nil"/>
              <w:right w:val="nil"/>
            </w:tcBorders>
            <w:shd w:val="clear" w:color="auto" w:fill="auto"/>
            <w:noWrap/>
            <w:vAlign w:val="center"/>
          </w:tcPr>
          <w:p w14:paraId="1EED3129">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5.12</w:t>
            </w:r>
          </w:p>
        </w:tc>
        <w:tc>
          <w:tcPr>
            <w:tcW w:w="903" w:type="dxa"/>
            <w:tcBorders>
              <w:top w:val="nil"/>
              <w:left w:val="nil"/>
              <w:bottom w:val="nil"/>
              <w:right w:val="nil"/>
            </w:tcBorders>
            <w:shd w:val="clear" w:color="auto" w:fill="auto"/>
            <w:noWrap/>
            <w:vAlign w:val="center"/>
          </w:tcPr>
          <w:p w14:paraId="0C83A333">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5.03</w:t>
            </w:r>
          </w:p>
        </w:tc>
        <w:tc>
          <w:tcPr>
            <w:tcW w:w="903" w:type="dxa"/>
            <w:tcBorders>
              <w:top w:val="nil"/>
              <w:left w:val="nil"/>
              <w:bottom w:val="nil"/>
              <w:right w:val="nil"/>
            </w:tcBorders>
            <w:shd w:val="clear" w:color="auto" w:fill="auto"/>
            <w:noWrap/>
            <w:vAlign w:val="center"/>
          </w:tcPr>
          <w:p w14:paraId="3118A2EF">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3.92</w:t>
            </w:r>
          </w:p>
        </w:tc>
        <w:tc>
          <w:tcPr>
            <w:tcW w:w="904" w:type="dxa"/>
            <w:tcBorders>
              <w:top w:val="nil"/>
              <w:left w:val="nil"/>
              <w:bottom w:val="nil"/>
              <w:right w:val="nil"/>
            </w:tcBorders>
            <w:shd w:val="clear" w:color="auto" w:fill="auto"/>
            <w:noWrap/>
            <w:vAlign w:val="center"/>
          </w:tcPr>
          <w:p w14:paraId="192F88A3">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3.27</w:t>
            </w:r>
          </w:p>
        </w:tc>
      </w:tr>
      <w:tr w14:paraId="65FA13BC">
        <w:tblPrEx>
          <w:tblCellMar>
            <w:top w:w="0" w:type="dxa"/>
            <w:left w:w="108" w:type="dxa"/>
            <w:bottom w:w="0" w:type="dxa"/>
            <w:right w:w="108" w:type="dxa"/>
          </w:tblCellMar>
        </w:tblPrEx>
        <w:trPr>
          <w:trHeight w:val="280" w:hRule="atLeast"/>
        </w:trPr>
        <w:tc>
          <w:tcPr>
            <w:tcW w:w="1170" w:type="dxa"/>
            <w:tcBorders>
              <w:top w:val="nil"/>
              <w:left w:val="nil"/>
              <w:bottom w:val="nil"/>
              <w:right w:val="nil"/>
            </w:tcBorders>
            <w:shd w:val="clear" w:color="auto" w:fill="auto"/>
            <w:noWrap/>
            <w:vAlign w:val="center"/>
          </w:tcPr>
          <w:p w14:paraId="527F248E">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IL-1β</w:t>
            </w:r>
          </w:p>
        </w:tc>
        <w:tc>
          <w:tcPr>
            <w:tcW w:w="931" w:type="dxa"/>
            <w:tcBorders>
              <w:top w:val="nil"/>
              <w:left w:val="nil"/>
              <w:bottom w:val="nil"/>
              <w:right w:val="nil"/>
            </w:tcBorders>
            <w:shd w:val="clear" w:color="auto" w:fill="auto"/>
            <w:noWrap/>
            <w:vAlign w:val="center"/>
          </w:tcPr>
          <w:p w14:paraId="360E4E0F">
            <w:pPr>
              <w:keepNext w:val="0"/>
              <w:keepLines w:val="0"/>
              <w:widowControl/>
              <w:suppressLineNumbers w:val="0"/>
              <w:jc w:val="center"/>
              <w:textAlignment w:val="center"/>
              <w:rPr>
                <w:rFonts w:ascii="Times New Roman" w:hAnsi="Times New Roman" w:eastAsia="宋体" w:cs="Times New Roman"/>
                <w:color w:val="auto"/>
                <w:kern w:val="0"/>
                <w:sz w:val="20"/>
                <w:szCs w:val="20"/>
                <w:highlight w:val="none"/>
                <w:lang w:bidi="ar"/>
              </w:rPr>
            </w:pPr>
            <w:r>
              <w:rPr>
                <w:rFonts w:hint="default" w:ascii="Times New Roman" w:hAnsi="Times New Roman" w:eastAsia="宋体" w:cs="Times New Roman"/>
                <w:i w:val="0"/>
                <w:iCs w:val="0"/>
                <w:color w:val="auto"/>
                <w:kern w:val="0"/>
                <w:sz w:val="20"/>
                <w:szCs w:val="20"/>
                <w:highlight w:val="none"/>
                <w:u w:val="none"/>
                <w:lang w:val="en-US" w:eastAsia="zh-CN" w:bidi="ar"/>
              </w:rPr>
              <w:t>0.98</w:t>
            </w:r>
          </w:p>
        </w:tc>
        <w:tc>
          <w:tcPr>
            <w:tcW w:w="903" w:type="dxa"/>
            <w:tcBorders>
              <w:top w:val="nil"/>
              <w:left w:val="nil"/>
              <w:bottom w:val="nil"/>
              <w:right w:val="nil"/>
            </w:tcBorders>
            <w:shd w:val="clear" w:color="auto" w:fill="auto"/>
            <w:noWrap/>
            <w:vAlign w:val="center"/>
          </w:tcPr>
          <w:p w14:paraId="72AA3DAA">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2.27</w:t>
            </w:r>
          </w:p>
        </w:tc>
        <w:tc>
          <w:tcPr>
            <w:tcW w:w="903" w:type="dxa"/>
            <w:tcBorders>
              <w:top w:val="nil"/>
              <w:left w:val="nil"/>
              <w:bottom w:val="nil"/>
              <w:right w:val="nil"/>
            </w:tcBorders>
            <w:shd w:val="clear" w:color="auto" w:fill="auto"/>
            <w:noWrap/>
            <w:vAlign w:val="center"/>
          </w:tcPr>
          <w:p w14:paraId="080C9A0C">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3.49</w:t>
            </w:r>
          </w:p>
        </w:tc>
        <w:tc>
          <w:tcPr>
            <w:tcW w:w="903" w:type="dxa"/>
            <w:tcBorders>
              <w:top w:val="nil"/>
              <w:left w:val="nil"/>
              <w:bottom w:val="nil"/>
              <w:right w:val="nil"/>
            </w:tcBorders>
            <w:shd w:val="clear" w:color="auto" w:fill="auto"/>
            <w:noWrap/>
            <w:vAlign w:val="center"/>
          </w:tcPr>
          <w:p w14:paraId="667E786D">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2.37</w:t>
            </w:r>
          </w:p>
        </w:tc>
        <w:tc>
          <w:tcPr>
            <w:tcW w:w="903" w:type="dxa"/>
            <w:tcBorders>
              <w:top w:val="nil"/>
              <w:left w:val="nil"/>
              <w:bottom w:val="nil"/>
              <w:right w:val="nil"/>
            </w:tcBorders>
            <w:shd w:val="clear" w:color="auto" w:fill="auto"/>
            <w:noWrap/>
            <w:vAlign w:val="center"/>
          </w:tcPr>
          <w:p w14:paraId="1CDEE509">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2.06</w:t>
            </w:r>
          </w:p>
        </w:tc>
        <w:tc>
          <w:tcPr>
            <w:tcW w:w="903" w:type="dxa"/>
            <w:tcBorders>
              <w:top w:val="nil"/>
              <w:left w:val="nil"/>
              <w:bottom w:val="nil"/>
              <w:right w:val="nil"/>
            </w:tcBorders>
            <w:shd w:val="clear" w:color="auto" w:fill="auto"/>
            <w:noWrap/>
            <w:vAlign w:val="center"/>
          </w:tcPr>
          <w:p w14:paraId="2E055247">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2.55</w:t>
            </w:r>
          </w:p>
        </w:tc>
        <w:tc>
          <w:tcPr>
            <w:tcW w:w="903" w:type="dxa"/>
            <w:tcBorders>
              <w:top w:val="nil"/>
              <w:left w:val="nil"/>
              <w:bottom w:val="nil"/>
              <w:right w:val="nil"/>
            </w:tcBorders>
            <w:shd w:val="clear" w:color="auto" w:fill="auto"/>
            <w:noWrap/>
            <w:vAlign w:val="center"/>
          </w:tcPr>
          <w:p w14:paraId="1D3236A0">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2.39</w:t>
            </w:r>
          </w:p>
        </w:tc>
        <w:tc>
          <w:tcPr>
            <w:tcW w:w="903" w:type="dxa"/>
            <w:tcBorders>
              <w:top w:val="nil"/>
              <w:left w:val="nil"/>
              <w:bottom w:val="nil"/>
              <w:right w:val="nil"/>
            </w:tcBorders>
            <w:shd w:val="clear" w:color="auto" w:fill="auto"/>
            <w:noWrap/>
            <w:vAlign w:val="center"/>
          </w:tcPr>
          <w:p w14:paraId="2A6660E2">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1.91</w:t>
            </w:r>
          </w:p>
        </w:tc>
        <w:tc>
          <w:tcPr>
            <w:tcW w:w="904" w:type="dxa"/>
            <w:tcBorders>
              <w:top w:val="nil"/>
              <w:left w:val="nil"/>
              <w:bottom w:val="nil"/>
              <w:right w:val="nil"/>
            </w:tcBorders>
            <w:shd w:val="clear" w:color="auto" w:fill="auto"/>
            <w:noWrap/>
            <w:vAlign w:val="center"/>
          </w:tcPr>
          <w:p w14:paraId="349F7FE4">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1.73</w:t>
            </w:r>
          </w:p>
        </w:tc>
      </w:tr>
      <w:tr w14:paraId="367D9463">
        <w:tblPrEx>
          <w:tblCellMar>
            <w:top w:w="0" w:type="dxa"/>
            <w:left w:w="108" w:type="dxa"/>
            <w:bottom w:w="0" w:type="dxa"/>
            <w:right w:w="108" w:type="dxa"/>
          </w:tblCellMar>
        </w:tblPrEx>
        <w:trPr>
          <w:trHeight w:val="280" w:hRule="atLeast"/>
        </w:trPr>
        <w:tc>
          <w:tcPr>
            <w:tcW w:w="1170" w:type="dxa"/>
            <w:tcBorders>
              <w:top w:val="nil"/>
              <w:left w:val="nil"/>
              <w:bottom w:val="nil"/>
              <w:right w:val="nil"/>
            </w:tcBorders>
            <w:shd w:val="clear" w:color="auto" w:fill="auto"/>
            <w:noWrap/>
            <w:vAlign w:val="center"/>
          </w:tcPr>
          <w:p w14:paraId="45D3FF32">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IL-2</w:t>
            </w:r>
          </w:p>
        </w:tc>
        <w:tc>
          <w:tcPr>
            <w:tcW w:w="931" w:type="dxa"/>
            <w:tcBorders>
              <w:top w:val="nil"/>
              <w:left w:val="nil"/>
              <w:bottom w:val="nil"/>
              <w:right w:val="nil"/>
            </w:tcBorders>
            <w:shd w:val="clear" w:color="auto" w:fill="FFFFFF"/>
            <w:noWrap/>
            <w:vAlign w:val="center"/>
          </w:tcPr>
          <w:p w14:paraId="0E1C5ED5">
            <w:pPr>
              <w:keepNext w:val="0"/>
              <w:keepLines w:val="0"/>
              <w:widowControl/>
              <w:suppressLineNumbers w:val="0"/>
              <w:jc w:val="center"/>
              <w:textAlignment w:val="center"/>
              <w:rPr>
                <w:rFonts w:hint="default" w:ascii="Times New Roman" w:hAnsi="Times New Roman" w:eastAsia="宋体" w:cs="Times New Roman"/>
                <w:color w:val="auto"/>
                <w:kern w:val="2"/>
                <w:sz w:val="20"/>
                <w:szCs w:val="20"/>
                <w:highlight w:val="none"/>
                <w:u w:val="none"/>
                <w:lang w:bidi="ar-SA"/>
              </w:rPr>
            </w:pPr>
            <w:r>
              <w:rPr>
                <w:rFonts w:hint="default" w:ascii="Times New Roman" w:hAnsi="Times New Roman" w:eastAsia="宋体" w:cs="Times New Roman"/>
                <w:i w:val="0"/>
                <w:iCs w:val="0"/>
                <w:color w:val="auto"/>
                <w:kern w:val="0"/>
                <w:sz w:val="20"/>
                <w:szCs w:val="20"/>
                <w:highlight w:val="none"/>
                <w:u w:val="none"/>
                <w:lang w:val="en-US" w:eastAsia="zh-CN" w:bidi="ar"/>
              </w:rPr>
              <w:t>8.09</w:t>
            </w:r>
          </w:p>
        </w:tc>
        <w:tc>
          <w:tcPr>
            <w:tcW w:w="903" w:type="dxa"/>
            <w:tcBorders>
              <w:top w:val="nil"/>
              <w:left w:val="nil"/>
              <w:bottom w:val="nil"/>
              <w:right w:val="nil"/>
            </w:tcBorders>
            <w:shd w:val="clear" w:color="auto" w:fill="auto"/>
            <w:noWrap/>
            <w:vAlign w:val="center"/>
          </w:tcPr>
          <w:p w14:paraId="70F1EA37">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3.53</w:t>
            </w:r>
          </w:p>
        </w:tc>
        <w:tc>
          <w:tcPr>
            <w:tcW w:w="903" w:type="dxa"/>
            <w:tcBorders>
              <w:top w:val="nil"/>
              <w:left w:val="nil"/>
              <w:bottom w:val="nil"/>
              <w:right w:val="nil"/>
            </w:tcBorders>
            <w:shd w:val="clear" w:color="auto" w:fill="auto"/>
            <w:noWrap/>
            <w:vAlign w:val="center"/>
          </w:tcPr>
          <w:p w14:paraId="0BB34402">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3.84</w:t>
            </w:r>
          </w:p>
        </w:tc>
        <w:tc>
          <w:tcPr>
            <w:tcW w:w="903" w:type="dxa"/>
            <w:tcBorders>
              <w:top w:val="nil"/>
              <w:left w:val="nil"/>
              <w:bottom w:val="nil"/>
              <w:right w:val="nil"/>
            </w:tcBorders>
            <w:shd w:val="clear" w:color="auto" w:fill="auto"/>
            <w:noWrap/>
            <w:vAlign w:val="center"/>
          </w:tcPr>
          <w:p w14:paraId="7744B64C">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2.67</w:t>
            </w:r>
          </w:p>
        </w:tc>
        <w:tc>
          <w:tcPr>
            <w:tcW w:w="903" w:type="dxa"/>
            <w:tcBorders>
              <w:top w:val="nil"/>
              <w:left w:val="nil"/>
              <w:bottom w:val="nil"/>
              <w:right w:val="nil"/>
            </w:tcBorders>
            <w:shd w:val="clear" w:color="auto" w:fill="auto"/>
            <w:noWrap/>
            <w:vAlign w:val="center"/>
          </w:tcPr>
          <w:p w14:paraId="22127CF2">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2.73</w:t>
            </w:r>
          </w:p>
        </w:tc>
        <w:tc>
          <w:tcPr>
            <w:tcW w:w="903" w:type="dxa"/>
            <w:tcBorders>
              <w:top w:val="nil"/>
              <w:left w:val="nil"/>
              <w:bottom w:val="nil"/>
              <w:right w:val="nil"/>
            </w:tcBorders>
            <w:shd w:val="clear" w:color="auto" w:fill="auto"/>
            <w:noWrap/>
            <w:vAlign w:val="center"/>
          </w:tcPr>
          <w:p w14:paraId="3A5002CB">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2.82</w:t>
            </w:r>
          </w:p>
        </w:tc>
        <w:tc>
          <w:tcPr>
            <w:tcW w:w="903" w:type="dxa"/>
            <w:tcBorders>
              <w:top w:val="nil"/>
              <w:left w:val="nil"/>
              <w:bottom w:val="nil"/>
              <w:right w:val="nil"/>
            </w:tcBorders>
            <w:shd w:val="clear" w:color="auto" w:fill="auto"/>
            <w:noWrap/>
            <w:vAlign w:val="center"/>
          </w:tcPr>
          <w:p w14:paraId="2A87E609">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2.76</w:t>
            </w:r>
          </w:p>
        </w:tc>
        <w:tc>
          <w:tcPr>
            <w:tcW w:w="903" w:type="dxa"/>
            <w:tcBorders>
              <w:top w:val="nil"/>
              <w:left w:val="nil"/>
              <w:bottom w:val="nil"/>
              <w:right w:val="nil"/>
            </w:tcBorders>
            <w:shd w:val="clear" w:color="auto" w:fill="auto"/>
            <w:noWrap/>
            <w:vAlign w:val="center"/>
          </w:tcPr>
          <w:p w14:paraId="3A90BB44">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3.09</w:t>
            </w:r>
          </w:p>
        </w:tc>
        <w:tc>
          <w:tcPr>
            <w:tcW w:w="904" w:type="dxa"/>
            <w:tcBorders>
              <w:top w:val="nil"/>
              <w:left w:val="nil"/>
              <w:bottom w:val="nil"/>
              <w:right w:val="nil"/>
            </w:tcBorders>
            <w:shd w:val="clear" w:color="auto" w:fill="auto"/>
            <w:noWrap/>
            <w:vAlign w:val="center"/>
          </w:tcPr>
          <w:p w14:paraId="5D6CEAEE">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1.48</w:t>
            </w:r>
          </w:p>
        </w:tc>
      </w:tr>
      <w:tr w14:paraId="740D60EC">
        <w:tblPrEx>
          <w:tblCellMar>
            <w:top w:w="0" w:type="dxa"/>
            <w:left w:w="108" w:type="dxa"/>
            <w:bottom w:w="0" w:type="dxa"/>
            <w:right w:w="108" w:type="dxa"/>
          </w:tblCellMar>
        </w:tblPrEx>
        <w:trPr>
          <w:trHeight w:val="280" w:hRule="atLeast"/>
        </w:trPr>
        <w:tc>
          <w:tcPr>
            <w:tcW w:w="1170" w:type="dxa"/>
            <w:tcBorders>
              <w:top w:val="nil"/>
              <w:left w:val="nil"/>
              <w:bottom w:val="nil"/>
              <w:right w:val="nil"/>
            </w:tcBorders>
            <w:shd w:val="clear" w:color="auto" w:fill="auto"/>
            <w:noWrap/>
            <w:vAlign w:val="center"/>
          </w:tcPr>
          <w:p w14:paraId="0AB27156">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IFN-γ</w:t>
            </w:r>
          </w:p>
        </w:tc>
        <w:tc>
          <w:tcPr>
            <w:tcW w:w="931" w:type="dxa"/>
            <w:tcBorders>
              <w:top w:val="nil"/>
              <w:left w:val="nil"/>
              <w:bottom w:val="nil"/>
              <w:right w:val="nil"/>
            </w:tcBorders>
            <w:shd w:val="clear" w:color="auto" w:fill="auto"/>
            <w:noWrap/>
            <w:vAlign w:val="center"/>
          </w:tcPr>
          <w:p w14:paraId="19A0EE58">
            <w:pPr>
              <w:keepNext w:val="0"/>
              <w:keepLines w:val="0"/>
              <w:widowControl/>
              <w:suppressLineNumbers w:val="0"/>
              <w:jc w:val="center"/>
              <w:textAlignment w:val="center"/>
              <w:rPr>
                <w:rFonts w:ascii="Times New Roman" w:hAnsi="Times New Roman" w:eastAsia="宋体" w:cs="Times New Roman"/>
                <w:color w:val="auto"/>
                <w:kern w:val="0"/>
                <w:sz w:val="20"/>
                <w:szCs w:val="20"/>
                <w:highlight w:val="none"/>
                <w:lang w:bidi="ar"/>
              </w:rPr>
            </w:pPr>
            <w:r>
              <w:rPr>
                <w:rFonts w:hint="default" w:ascii="Times New Roman" w:hAnsi="Times New Roman" w:eastAsia="宋体" w:cs="Times New Roman"/>
                <w:i w:val="0"/>
                <w:iCs w:val="0"/>
                <w:color w:val="auto"/>
                <w:kern w:val="0"/>
                <w:sz w:val="20"/>
                <w:szCs w:val="20"/>
                <w:highlight w:val="none"/>
                <w:u w:val="none"/>
                <w:lang w:val="en-US" w:eastAsia="zh-CN" w:bidi="ar"/>
              </w:rPr>
              <w:t>3.54</w:t>
            </w:r>
          </w:p>
        </w:tc>
        <w:tc>
          <w:tcPr>
            <w:tcW w:w="903" w:type="dxa"/>
            <w:tcBorders>
              <w:top w:val="nil"/>
              <w:left w:val="nil"/>
              <w:bottom w:val="nil"/>
              <w:right w:val="nil"/>
            </w:tcBorders>
            <w:shd w:val="clear" w:color="auto" w:fill="auto"/>
            <w:noWrap/>
            <w:vAlign w:val="center"/>
          </w:tcPr>
          <w:p w14:paraId="7AB29BC6">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6.58</w:t>
            </w:r>
          </w:p>
        </w:tc>
        <w:tc>
          <w:tcPr>
            <w:tcW w:w="903" w:type="dxa"/>
            <w:tcBorders>
              <w:top w:val="nil"/>
              <w:left w:val="nil"/>
              <w:bottom w:val="nil"/>
              <w:right w:val="nil"/>
            </w:tcBorders>
            <w:shd w:val="clear" w:color="auto" w:fill="auto"/>
            <w:noWrap/>
            <w:vAlign w:val="center"/>
          </w:tcPr>
          <w:p w14:paraId="310EE93A">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9.74</w:t>
            </w:r>
          </w:p>
        </w:tc>
        <w:tc>
          <w:tcPr>
            <w:tcW w:w="903" w:type="dxa"/>
            <w:tcBorders>
              <w:top w:val="nil"/>
              <w:left w:val="nil"/>
              <w:bottom w:val="nil"/>
              <w:right w:val="nil"/>
            </w:tcBorders>
            <w:shd w:val="clear" w:color="auto" w:fill="auto"/>
            <w:noWrap/>
            <w:vAlign w:val="center"/>
          </w:tcPr>
          <w:p w14:paraId="241617EF">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4.02</w:t>
            </w:r>
          </w:p>
        </w:tc>
        <w:tc>
          <w:tcPr>
            <w:tcW w:w="903" w:type="dxa"/>
            <w:tcBorders>
              <w:top w:val="nil"/>
              <w:left w:val="nil"/>
              <w:bottom w:val="nil"/>
              <w:right w:val="nil"/>
            </w:tcBorders>
            <w:shd w:val="clear" w:color="auto" w:fill="auto"/>
            <w:noWrap/>
            <w:vAlign w:val="center"/>
          </w:tcPr>
          <w:p w14:paraId="7EA0F8B2">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1.52</w:t>
            </w:r>
          </w:p>
        </w:tc>
        <w:tc>
          <w:tcPr>
            <w:tcW w:w="903" w:type="dxa"/>
            <w:tcBorders>
              <w:top w:val="nil"/>
              <w:left w:val="nil"/>
              <w:bottom w:val="nil"/>
              <w:right w:val="nil"/>
            </w:tcBorders>
            <w:shd w:val="clear" w:color="auto" w:fill="auto"/>
            <w:noWrap/>
            <w:vAlign w:val="center"/>
          </w:tcPr>
          <w:p w14:paraId="0071D2CF">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6.98</w:t>
            </w:r>
          </w:p>
        </w:tc>
        <w:tc>
          <w:tcPr>
            <w:tcW w:w="903" w:type="dxa"/>
            <w:tcBorders>
              <w:top w:val="nil"/>
              <w:left w:val="nil"/>
              <w:bottom w:val="nil"/>
              <w:right w:val="nil"/>
            </w:tcBorders>
            <w:shd w:val="clear" w:color="auto" w:fill="auto"/>
            <w:noWrap/>
            <w:vAlign w:val="center"/>
          </w:tcPr>
          <w:p w14:paraId="29B0F258">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3.37</w:t>
            </w:r>
          </w:p>
        </w:tc>
        <w:tc>
          <w:tcPr>
            <w:tcW w:w="903" w:type="dxa"/>
            <w:tcBorders>
              <w:top w:val="nil"/>
              <w:left w:val="nil"/>
              <w:bottom w:val="nil"/>
              <w:right w:val="nil"/>
            </w:tcBorders>
            <w:shd w:val="clear" w:color="auto" w:fill="auto"/>
            <w:noWrap/>
            <w:vAlign w:val="center"/>
          </w:tcPr>
          <w:p w14:paraId="044DD4B8">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5.53</w:t>
            </w:r>
          </w:p>
        </w:tc>
        <w:tc>
          <w:tcPr>
            <w:tcW w:w="904" w:type="dxa"/>
            <w:tcBorders>
              <w:top w:val="nil"/>
              <w:left w:val="nil"/>
              <w:bottom w:val="nil"/>
              <w:right w:val="nil"/>
            </w:tcBorders>
            <w:shd w:val="clear" w:color="auto" w:fill="auto"/>
            <w:noWrap/>
            <w:vAlign w:val="center"/>
          </w:tcPr>
          <w:p w14:paraId="38E63F0B">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4.40</w:t>
            </w:r>
          </w:p>
        </w:tc>
      </w:tr>
      <w:tr w14:paraId="4E7CCE83">
        <w:tblPrEx>
          <w:tblCellMar>
            <w:top w:w="0" w:type="dxa"/>
            <w:left w:w="108" w:type="dxa"/>
            <w:bottom w:w="0" w:type="dxa"/>
            <w:right w:w="108" w:type="dxa"/>
          </w:tblCellMar>
        </w:tblPrEx>
        <w:trPr>
          <w:trHeight w:val="280" w:hRule="atLeast"/>
        </w:trPr>
        <w:tc>
          <w:tcPr>
            <w:tcW w:w="1170" w:type="dxa"/>
            <w:tcBorders>
              <w:top w:val="nil"/>
              <w:left w:val="nil"/>
              <w:bottom w:val="nil"/>
              <w:right w:val="nil"/>
            </w:tcBorders>
            <w:shd w:val="clear" w:color="auto" w:fill="auto"/>
            <w:noWrap/>
            <w:vAlign w:val="center"/>
          </w:tcPr>
          <w:p w14:paraId="404C30AD">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TNF-α</w:t>
            </w:r>
          </w:p>
        </w:tc>
        <w:tc>
          <w:tcPr>
            <w:tcW w:w="931" w:type="dxa"/>
            <w:tcBorders>
              <w:top w:val="nil"/>
              <w:left w:val="nil"/>
              <w:bottom w:val="nil"/>
              <w:right w:val="nil"/>
            </w:tcBorders>
            <w:shd w:val="clear" w:color="auto" w:fill="auto"/>
            <w:noWrap/>
            <w:vAlign w:val="center"/>
          </w:tcPr>
          <w:p w14:paraId="41DF42E8">
            <w:pPr>
              <w:keepNext w:val="0"/>
              <w:keepLines w:val="0"/>
              <w:widowControl/>
              <w:suppressLineNumbers w:val="0"/>
              <w:jc w:val="center"/>
              <w:textAlignment w:val="center"/>
              <w:rPr>
                <w:rFonts w:ascii="Times New Roman" w:hAnsi="Times New Roman" w:eastAsia="宋体" w:cs="Times New Roman"/>
                <w:color w:val="auto"/>
                <w:kern w:val="0"/>
                <w:sz w:val="20"/>
                <w:szCs w:val="20"/>
                <w:highlight w:val="none"/>
                <w:lang w:bidi="ar"/>
              </w:rPr>
            </w:pPr>
            <w:r>
              <w:rPr>
                <w:rFonts w:hint="default" w:ascii="Times New Roman" w:hAnsi="Times New Roman" w:eastAsia="宋体" w:cs="Times New Roman"/>
                <w:i w:val="0"/>
                <w:iCs w:val="0"/>
                <w:color w:val="auto"/>
                <w:kern w:val="0"/>
                <w:sz w:val="20"/>
                <w:szCs w:val="20"/>
                <w:highlight w:val="none"/>
                <w:u w:val="none"/>
                <w:lang w:val="en-US" w:eastAsia="zh-CN" w:bidi="ar"/>
              </w:rPr>
              <w:t>2.48</w:t>
            </w:r>
          </w:p>
        </w:tc>
        <w:tc>
          <w:tcPr>
            <w:tcW w:w="903" w:type="dxa"/>
            <w:tcBorders>
              <w:top w:val="nil"/>
              <w:left w:val="nil"/>
              <w:bottom w:val="nil"/>
              <w:right w:val="nil"/>
            </w:tcBorders>
            <w:shd w:val="clear" w:color="auto" w:fill="auto"/>
            <w:noWrap/>
            <w:vAlign w:val="center"/>
          </w:tcPr>
          <w:p w14:paraId="45F428E6">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8.54</w:t>
            </w:r>
          </w:p>
        </w:tc>
        <w:tc>
          <w:tcPr>
            <w:tcW w:w="903" w:type="dxa"/>
            <w:tcBorders>
              <w:top w:val="nil"/>
              <w:left w:val="nil"/>
              <w:bottom w:val="nil"/>
              <w:right w:val="nil"/>
            </w:tcBorders>
            <w:shd w:val="clear" w:color="auto" w:fill="auto"/>
            <w:noWrap/>
            <w:vAlign w:val="center"/>
          </w:tcPr>
          <w:p w14:paraId="42D1E768">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13.78</w:t>
            </w:r>
          </w:p>
        </w:tc>
        <w:tc>
          <w:tcPr>
            <w:tcW w:w="903" w:type="dxa"/>
            <w:tcBorders>
              <w:top w:val="nil"/>
              <w:left w:val="nil"/>
              <w:bottom w:val="nil"/>
              <w:right w:val="nil"/>
            </w:tcBorders>
            <w:shd w:val="clear" w:color="auto" w:fill="auto"/>
            <w:noWrap/>
            <w:vAlign w:val="center"/>
          </w:tcPr>
          <w:p w14:paraId="09A7512F">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6.24</w:t>
            </w:r>
          </w:p>
        </w:tc>
        <w:tc>
          <w:tcPr>
            <w:tcW w:w="903" w:type="dxa"/>
            <w:tcBorders>
              <w:top w:val="nil"/>
              <w:left w:val="nil"/>
              <w:bottom w:val="nil"/>
              <w:right w:val="nil"/>
            </w:tcBorders>
            <w:shd w:val="clear" w:color="auto" w:fill="auto"/>
            <w:noWrap/>
            <w:vAlign w:val="center"/>
          </w:tcPr>
          <w:p w14:paraId="72E227BA">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4.17</w:t>
            </w:r>
          </w:p>
        </w:tc>
        <w:tc>
          <w:tcPr>
            <w:tcW w:w="903" w:type="dxa"/>
            <w:tcBorders>
              <w:top w:val="nil"/>
              <w:left w:val="nil"/>
              <w:bottom w:val="nil"/>
              <w:right w:val="nil"/>
            </w:tcBorders>
            <w:shd w:val="clear" w:color="auto" w:fill="auto"/>
            <w:noWrap/>
            <w:vAlign w:val="center"/>
          </w:tcPr>
          <w:p w14:paraId="691AF87D">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3.42</w:t>
            </w:r>
          </w:p>
        </w:tc>
        <w:tc>
          <w:tcPr>
            <w:tcW w:w="903" w:type="dxa"/>
            <w:tcBorders>
              <w:top w:val="nil"/>
              <w:left w:val="nil"/>
              <w:bottom w:val="nil"/>
              <w:right w:val="nil"/>
            </w:tcBorders>
            <w:shd w:val="clear" w:color="auto" w:fill="auto"/>
            <w:noWrap/>
            <w:vAlign w:val="center"/>
          </w:tcPr>
          <w:p w14:paraId="4ABBBF3B">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5.28</w:t>
            </w:r>
          </w:p>
        </w:tc>
        <w:tc>
          <w:tcPr>
            <w:tcW w:w="903" w:type="dxa"/>
            <w:tcBorders>
              <w:top w:val="nil"/>
              <w:left w:val="nil"/>
              <w:bottom w:val="nil"/>
              <w:right w:val="nil"/>
            </w:tcBorders>
            <w:shd w:val="clear" w:color="auto" w:fill="auto"/>
            <w:noWrap/>
            <w:vAlign w:val="center"/>
          </w:tcPr>
          <w:p w14:paraId="1FA422E3">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6.83</w:t>
            </w:r>
          </w:p>
        </w:tc>
        <w:tc>
          <w:tcPr>
            <w:tcW w:w="904" w:type="dxa"/>
            <w:tcBorders>
              <w:top w:val="nil"/>
              <w:left w:val="nil"/>
              <w:bottom w:val="nil"/>
              <w:right w:val="nil"/>
            </w:tcBorders>
            <w:shd w:val="clear" w:color="auto" w:fill="auto"/>
            <w:noWrap/>
            <w:vAlign w:val="center"/>
          </w:tcPr>
          <w:p w14:paraId="76DB19E1">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6.77</w:t>
            </w:r>
          </w:p>
        </w:tc>
      </w:tr>
      <w:tr w14:paraId="31AA69D0">
        <w:tblPrEx>
          <w:tblCellMar>
            <w:top w:w="0" w:type="dxa"/>
            <w:left w:w="108" w:type="dxa"/>
            <w:bottom w:w="0" w:type="dxa"/>
            <w:right w:w="108" w:type="dxa"/>
          </w:tblCellMar>
        </w:tblPrEx>
        <w:trPr>
          <w:trHeight w:val="280" w:hRule="atLeast"/>
        </w:trPr>
        <w:tc>
          <w:tcPr>
            <w:tcW w:w="1170" w:type="dxa"/>
            <w:tcBorders>
              <w:top w:val="nil"/>
              <w:left w:val="nil"/>
              <w:bottom w:val="nil"/>
              <w:right w:val="nil"/>
            </w:tcBorders>
            <w:shd w:val="clear" w:color="auto" w:fill="auto"/>
            <w:noWrap/>
            <w:vAlign w:val="center"/>
          </w:tcPr>
          <w:p w14:paraId="250B6882">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TNF-β</w:t>
            </w:r>
          </w:p>
        </w:tc>
        <w:tc>
          <w:tcPr>
            <w:tcW w:w="931" w:type="dxa"/>
            <w:tcBorders>
              <w:top w:val="nil"/>
              <w:left w:val="nil"/>
              <w:bottom w:val="nil"/>
              <w:right w:val="nil"/>
            </w:tcBorders>
            <w:shd w:val="clear" w:color="auto" w:fill="auto"/>
            <w:noWrap/>
            <w:vAlign w:val="center"/>
          </w:tcPr>
          <w:p w14:paraId="1CEC51A4">
            <w:pPr>
              <w:widowControl/>
              <w:jc w:val="center"/>
              <w:textAlignment w:val="center"/>
              <w:rPr>
                <w:rFonts w:hint="eastAsia" w:ascii="Times New Roman" w:hAnsi="Times New Roman" w:eastAsia="宋体" w:cs="Times New Roman"/>
                <w:color w:val="auto"/>
                <w:kern w:val="0"/>
                <w:sz w:val="20"/>
                <w:szCs w:val="20"/>
                <w:highlight w:val="none"/>
                <w:lang w:bidi="ar"/>
              </w:rPr>
            </w:pPr>
            <w:r>
              <w:rPr>
                <w:rFonts w:hint="eastAsia" w:ascii="Times New Roman" w:hAnsi="Times New Roman" w:eastAsia="宋体" w:cs="Times New Roman"/>
                <w:color w:val="auto"/>
                <w:kern w:val="0"/>
                <w:sz w:val="20"/>
                <w:szCs w:val="20"/>
                <w:highlight w:val="none"/>
                <w:lang w:val="en-US" w:eastAsia="zh-CN" w:bidi="ar"/>
              </w:rPr>
              <w:t>-</w:t>
            </w:r>
          </w:p>
        </w:tc>
        <w:tc>
          <w:tcPr>
            <w:tcW w:w="903" w:type="dxa"/>
            <w:tcBorders>
              <w:top w:val="nil"/>
              <w:left w:val="nil"/>
              <w:bottom w:val="nil"/>
              <w:right w:val="nil"/>
            </w:tcBorders>
            <w:shd w:val="clear" w:color="auto" w:fill="auto"/>
            <w:noWrap/>
            <w:vAlign w:val="center"/>
          </w:tcPr>
          <w:p w14:paraId="41B512CD">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6.38</w:t>
            </w:r>
          </w:p>
        </w:tc>
        <w:tc>
          <w:tcPr>
            <w:tcW w:w="903" w:type="dxa"/>
            <w:tcBorders>
              <w:top w:val="nil"/>
              <w:left w:val="nil"/>
              <w:bottom w:val="nil"/>
              <w:right w:val="nil"/>
            </w:tcBorders>
            <w:shd w:val="clear" w:color="auto" w:fill="auto"/>
            <w:noWrap/>
            <w:vAlign w:val="center"/>
          </w:tcPr>
          <w:p w14:paraId="5A9F1890">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4.2</w:t>
            </w:r>
          </w:p>
        </w:tc>
        <w:tc>
          <w:tcPr>
            <w:tcW w:w="903" w:type="dxa"/>
            <w:tcBorders>
              <w:top w:val="nil"/>
              <w:left w:val="nil"/>
              <w:bottom w:val="nil"/>
              <w:right w:val="nil"/>
            </w:tcBorders>
            <w:shd w:val="clear" w:color="auto" w:fill="auto"/>
            <w:noWrap/>
            <w:vAlign w:val="center"/>
          </w:tcPr>
          <w:p w14:paraId="247E4134">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4.45</w:t>
            </w:r>
          </w:p>
        </w:tc>
        <w:tc>
          <w:tcPr>
            <w:tcW w:w="903" w:type="dxa"/>
            <w:tcBorders>
              <w:top w:val="nil"/>
              <w:left w:val="nil"/>
              <w:bottom w:val="nil"/>
              <w:right w:val="nil"/>
            </w:tcBorders>
            <w:shd w:val="clear" w:color="auto" w:fill="auto"/>
            <w:noWrap/>
            <w:vAlign w:val="center"/>
          </w:tcPr>
          <w:p w14:paraId="1A982928">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3.47</w:t>
            </w:r>
          </w:p>
        </w:tc>
        <w:tc>
          <w:tcPr>
            <w:tcW w:w="903" w:type="dxa"/>
            <w:tcBorders>
              <w:top w:val="nil"/>
              <w:left w:val="nil"/>
              <w:bottom w:val="nil"/>
              <w:right w:val="nil"/>
            </w:tcBorders>
            <w:shd w:val="clear" w:color="auto" w:fill="auto"/>
            <w:noWrap/>
            <w:vAlign w:val="center"/>
          </w:tcPr>
          <w:p w14:paraId="5A6F9F06">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3.31</w:t>
            </w:r>
          </w:p>
        </w:tc>
        <w:tc>
          <w:tcPr>
            <w:tcW w:w="903" w:type="dxa"/>
            <w:tcBorders>
              <w:top w:val="nil"/>
              <w:left w:val="nil"/>
              <w:bottom w:val="nil"/>
              <w:right w:val="nil"/>
            </w:tcBorders>
            <w:shd w:val="clear" w:color="auto" w:fill="auto"/>
            <w:noWrap/>
            <w:vAlign w:val="center"/>
          </w:tcPr>
          <w:p w14:paraId="07348B90">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3.29</w:t>
            </w:r>
          </w:p>
        </w:tc>
        <w:tc>
          <w:tcPr>
            <w:tcW w:w="903" w:type="dxa"/>
            <w:tcBorders>
              <w:top w:val="nil"/>
              <w:left w:val="nil"/>
              <w:bottom w:val="nil"/>
              <w:right w:val="nil"/>
            </w:tcBorders>
            <w:shd w:val="clear" w:color="auto" w:fill="auto"/>
            <w:noWrap/>
            <w:vAlign w:val="center"/>
          </w:tcPr>
          <w:p w14:paraId="05DAD9C0">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3.98</w:t>
            </w:r>
          </w:p>
        </w:tc>
        <w:tc>
          <w:tcPr>
            <w:tcW w:w="904" w:type="dxa"/>
            <w:tcBorders>
              <w:top w:val="nil"/>
              <w:left w:val="nil"/>
              <w:bottom w:val="nil"/>
              <w:right w:val="nil"/>
            </w:tcBorders>
            <w:shd w:val="clear" w:color="auto" w:fill="auto"/>
            <w:noWrap/>
            <w:vAlign w:val="center"/>
          </w:tcPr>
          <w:p w14:paraId="37E04456">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4.27</w:t>
            </w:r>
          </w:p>
        </w:tc>
      </w:tr>
      <w:tr w14:paraId="51EBA198">
        <w:tblPrEx>
          <w:tblCellMar>
            <w:top w:w="0" w:type="dxa"/>
            <w:left w:w="108" w:type="dxa"/>
            <w:bottom w:w="0" w:type="dxa"/>
            <w:right w:w="108" w:type="dxa"/>
          </w:tblCellMar>
        </w:tblPrEx>
        <w:trPr>
          <w:trHeight w:val="280" w:hRule="atLeast"/>
        </w:trPr>
        <w:tc>
          <w:tcPr>
            <w:tcW w:w="1170" w:type="dxa"/>
            <w:tcBorders>
              <w:top w:val="nil"/>
              <w:left w:val="nil"/>
              <w:bottom w:val="nil"/>
              <w:right w:val="nil"/>
            </w:tcBorders>
            <w:shd w:val="clear" w:color="auto" w:fill="auto"/>
            <w:noWrap/>
            <w:vAlign w:val="center"/>
          </w:tcPr>
          <w:p w14:paraId="71AA30D8">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IL-17A</w:t>
            </w:r>
          </w:p>
        </w:tc>
        <w:tc>
          <w:tcPr>
            <w:tcW w:w="931" w:type="dxa"/>
            <w:tcBorders>
              <w:top w:val="nil"/>
              <w:left w:val="nil"/>
              <w:bottom w:val="nil"/>
              <w:right w:val="nil"/>
            </w:tcBorders>
            <w:shd w:val="clear" w:color="auto" w:fill="auto"/>
            <w:noWrap/>
            <w:vAlign w:val="center"/>
          </w:tcPr>
          <w:p w14:paraId="5D5CCFF1">
            <w:pPr>
              <w:keepNext w:val="0"/>
              <w:keepLines w:val="0"/>
              <w:widowControl/>
              <w:suppressLineNumbers w:val="0"/>
              <w:jc w:val="center"/>
              <w:textAlignment w:val="center"/>
              <w:rPr>
                <w:rFonts w:ascii="Times New Roman" w:hAnsi="Times New Roman" w:eastAsia="宋体" w:cs="Times New Roman"/>
                <w:color w:val="auto"/>
                <w:kern w:val="0"/>
                <w:sz w:val="20"/>
                <w:szCs w:val="20"/>
                <w:highlight w:val="none"/>
                <w:lang w:bidi="ar"/>
              </w:rPr>
            </w:pPr>
            <w:r>
              <w:rPr>
                <w:rFonts w:hint="default" w:ascii="Times New Roman" w:hAnsi="Times New Roman" w:eastAsia="宋体" w:cs="Times New Roman"/>
                <w:i w:val="0"/>
                <w:iCs w:val="0"/>
                <w:color w:val="auto"/>
                <w:kern w:val="0"/>
                <w:sz w:val="20"/>
                <w:szCs w:val="20"/>
                <w:highlight w:val="none"/>
                <w:u w:val="none"/>
                <w:lang w:val="en-US" w:eastAsia="zh-CN" w:bidi="ar"/>
              </w:rPr>
              <w:t>1.03</w:t>
            </w:r>
          </w:p>
        </w:tc>
        <w:tc>
          <w:tcPr>
            <w:tcW w:w="903" w:type="dxa"/>
            <w:tcBorders>
              <w:top w:val="nil"/>
              <w:left w:val="nil"/>
              <w:bottom w:val="nil"/>
              <w:right w:val="nil"/>
            </w:tcBorders>
            <w:shd w:val="clear" w:color="auto" w:fill="auto"/>
            <w:noWrap/>
            <w:vAlign w:val="center"/>
          </w:tcPr>
          <w:p w14:paraId="2920B7F8">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5.84</w:t>
            </w:r>
          </w:p>
        </w:tc>
        <w:tc>
          <w:tcPr>
            <w:tcW w:w="903" w:type="dxa"/>
            <w:tcBorders>
              <w:top w:val="nil"/>
              <w:left w:val="nil"/>
              <w:bottom w:val="nil"/>
              <w:right w:val="nil"/>
            </w:tcBorders>
            <w:shd w:val="clear" w:color="auto" w:fill="auto"/>
            <w:noWrap/>
            <w:vAlign w:val="center"/>
          </w:tcPr>
          <w:p w14:paraId="673E7557">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10.41</w:t>
            </w:r>
          </w:p>
        </w:tc>
        <w:tc>
          <w:tcPr>
            <w:tcW w:w="903" w:type="dxa"/>
            <w:tcBorders>
              <w:top w:val="nil"/>
              <w:left w:val="nil"/>
              <w:bottom w:val="nil"/>
              <w:right w:val="nil"/>
            </w:tcBorders>
            <w:shd w:val="clear" w:color="auto" w:fill="auto"/>
            <w:noWrap/>
            <w:vAlign w:val="center"/>
          </w:tcPr>
          <w:p w14:paraId="6228790C">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6.47</w:t>
            </w:r>
          </w:p>
        </w:tc>
        <w:tc>
          <w:tcPr>
            <w:tcW w:w="903" w:type="dxa"/>
            <w:tcBorders>
              <w:top w:val="nil"/>
              <w:left w:val="nil"/>
              <w:bottom w:val="nil"/>
              <w:right w:val="nil"/>
            </w:tcBorders>
            <w:shd w:val="clear" w:color="auto" w:fill="auto"/>
            <w:noWrap/>
            <w:vAlign w:val="center"/>
          </w:tcPr>
          <w:p w14:paraId="45B8B785">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5.19</w:t>
            </w:r>
          </w:p>
        </w:tc>
        <w:tc>
          <w:tcPr>
            <w:tcW w:w="903" w:type="dxa"/>
            <w:tcBorders>
              <w:top w:val="nil"/>
              <w:left w:val="nil"/>
              <w:bottom w:val="nil"/>
              <w:right w:val="nil"/>
            </w:tcBorders>
            <w:shd w:val="clear" w:color="auto" w:fill="auto"/>
            <w:noWrap/>
            <w:vAlign w:val="center"/>
          </w:tcPr>
          <w:p w14:paraId="5A655450">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6.86</w:t>
            </w:r>
          </w:p>
        </w:tc>
        <w:tc>
          <w:tcPr>
            <w:tcW w:w="903" w:type="dxa"/>
            <w:tcBorders>
              <w:top w:val="nil"/>
              <w:left w:val="nil"/>
              <w:bottom w:val="nil"/>
              <w:right w:val="nil"/>
            </w:tcBorders>
            <w:shd w:val="clear" w:color="auto" w:fill="auto"/>
            <w:noWrap/>
            <w:vAlign w:val="center"/>
          </w:tcPr>
          <w:p w14:paraId="7C606996">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6.31</w:t>
            </w:r>
          </w:p>
        </w:tc>
        <w:tc>
          <w:tcPr>
            <w:tcW w:w="903" w:type="dxa"/>
            <w:tcBorders>
              <w:top w:val="nil"/>
              <w:left w:val="nil"/>
              <w:bottom w:val="nil"/>
              <w:right w:val="nil"/>
            </w:tcBorders>
            <w:shd w:val="clear" w:color="auto" w:fill="auto"/>
            <w:noWrap/>
            <w:vAlign w:val="center"/>
          </w:tcPr>
          <w:p w14:paraId="19BF883F">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4.99</w:t>
            </w:r>
          </w:p>
        </w:tc>
        <w:tc>
          <w:tcPr>
            <w:tcW w:w="904" w:type="dxa"/>
            <w:tcBorders>
              <w:top w:val="nil"/>
              <w:left w:val="nil"/>
              <w:bottom w:val="nil"/>
              <w:right w:val="nil"/>
            </w:tcBorders>
            <w:shd w:val="clear" w:color="auto" w:fill="auto"/>
            <w:noWrap/>
            <w:vAlign w:val="center"/>
          </w:tcPr>
          <w:p w14:paraId="63DA89F7">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5.36</w:t>
            </w:r>
          </w:p>
        </w:tc>
      </w:tr>
      <w:tr w14:paraId="08AE09A5">
        <w:tblPrEx>
          <w:tblCellMar>
            <w:top w:w="0" w:type="dxa"/>
            <w:left w:w="108" w:type="dxa"/>
            <w:bottom w:w="0" w:type="dxa"/>
            <w:right w:w="108" w:type="dxa"/>
          </w:tblCellMar>
        </w:tblPrEx>
        <w:trPr>
          <w:trHeight w:val="280" w:hRule="atLeast"/>
        </w:trPr>
        <w:tc>
          <w:tcPr>
            <w:tcW w:w="1170" w:type="dxa"/>
            <w:tcBorders>
              <w:top w:val="nil"/>
              <w:left w:val="nil"/>
              <w:bottom w:val="nil"/>
              <w:right w:val="nil"/>
            </w:tcBorders>
            <w:shd w:val="clear" w:color="auto" w:fill="auto"/>
            <w:noWrap/>
            <w:vAlign w:val="center"/>
          </w:tcPr>
          <w:p w14:paraId="57A32E64">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IL-17F</w:t>
            </w:r>
          </w:p>
        </w:tc>
        <w:tc>
          <w:tcPr>
            <w:tcW w:w="931" w:type="dxa"/>
            <w:tcBorders>
              <w:top w:val="nil"/>
              <w:left w:val="nil"/>
              <w:bottom w:val="nil"/>
              <w:right w:val="nil"/>
            </w:tcBorders>
            <w:shd w:val="clear" w:color="auto" w:fill="auto"/>
            <w:noWrap/>
            <w:vAlign w:val="center"/>
          </w:tcPr>
          <w:p w14:paraId="2C4A8B47">
            <w:pPr>
              <w:keepNext w:val="0"/>
              <w:keepLines w:val="0"/>
              <w:widowControl/>
              <w:suppressLineNumbers w:val="0"/>
              <w:jc w:val="center"/>
              <w:textAlignment w:val="center"/>
              <w:rPr>
                <w:rFonts w:ascii="Times New Roman" w:hAnsi="Times New Roman" w:eastAsia="宋体" w:cs="Times New Roman"/>
                <w:color w:val="auto"/>
                <w:kern w:val="0"/>
                <w:sz w:val="20"/>
                <w:szCs w:val="20"/>
                <w:highlight w:val="none"/>
                <w:lang w:bidi="ar"/>
              </w:rPr>
            </w:pPr>
            <w:r>
              <w:rPr>
                <w:rFonts w:hint="default" w:ascii="Times New Roman" w:hAnsi="Times New Roman" w:eastAsia="宋体" w:cs="Times New Roman"/>
                <w:i w:val="0"/>
                <w:iCs w:val="0"/>
                <w:color w:val="auto"/>
                <w:kern w:val="0"/>
                <w:sz w:val="20"/>
                <w:szCs w:val="20"/>
                <w:highlight w:val="none"/>
                <w:u w:val="none"/>
                <w:lang w:val="en-US" w:eastAsia="zh-CN" w:bidi="ar"/>
              </w:rPr>
              <w:t>3.17</w:t>
            </w:r>
          </w:p>
        </w:tc>
        <w:tc>
          <w:tcPr>
            <w:tcW w:w="903" w:type="dxa"/>
            <w:tcBorders>
              <w:top w:val="nil"/>
              <w:left w:val="nil"/>
              <w:bottom w:val="nil"/>
              <w:right w:val="nil"/>
            </w:tcBorders>
            <w:shd w:val="clear" w:color="auto" w:fill="auto"/>
            <w:noWrap/>
            <w:vAlign w:val="center"/>
          </w:tcPr>
          <w:p w14:paraId="2A379AEE">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5.14</w:t>
            </w:r>
          </w:p>
        </w:tc>
        <w:tc>
          <w:tcPr>
            <w:tcW w:w="903" w:type="dxa"/>
            <w:tcBorders>
              <w:top w:val="nil"/>
              <w:left w:val="nil"/>
              <w:bottom w:val="nil"/>
              <w:right w:val="nil"/>
            </w:tcBorders>
            <w:shd w:val="clear" w:color="auto" w:fill="auto"/>
            <w:noWrap/>
            <w:vAlign w:val="center"/>
          </w:tcPr>
          <w:p w14:paraId="323F65D1">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2.10</w:t>
            </w:r>
          </w:p>
        </w:tc>
        <w:tc>
          <w:tcPr>
            <w:tcW w:w="903" w:type="dxa"/>
            <w:tcBorders>
              <w:top w:val="nil"/>
              <w:left w:val="nil"/>
              <w:bottom w:val="nil"/>
              <w:right w:val="nil"/>
            </w:tcBorders>
            <w:shd w:val="clear" w:color="auto" w:fill="auto"/>
            <w:noWrap/>
            <w:vAlign w:val="center"/>
          </w:tcPr>
          <w:p w14:paraId="4531D619">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3.45</w:t>
            </w:r>
          </w:p>
        </w:tc>
        <w:tc>
          <w:tcPr>
            <w:tcW w:w="903" w:type="dxa"/>
            <w:tcBorders>
              <w:top w:val="nil"/>
              <w:left w:val="nil"/>
              <w:bottom w:val="nil"/>
              <w:right w:val="nil"/>
            </w:tcBorders>
            <w:shd w:val="clear" w:color="auto" w:fill="auto"/>
            <w:noWrap/>
            <w:vAlign w:val="center"/>
          </w:tcPr>
          <w:p w14:paraId="23EF4863">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3.64</w:t>
            </w:r>
          </w:p>
        </w:tc>
        <w:tc>
          <w:tcPr>
            <w:tcW w:w="903" w:type="dxa"/>
            <w:tcBorders>
              <w:top w:val="nil"/>
              <w:left w:val="nil"/>
              <w:bottom w:val="nil"/>
              <w:right w:val="nil"/>
            </w:tcBorders>
            <w:shd w:val="clear" w:color="auto" w:fill="auto"/>
            <w:noWrap/>
            <w:vAlign w:val="center"/>
          </w:tcPr>
          <w:p w14:paraId="2DB8C67F">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1.01</w:t>
            </w:r>
          </w:p>
        </w:tc>
        <w:tc>
          <w:tcPr>
            <w:tcW w:w="903" w:type="dxa"/>
            <w:tcBorders>
              <w:top w:val="nil"/>
              <w:left w:val="nil"/>
              <w:bottom w:val="nil"/>
              <w:right w:val="nil"/>
            </w:tcBorders>
            <w:shd w:val="clear" w:color="auto" w:fill="auto"/>
            <w:noWrap/>
            <w:vAlign w:val="center"/>
          </w:tcPr>
          <w:p w14:paraId="24A3C962">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0.73</w:t>
            </w:r>
          </w:p>
        </w:tc>
        <w:tc>
          <w:tcPr>
            <w:tcW w:w="903" w:type="dxa"/>
            <w:tcBorders>
              <w:top w:val="nil"/>
              <w:left w:val="nil"/>
              <w:bottom w:val="nil"/>
              <w:right w:val="nil"/>
            </w:tcBorders>
            <w:shd w:val="clear" w:color="auto" w:fill="auto"/>
            <w:noWrap/>
            <w:vAlign w:val="center"/>
          </w:tcPr>
          <w:p w14:paraId="3A7186E0">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4.17</w:t>
            </w:r>
          </w:p>
        </w:tc>
        <w:tc>
          <w:tcPr>
            <w:tcW w:w="904" w:type="dxa"/>
            <w:tcBorders>
              <w:top w:val="nil"/>
              <w:left w:val="nil"/>
              <w:bottom w:val="nil"/>
              <w:right w:val="nil"/>
            </w:tcBorders>
            <w:shd w:val="clear" w:color="auto" w:fill="auto"/>
            <w:noWrap/>
            <w:vAlign w:val="center"/>
          </w:tcPr>
          <w:p w14:paraId="305003C9">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3.91</w:t>
            </w:r>
          </w:p>
        </w:tc>
      </w:tr>
      <w:tr w14:paraId="1E0FC491">
        <w:tblPrEx>
          <w:tblCellMar>
            <w:top w:w="0" w:type="dxa"/>
            <w:left w:w="108" w:type="dxa"/>
            <w:bottom w:w="0" w:type="dxa"/>
            <w:right w:w="108" w:type="dxa"/>
          </w:tblCellMar>
        </w:tblPrEx>
        <w:trPr>
          <w:trHeight w:val="280" w:hRule="atLeast"/>
        </w:trPr>
        <w:tc>
          <w:tcPr>
            <w:tcW w:w="1170" w:type="dxa"/>
            <w:tcBorders>
              <w:top w:val="nil"/>
              <w:left w:val="nil"/>
              <w:bottom w:val="nil"/>
              <w:right w:val="nil"/>
            </w:tcBorders>
            <w:shd w:val="clear" w:color="auto" w:fill="auto"/>
            <w:noWrap/>
            <w:vAlign w:val="center"/>
          </w:tcPr>
          <w:p w14:paraId="17B4A755">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IL-22</w:t>
            </w:r>
          </w:p>
        </w:tc>
        <w:tc>
          <w:tcPr>
            <w:tcW w:w="931" w:type="dxa"/>
            <w:tcBorders>
              <w:top w:val="nil"/>
              <w:left w:val="nil"/>
              <w:bottom w:val="nil"/>
              <w:right w:val="nil"/>
            </w:tcBorders>
            <w:shd w:val="clear" w:color="auto" w:fill="auto"/>
            <w:noWrap/>
            <w:vAlign w:val="center"/>
          </w:tcPr>
          <w:p w14:paraId="52496000">
            <w:pPr>
              <w:keepNext w:val="0"/>
              <w:keepLines w:val="0"/>
              <w:widowControl/>
              <w:suppressLineNumbers w:val="0"/>
              <w:jc w:val="center"/>
              <w:textAlignment w:val="center"/>
              <w:rPr>
                <w:rFonts w:ascii="Times New Roman" w:hAnsi="Times New Roman" w:eastAsia="宋体" w:cs="Times New Roman"/>
                <w:color w:val="auto"/>
                <w:kern w:val="0"/>
                <w:sz w:val="20"/>
                <w:szCs w:val="20"/>
                <w:highlight w:val="none"/>
                <w:lang w:bidi="ar"/>
              </w:rPr>
            </w:pPr>
            <w:r>
              <w:rPr>
                <w:rFonts w:hint="default" w:ascii="Times New Roman" w:hAnsi="Times New Roman" w:eastAsia="宋体" w:cs="Times New Roman"/>
                <w:i w:val="0"/>
                <w:iCs w:val="0"/>
                <w:color w:val="auto"/>
                <w:kern w:val="0"/>
                <w:sz w:val="20"/>
                <w:szCs w:val="20"/>
                <w:highlight w:val="none"/>
                <w:u w:val="none"/>
                <w:lang w:val="en-US" w:eastAsia="zh-CN" w:bidi="ar"/>
              </w:rPr>
              <w:t>0.99</w:t>
            </w:r>
          </w:p>
        </w:tc>
        <w:tc>
          <w:tcPr>
            <w:tcW w:w="903" w:type="dxa"/>
            <w:tcBorders>
              <w:top w:val="nil"/>
              <w:left w:val="nil"/>
              <w:bottom w:val="nil"/>
              <w:right w:val="nil"/>
            </w:tcBorders>
            <w:shd w:val="clear" w:color="auto" w:fill="auto"/>
            <w:noWrap/>
            <w:vAlign w:val="center"/>
          </w:tcPr>
          <w:p w14:paraId="088417B0">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2.31</w:t>
            </w:r>
          </w:p>
        </w:tc>
        <w:tc>
          <w:tcPr>
            <w:tcW w:w="903" w:type="dxa"/>
            <w:tcBorders>
              <w:top w:val="nil"/>
              <w:left w:val="nil"/>
              <w:bottom w:val="nil"/>
              <w:right w:val="nil"/>
            </w:tcBorders>
            <w:shd w:val="clear" w:color="auto" w:fill="auto"/>
            <w:noWrap/>
            <w:vAlign w:val="center"/>
          </w:tcPr>
          <w:p w14:paraId="4E8D6A11">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1.65</w:t>
            </w:r>
          </w:p>
        </w:tc>
        <w:tc>
          <w:tcPr>
            <w:tcW w:w="903" w:type="dxa"/>
            <w:tcBorders>
              <w:top w:val="nil"/>
              <w:left w:val="nil"/>
              <w:bottom w:val="nil"/>
              <w:right w:val="nil"/>
            </w:tcBorders>
            <w:shd w:val="clear" w:color="auto" w:fill="auto"/>
            <w:noWrap/>
            <w:vAlign w:val="center"/>
          </w:tcPr>
          <w:p w14:paraId="222AF1AF">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0.76</w:t>
            </w:r>
          </w:p>
        </w:tc>
        <w:tc>
          <w:tcPr>
            <w:tcW w:w="903" w:type="dxa"/>
            <w:tcBorders>
              <w:top w:val="nil"/>
              <w:left w:val="nil"/>
              <w:bottom w:val="nil"/>
              <w:right w:val="nil"/>
            </w:tcBorders>
            <w:shd w:val="clear" w:color="auto" w:fill="auto"/>
            <w:noWrap/>
            <w:vAlign w:val="center"/>
          </w:tcPr>
          <w:p w14:paraId="64868271">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0.28</w:t>
            </w:r>
          </w:p>
        </w:tc>
        <w:tc>
          <w:tcPr>
            <w:tcW w:w="903" w:type="dxa"/>
            <w:tcBorders>
              <w:top w:val="nil"/>
              <w:left w:val="nil"/>
              <w:bottom w:val="nil"/>
              <w:right w:val="nil"/>
            </w:tcBorders>
            <w:shd w:val="clear" w:color="auto" w:fill="auto"/>
            <w:noWrap/>
            <w:vAlign w:val="center"/>
          </w:tcPr>
          <w:p w14:paraId="174707EA">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0.62</w:t>
            </w:r>
          </w:p>
        </w:tc>
        <w:tc>
          <w:tcPr>
            <w:tcW w:w="903" w:type="dxa"/>
            <w:tcBorders>
              <w:top w:val="nil"/>
              <w:left w:val="nil"/>
              <w:bottom w:val="nil"/>
              <w:right w:val="nil"/>
            </w:tcBorders>
            <w:shd w:val="clear" w:color="auto" w:fill="auto"/>
            <w:noWrap/>
            <w:vAlign w:val="center"/>
          </w:tcPr>
          <w:p w14:paraId="1B074DD6">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0.78</w:t>
            </w:r>
          </w:p>
        </w:tc>
        <w:tc>
          <w:tcPr>
            <w:tcW w:w="903" w:type="dxa"/>
            <w:tcBorders>
              <w:top w:val="nil"/>
              <w:left w:val="nil"/>
              <w:bottom w:val="nil"/>
              <w:right w:val="nil"/>
            </w:tcBorders>
            <w:shd w:val="clear" w:color="auto" w:fill="auto"/>
            <w:noWrap/>
            <w:vAlign w:val="center"/>
          </w:tcPr>
          <w:p w14:paraId="0241DC91">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1.87</w:t>
            </w:r>
          </w:p>
        </w:tc>
        <w:tc>
          <w:tcPr>
            <w:tcW w:w="904" w:type="dxa"/>
            <w:tcBorders>
              <w:top w:val="nil"/>
              <w:left w:val="nil"/>
              <w:bottom w:val="nil"/>
              <w:right w:val="nil"/>
            </w:tcBorders>
            <w:shd w:val="clear" w:color="auto" w:fill="auto"/>
            <w:noWrap/>
            <w:vAlign w:val="center"/>
          </w:tcPr>
          <w:p w14:paraId="33B767A4">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1.25</w:t>
            </w:r>
          </w:p>
        </w:tc>
      </w:tr>
      <w:tr w14:paraId="248A92EB">
        <w:tblPrEx>
          <w:tblCellMar>
            <w:top w:w="0" w:type="dxa"/>
            <w:left w:w="108" w:type="dxa"/>
            <w:bottom w:w="0" w:type="dxa"/>
            <w:right w:w="108" w:type="dxa"/>
          </w:tblCellMar>
        </w:tblPrEx>
        <w:trPr>
          <w:trHeight w:val="295" w:hRule="atLeast"/>
        </w:trPr>
        <w:tc>
          <w:tcPr>
            <w:tcW w:w="1170" w:type="dxa"/>
            <w:tcBorders>
              <w:top w:val="nil"/>
              <w:left w:val="nil"/>
              <w:bottom w:val="single" w:color="000000" w:sz="12" w:space="0"/>
              <w:right w:val="nil"/>
            </w:tcBorders>
            <w:shd w:val="clear" w:color="auto" w:fill="auto"/>
            <w:noWrap/>
            <w:vAlign w:val="center"/>
          </w:tcPr>
          <w:p w14:paraId="5DF4ABD1">
            <w:pPr>
              <w:widowControl/>
              <w:jc w:val="center"/>
              <w:textAlignment w:val="center"/>
              <w:rPr>
                <w:rFonts w:hint="default" w:ascii="Times New Roman" w:hAnsi="Times New Roman" w:eastAsia="宋体" w:cs="Times New Roman"/>
                <w:color w:val="auto"/>
                <w:kern w:val="0"/>
                <w:sz w:val="20"/>
                <w:szCs w:val="20"/>
                <w:highlight w:val="none"/>
                <w:lang w:bidi="ar"/>
              </w:rPr>
            </w:pPr>
            <w:r>
              <w:rPr>
                <w:rFonts w:ascii="Times New Roman" w:hAnsi="Times New Roman" w:eastAsia="宋体" w:cs="Times New Roman"/>
                <w:color w:val="auto"/>
                <w:kern w:val="0"/>
                <w:sz w:val="20"/>
                <w:szCs w:val="20"/>
                <w:highlight w:val="none"/>
                <w:lang w:bidi="ar"/>
              </w:rPr>
              <w:t>TGF-β</w:t>
            </w:r>
          </w:p>
        </w:tc>
        <w:tc>
          <w:tcPr>
            <w:tcW w:w="931" w:type="dxa"/>
            <w:tcBorders>
              <w:top w:val="nil"/>
              <w:left w:val="nil"/>
              <w:bottom w:val="single" w:color="000000" w:sz="12" w:space="0"/>
              <w:right w:val="nil"/>
            </w:tcBorders>
            <w:shd w:val="clear" w:color="auto" w:fill="auto"/>
            <w:noWrap/>
            <w:vAlign w:val="center"/>
          </w:tcPr>
          <w:p w14:paraId="7581D77D">
            <w:pPr>
              <w:keepNext w:val="0"/>
              <w:keepLines w:val="0"/>
              <w:widowControl/>
              <w:suppressLineNumbers w:val="0"/>
              <w:jc w:val="center"/>
              <w:textAlignment w:val="center"/>
              <w:rPr>
                <w:rFonts w:ascii="Times New Roman" w:hAnsi="Times New Roman" w:eastAsia="宋体" w:cs="Times New Roman"/>
                <w:color w:val="auto"/>
                <w:kern w:val="0"/>
                <w:sz w:val="20"/>
                <w:szCs w:val="20"/>
                <w:highlight w:val="none"/>
                <w:lang w:bidi="ar"/>
              </w:rPr>
            </w:pPr>
            <w:r>
              <w:rPr>
                <w:rFonts w:hint="eastAsia" w:ascii="Times New Roman" w:hAnsi="Times New Roman" w:eastAsia="宋体" w:cs="Times New Roman"/>
                <w:i w:val="0"/>
                <w:iCs w:val="0"/>
                <w:color w:val="auto"/>
                <w:kern w:val="0"/>
                <w:sz w:val="20"/>
                <w:szCs w:val="20"/>
                <w:highlight w:val="none"/>
                <w:u w:val="none"/>
                <w:lang w:val="en-US" w:eastAsia="zh-CN" w:bidi="ar"/>
              </w:rPr>
              <w:t>4</w:t>
            </w:r>
            <w:r>
              <w:rPr>
                <w:rFonts w:hint="default" w:ascii="Times New Roman" w:hAnsi="Times New Roman" w:eastAsia="宋体" w:cs="Times New Roman"/>
                <w:i w:val="0"/>
                <w:iCs w:val="0"/>
                <w:color w:val="auto"/>
                <w:kern w:val="0"/>
                <w:sz w:val="20"/>
                <w:szCs w:val="20"/>
                <w:highlight w:val="none"/>
                <w:u w:val="none"/>
                <w:lang w:val="en-US" w:eastAsia="zh-CN" w:bidi="ar"/>
              </w:rPr>
              <w:t>327.03</w:t>
            </w:r>
          </w:p>
        </w:tc>
        <w:tc>
          <w:tcPr>
            <w:tcW w:w="903" w:type="dxa"/>
            <w:tcBorders>
              <w:top w:val="nil"/>
              <w:left w:val="nil"/>
              <w:bottom w:val="single" w:color="000000" w:sz="12" w:space="0"/>
              <w:right w:val="nil"/>
            </w:tcBorders>
            <w:shd w:val="clear" w:color="auto" w:fill="auto"/>
            <w:noWrap/>
            <w:vAlign w:val="center"/>
          </w:tcPr>
          <w:p w14:paraId="0E705329">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1762.86</w:t>
            </w:r>
          </w:p>
        </w:tc>
        <w:tc>
          <w:tcPr>
            <w:tcW w:w="903" w:type="dxa"/>
            <w:tcBorders>
              <w:top w:val="nil"/>
              <w:left w:val="nil"/>
              <w:bottom w:val="single" w:color="000000" w:sz="12" w:space="0"/>
              <w:right w:val="nil"/>
            </w:tcBorders>
            <w:shd w:val="clear" w:color="auto" w:fill="auto"/>
            <w:noWrap/>
            <w:vAlign w:val="center"/>
          </w:tcPr>
          <w:p w14:paraId="06330465">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877.17</w:t>
            </w:r>
          </w:p>
        </w:tc>
        <w:tc>
          <w:tcPr>
            <w:tcW w:w="903" w:type="dxa"/>
            <w:tcBorders>
              <w:top w:val="nil"/>
              <w:left w:val="nil"/>
              <w:bottom w:val="single" w:color="000000" w:sz="12" w:space="0"/>
              <w:right w:val="nil"/>
            </w:tcBorders>
            <w:shd w:val="clear" w:color="auto" w:fill="auto"/>
            <w:noWrap/>
            <w:vAlign w:val="center"/>
          </w:tcPr>
          <w:p w14:paraId="6E3C4884">
            <w:pPr>
              <w:widowControl/>
              <w:jc w:val="right"/>
              <w:textAlignment w:val="center"/>
              <w:rPr>
                <w:rFonts w:hint="eastAsia"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1741.16</w:t>
            </w:r>
          </w:p>
        </w:tc>
        <w:tc>
          <w:tcPr>
            <w:tcW w:w="903" w:type="dxa"/>
            <w:tcBorders>
              <w:top w:val="nil"/>
              <w:left w:val="nil"/>
              <w:bottom w:val="single" w:color="000000" w:sz="12" w:space="0"/>
              <w:right w:val="nil"/>
            </w:tcBorders>
            <w:shd w:val="clear" w:color="auto" w:fill="auto"/>
            <w:noWrap/>
            <w:vAlign w:val="center"/>
          </w:tcPr>
          <w:p w14:paraId="19B6E824">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1051.35</w:t>
            </w:r>
          </w:p>
        </w:tc>
        <w:tc>
          <w:tcPr>
            <w:tcW w:w="903" w:type="dxa"/>
            <w:tcBorders>
              <w:top w:val="nil"/>
              <w:left w:val="nil"/>
              <w:bottom w:val="single" w:color="000000" w:sz="12" w:space="0"/>
              <w:right w:val="nil"/>
            </w:tcBorders>
            <w:shd w:val="clear" w:color="auto" w:fill="auto"/>
            <w:noWrap/>
            <w:vAlign w:val="center"/>
          </w:tcPr>
          <w:p w14:paraId="18F46E0B">
            <w:pPr>
              <w:widowControl/>
              <w:jc w:val="right"/>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1308.5</w:t>
            </w:r>
          </w:p>
        </w:tc>
        <w:tc>
          <w:tcPr>
            <w:tcW w:w="903" w:type="dxa"/>
            <w:tcBorders>
              <w:top w:val="nil"/>
              <w:left w:val="nil"/>
              <w:bottom w:val="single" w:color="000000" w:sz="12" w:space="0"/>
              <w:right w:val="nil"/>
            </w:tcBorders>
            <w:shd w:val="clear" w:color="auto" w:fill="auto"/>
            <w:noWrap/>
            <w:vAlign w:val="center"/>
          </w:tcPr>
          <w:p w14:paraId="742E61FA">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1948.92</w:t>
            </w:r>
          </w:p>
        </w:tc>
        <w:tc>
          <w:tcPr>
            <w:tcW w:w="903" w:type="dxa"/>
            <w:tcBorders>
              <w:top w:val="nil"/>
              <w:left w:val="nil"/>
              <w:bottom w:val="single" w:color="000000" w:sz="12" w:space="0"/>
              <w:right w:val="nil"/>
            </w:tcBorders>
            <w:shd w:val="clear" w:color="auto" w:fill="auto"/>
            <w:noWrap/>
            <w:vAlign w:val="center"/>
          </w:tcPr>
          <w:p w14:paraId="3271A6B0">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205.12</w:t>
            </w:r>
          </w:p>
        </w:tc>
        <w:tc>
          <w:tcPr>
            <w:tcW w:w="904" w:type="dxa"/>
            <w:tcBorders>
              <w:top w:val="nil"/>
              <w:left w:val="nil"/>
              <w:bottom w:val="single" w:color="000000" w:sz="12" w:space="0"/>
              <w:right w:val="nil"/>
            </w:tcBorders>
            <w:shd w:val="clear" w:color="auto" w:fill="auto"/>
            <w:noWrap/>
            <w:vAlign w:val="center"/>
          </w:tcPr>
          <w:p w14:paraId="4D1472F2">
            <w:pPr>
              <w:widowControl/>
              <w:jc w:val="center"/>
              <w:textAlignment w:val="center"/>
              <w:rPr>
                <w:rFonts w:ascii="Times New Roman" w:hAnsi="Times New Roman" w:eastAsia="宋体" w:cs="Times New Roman"/>
                <w:color w:val="auto"/>
                <w:sz w:val="20"/>
                <w:szCs w:val="20"/>
                <w:highlight w:val="none"/>
              </w:rPr>
            </w:pPr>
            <w:r>
              <w:rPr>
                <w:rFonts w:ascii="Times New Roman" w:hAnsi="Times New Roman" w:eastAsia="宋体" w:cs="Times New Roman"/>
                <w:color w:val="auto"/>
                <w:kern w:val="0"/>
                <w:sz w:val="20"/>
                <w:szCs w:val="20"/>
                <w:highlight w:val="none"/>
                <w:lang w:bidi="ar"/>
              </w:rPr>
              <w:t>1597.07</w:t>
            </w:r>
          </w:p>
        </w:tc>
      </w:tr>
    </w:tbl>
    <w:p w14:paraId="72D05A14">
      <w:pPr>
        <w:jc w:val="center"/>
        <w:rPr>
          <w:rFonts w:ascii="Times New Roman" w:hAnsi="Times New Roman" w:cs="Times New Roman"/>
          <w:color w:val="auto"/>
        </w:rPr>
      </w:pPr>
    </w:p>
    <w:p w14:paraId="48989196">
      <w:pPr>
        <w:rPr>
          <w:rFonts w:ascii="Times New Roman" w:hAnsi="Times New Roman" w:cs="Times New Roman"/>
          <w:color w:val="auto"/>
          <w:sz w:val="28"/>
          <w:szCs w:val="36"/>
        </w:rPr>
      </w:pPr>
      <w:r>
        <w:rPr>
          <w:rFonts w:ascii="Times New Roman" w:hAnsi="Times New Roman" w:cs="Times New Roman"/>
          <w:b/>
          <w:bCs/>
          <w:color w:val="auto"/>
          <w:sz w:val="28"/>
          <w:szCs w:val="36"/>
        </w:rPr>
        <w:t>Discussion and conclusions</w:t>
      </w:r>
    </w:p>
    <w:bookmarkEnd w:id="5"/>
    <w:p w14:paraId="20161364">
      <w:pPr>
        <w:spacing w:line="360" w:lineRule="auto"/>
        <w:ind w:firstLine="240" w:firstLineChars="100"/>
        <w:rPr>
          <w:rFonts w:ascii="Times New Roman" w:hAnsi="Times New Roman" w:cs="Times New Roman"/>
          <w:color w:val="auto"/>
          <w:sz w:val="24"/>
          <w:szCs w:val="32"/>
        </w:rPr>
      </w:pPr>
      <w:r>
        <w:rPr>
          <w:rFonts w:ascii="Times New Roman" w:hAnsi="Times New Roman" w:cs="Times New Roman"/>
          <w:color w:val="auto"/>
          <w:sz w:val="24"/>
          <w:szCs w:val="32"/>
        </w:rPr>
        <w:t>Currently, the treatment landscape for ASD predominantly revolves around behavioral interventions complemented by pharmacotherapies</w:t>
      </w:r>
      <w:r>
        <w:rPr>
          <w:rFonts w:hint="eastAsia" w:ascii="Times New Roman" w:hAnsi="Times New Roman" w:cs="Times New Roman"/>
          <w:color w:val="auto"/>
          <w:sz w:val="24"/>
          <w:szCs w:val="32"/>
        </w:rPr>
        <w:t xml:space="preserve">. </w:t>
      </w:r>
      <w:r>
        <w:rPr>
          <w:rFonts w:ascii="Times New Roman" w:hAnsi="Times New Roman" w:cs="Times New Roman"/>
          <w:color w:val="auto"/>
          <w:sz w:val="24"/>
          <w:szCs w:val="32"/>
        </w:rPr>
        <w:t>Despite explorations into therapies such as intravenous immunoglobulin therapy [</w:t>
      </w:r>
      <w:r>
        <w:rPr>
          <w:rFonts w:hint="eastAsia" w:ascii="Times New Roman" w:hAnsi="Times New Roman" w:cs="Times New Roman"/>
          <w:color w:val="auto"/>
          <w:sz w:val="24"/>
          <w:szCs w:val="32"/>
        </w:rPr>
        <w:t>22</w:t>
      </w:r>
      <w:r>
        <w:rPr>
          <w:rFonts w:ascii="Times New Roman" w:hAnsi="Times New Roman" w:cs="Times New Roman"/>
          <w:color w:val="auto"/>
          <w:sz w:val="24"/>
          <w:szCs w:val="32"/>
        </w:rPr>
        <w:t>] and stem cell therapy [</w:t>
      </w:r>
      <w:r>
        <w:rPr>
          <w:rFonts w:hint="eastAsia" w:ascii="Times New Roman" w:hAnsi="Times New Roman" w:cs="Times New Roman"/>
          <w:color w:val="auto"/>
          <w:sz w:val="24"/>
          <w:szCs w:val="32"/>
        </w:rPr>
        <w:t>23</w:t>
      </w:r>
      <w:r>
        <w:rPr>
          <w:rFonts w:ascii="Times New Roman" w:hAnsi="Times New Roman" w:cs="Times New Roman"/>
          <w:color w:val="auto"/>
          <w:sz w:val="24"/>
          <w:szCs w:val="32"/>
        </w:rPr>
        <w:t xml:space="preserve">], none have shown substantial efficacy in alleviating core ASD symptoms. Given the prevalent immune dysregulation observed in ASD, particularly </w:t>
      </w:r>
      <w:r>
        <w:rPr>
          <w:rFonts w:hint="eastAsia" w:ascii="Times New Roman" w:hAnsi="Times New Roman" w:cs="Times New Roman"/>
          <w:color w:val="auto"/>
          <w:sz w:val="24"/>
          <w:szCs w:val="32"/>
        </w:rPr>
        <w:t>th</w:t>
      </w:r>
      <w:r>
        <w:rPr>
          <w:rFonts w:ascii="Times New Roman" w:hAnsi="Times New Roman" w:cs="Times New Roman"/>
          <w:color w:val="auto"/>
          <w:sz w:val="24"/>
          <w:szCs w:val="32"/>
        </w:rPr>
        <w:t>e number and function of Treg cells are particularly reduced, Ld IL-2</w:t>
      </w:r>
      <w:r>
        <w:rPr>
          <w:rFonts w:hint="eastAsia" w:ascii="Times New Roman" w:hAnsi="Times New Roman" w:cs="Times New Roman"/>
          <w:color w:val="auto"/>
          <w:sz w:val="24"/>
          <w:szCs w:val="32"/>
        </w:rPr>
        <w:t xml:space="preserve"> </w:t>
      </w:r>
      <w:r>
        <w:rPr>
          <w:rFonts w:ascii="Times New Roman" w:hAnsi="Times New Roman" w:cs="Times New Roman"/>
          <w:color w:val="auto"/>
          <w:sz w:val="24"/>
          <w:szCs w:val="32"/>
        </w:rPr>
        <w:t>therapy has emerged as a promising avenue [</w:t>
      </w:r>
      <w:r>
        <w:rPr>
          <w:rFonts w:hint="eastAsia" w:ascii="Times New Roman" w:hAnsi="Times New Roman" w:cs="Times New Roman"/>
          <w:color w:val="auto"/>
          <w:sz w:val="24"/>
          <w:szCs w:val="32"/>
        </w:rPr>
        <w:t>24</w:t>
      </w:r>
      <w:r>
        <w:rPr>
          <w:rFonts w:ascii="Times New Roman" w:hAnsi="Times New Roman" w:cs="Times New Roman"/>
          <w:color w:val="auto"/>
          <w:sz w:val="24"/>
          <w:szCs w:val="32"/>
        </w:rPr>
        <w:t xml:space="preserve">]. </w:t>
      </w:r>
      <w:r>
        <w:rPr>
          <w:rFonts w:hint="eastAsia" w:ascii="Times New Roman" w:hAnsi="Times New Roman" w:cs="Times New Roman"/>
          <w:color w:val="auto"/>
          <w:sz w:val="24"/>
          <w:szCs w:val="32"/>
        </w:rPr>
        <w:t xml:space="preserve">A number of clinical trials showed that Ld IL-2 is safe and effective treatment of AIDs, including systemic lupus erythematosus [25] and type 1 diabetes [26], primary sjogren's syndrome [27] and so on. A clinic trials showed that Ld IL-2 treatment of major depressive disorder and bipolar disorder of depression in patients has safety and clinical efficacy, and treatment that enhances the T cell system may be a way to correct the immune inflammatory abnormalities associated with mood disorders and enhance the antidepressant response [28]. Our study, consistent with international and domestic research, identifies immune system dysfunctions in both peripheral and central systems of children with ASD [21, 29-32]. Immune imbalance and inflammatory lesions are likely to participate in and aggravate ASD lesions, and improving these immune imbalances may be a potential treatment. </w:t>
      </w:r>
    </w:p>
    <w:p w14:paraId="5B2F74AC">
      <w:pPr>
        <w:spacing w:line="360" w:lineRule="auto"/>
        <w:ind w:firstLine="480" w:firstLineChars="200"/>
        <w:rPr>
          <w:rFonts w:ascii="Times New Roman" w:hAnsi="Times New Roman" w:cs="Times New Roman"/>
          <w:color w:val="auto"/>
          <w:sz w:val="24"/>
          <w:szCs w:val="32"/>
        </w:rPr>
      </w:pPr>
      <w:r>
        <w:rPr>
          <w:rFonts w:ascii="Times New Roman" w:hAnsi="Times New Roman" w:cs="Times New Roman"/>
          <w:color w:val="auto"/>
          <w:sz w:val="24"/>
          <w:szCs w:val="32"/>
        </w:rPr>
        <w:t xml:space="preserve">In this study, four children diagnosed with ASD </w:t>
      </w:r>
      <w:r>
        <w:rPr>
          <w:rFonts w:hint="eastAsia" w:ascii="Times New Roman" w:hAnsi="Times New Roman" w:cs="Times New Roman"/>
          <w:color w:val="auto"/>
          <w:sz w:val="24"/>
          <w:szCs w:val="32"/>
        </w:rPr>
        <w:t>w</w:t>
      </w:r>
      <w:r>
        <w:rPr>
          <w:rFonts w:ascii="Times New Roman" w:hAnsi="Times New Roman" w:cs="Times New Roman"/>
          <w:color w:val="auto"/>
          <w:sz w:val="24"/>
          <w:szCs w:val="32"/>
        </w:rPr>
        <w:t xml:space="preserve">ith immune dysregulation </w:t>
      </w:r>
      <w:r>
        <w:rPr>
          <w:rFonts w:hint="eastAsia" w:ascii="Times New Roman" w:hAnsi="Times New Roman" w:cs="Times New Roman"/>
          <w:color w:val="auto"/>
          <w:sz w:val="24"/>
          <w:szCs w:val="32"/>
        </w:rPr>
        <w:t>s</w:t>
      </w:r>
      <w:r>
        <w:rPr>
          <w:rFonts w:ascii="Times New Roman" w:hAnsi="Times New Roman" w:cs="Times New Roman"/>
          <w:color w:val="auto"/>
          <w:sz w:val="24"/>
          <w:szCs w:val="32"/>
        </w:rPr>
        <w:t xml:space="preserve">howed </w:t>
      </w:r>
      <w:r>
        <w:rPr>
          <w:rFonts w:hint="eastAsia" w:ascii="Times New Roman" w:hAnsi="Times New Roman" w:cs="Times New Roman"/>
          <w:color w:val="auto"/>
          <w:sz w:val="24"/>
          <w:szCs w:val="32"/>
          <w:lang w:eastAsia="zh-CN"/>
        </w:rPr>
        <w:t>meaningful</w:t>
      </w:r>
      <w:r>
        <w:rPr>
          <w:rFonts w:ascii="Times New Roman" w:hAnsi="Times New Roman" w:cs="Times New Roman"/>
          <w:color w:val="auto"/>
          <w:sz w:val="24"/>
          <w:szCs w:val="32"/>
        </w:rPr>
        <w:t xml:space="preserve"> clinical improvements following Ld IL-2 treatment, as assessed by healthcare professionals and caregivers. Standardized scales including CARS, ABC, ATEC, and CABS indicated notable reductions across multiple domains. </w:t>
      </w:r>
      <w:r>
        <w:rPr>
          <w:rFonts w:hint="eastAsia" w:ascii="Times New Roman" w:hAnsi="Times New Roman" w:cs="Times New Roman"/>
          <w:color w:val="auto"/>
          <w:sz w:val="24"/>
          <w:szCs w:val="32"/>
        </w:rPr>
        <w:t>Specifically, improvements were most pronounced in the domains of 'Emotional Response,' 'Obiect Use,' and 'Activity Level,' as measured by the CARS scale. ASD is characterized by restricted interests in emotional circuits and repetitive behaviors, often leading to exaggerated subjective experiences and difficulty in appropriately responding to emotions</w:t>
      </w:r>
      <w:r>
        <w:rPr>
          <w:rFonts w:ascii="Times New Roman" w:hAnsi="Times New Roman" w:cs="Times New Roman"/>
          <w:color w:val="auto"/>
          <w:sz w:val="24"/>
          <w:szCs w:val="32"/>
        </w:rPr>
        <w:t xml:space="preserve"> </w:t>
      </w:r>
      <w:r>
        <w:rPr>
          <w:rFonts w:hint="eastAsia" w:ascii="Times New Roman" w:hAnsi="Times New Roman" w:cs="Times New Roman"/>
          <w:color w:val="auto"/>
          <w:sz w:val="24"/>
          <w:szCs w:val="32"/>
        </w:rPr>
        <w:t>[33, 34]. Dysfunction in emotional processing involving areas such as the cerebral cortex, hippocampus, and amygdala is evident from autopsy findings, suggesting structural abnormalities that impair normal emotional feedback mechanisms [35]. ASD often manifests with abnormal hyperactivity and frequently co-occurs with Attention Deficit/Hyperactivity Disorder [36]. The observed behavioral improvements, particularly in emotional response and communication, warrant further investigation into whether Ld IL-2 might modulate neuro-immune interactions relevant to ASD symptoms. However, direct evidence of central nervous system changes was not obtained in this study.</w:t>
      </w:r>
      <w:r>
        <w:rPr>
          <w:rFonts w:hint="eastAsia" w:ascii="Times New Roman" w:hAnsi="Times New Roman" w:cs="Times New Roman"/>
          <w:color w:val="auto"/>
          <w:sz w:val="24"/>
          <w:szCs w:val="32"/>
          <w:lang w:val="en-US" w:eastAsia="zh-CN"/>
        </w:rPr>
        <w:t xml:space="preserve"> </w:t>
      </w:r>
      <w:r>
        <w:rPr>
          <w:rFonts w:hint="eastAsia" w:ascii="Times New Roman" w:hAnsi="Times New Roman" w:cs="Times New Roman"/>
          <w:color w:val="auto"/>
          <w:sz w:val="24"/>
          <w:szCs w:val="32"/>
        </w:rPr>
        <w:t xml:space="preserve">Following Ld IL-2 therapy, </w:t>
      </w:r>
      <w:r>
        <w:rPr>
          <w:rFonts w:hint="eastAsia" w:ascii="Times New Roman" w:hAnsi="Times New Roman" w:cs="Times New Roman"/>
          <w:color w:val="auto"/>
          <w:sz w:val="24"/>
          <w:szCs w:val="32"/>
          <w:lang w:eastAsia="zh-CN"/>
        </w:rPr>
        <w:t>meaningful</w:t>
      </w:r>
      <w:r>
        <w:rPr>
          <w:rFonts w:hint="eastAsia" w:ascii="Times New Roman" w:hAnsi="Times New Roman" w:cs="Times New Roman"/>
          <w:color w:val="auto"/>
          <w:sz w:val="24"/>
          <w:szCs w:val="32"/>
        </w:rPr>
        <w:t xml:space="preserve"> improvements were observed in the 'Speech/Language/Communication' and 'Health/Physical/Behavior' domains of ATEC. Many ASD patients experience impairments in language and communication skills, such as speech delays, limited vocabulary, and difficulty with logical reasoning, profoundly impacting their quality of life [37]. Health-related issues, including sleep disturbances and dietary irregularities, are prevalent among ASD patients and significantly affect their well-being and that of their families. Caregiver reports suggest that Ld IL-2 treatment improves sleep quality and immune function in ASD patients. The mechanism underlying these improvements may involve modulation of immune dysregulation observed in ASD.</w:t>
      </w:r>
    </w:p>
    <w:p w14:paraId="12C79817">
      <w:pPr>
        <w:spacing w:line="360" w:lineRule="auto"/>
        <w:ind w:firstLine="480" w:firstLineChars="200"/>
        <w:rPr>
          <w:rFonts w:hint="eastAsia" w:ascii="Times New Roman" w:hAnsi="Times New Roman" w:cs="Times New Roman"/>
          <w:color w:val="auto"/>
          <w:sz w:val="24"/>
          <w:szCs w:val="32"/>
        </w:rPr>
      </w:pPr>
      <w:r>
        <w:rPr>
          <w:rFonts w:hint="eastAsia" w:ascii="Times New Roman" w:hAnsi="Times New Roman" w:cs="Times New Roman"/>
          <w:color w:val="auto"/>
          <w:sz w:val="24"/>
          <w:szCs w:val="32"/>
        </w:rPr>
        <w:t xml:space="preserve">Evidence suggests that the dysregulation of Th1- and Th2-like cytokines in children with ASD may contribute to its pathogenesis [38]. The abnormal proportions of Th1, Th2, Th17, Tc1 and Treg cells, along with changes in related transcription factors and signal transduction pathways, can result in immune imbalance [5]. Several studies indicate that modulating this immune imbalance can effectively ameliorate core ASD symptoms. In our study, we evaluated immune parameters in children with ASD before and after treatment with Ld IL-2. </w:t>
      </w:r>
      <w:r>
        <w:rPr>
          <w:rFonts w:ascii="Times New Roman" w:hAnsi="Times New Roman" w:cs="Times New Roman"/>
          <w:color w:val="auto"/>
          <w:sz w:val="24"/>
          <w:szCs w:val="32"/>
        </w:rPr>
        <w:t xml:space="preserve">Except for subject 1, the other three </w:t>
      </w:r>
      <w:r>
        <w:rPr>
          <w:rFonts w:hint="eastAsia" w:ascii="Times New Roman" w:hAnsi="Times New Roman" w:cs="Times New Roman"/>
          <w:color w:val="auto"/>
          <w:sz w:val="24"/>
          <w:szCs w:val="32"/>
        </w:rPr>
        <w:t>A</w:t>
      </w:r>
      <w:r>
        <w:rPr>
          <w:rFonts w:ascii="Times New Roman" w:hAnsi="Times New Roman" w:cs="Times New Roman"/>
          <w:color w:val="auto"/>
          <w:sz w:val="24"/>
          <w:szCs w:val="32"/>
        </w:rPr>
        <w:t>SD children showed an increased proportion of Treg cells after Ld IL-2 treatment.</w:t>
      </w:r>
      <w:r>
        <w:rPr>
          <w:rFonts w:hint="eastAsia" w:ascii="Times New Roman" w:hAnsi="Times New Roman" w:cs="Times New Roman"/>
          <w:color w:val="auto"/>
          <w:sz w:val="24"/>
          <w:szCs w:val="32"/>
        </w:rPr>
        <w:t xml:space="preserve"> along with a decrease in the proportions of Tc1 cells, and ratios of Th1/Th2, Th2/Treg, Tc1/Treg, and IL-12p70 levels. Elevated IL-12P70 levels have been observed in ASD patients and are associated with repetitive behaviors.</w:t>
      </w:r>
      <w:r>
        <w:rPr>
          <w:rFonts w:hint="eastAsia" w:ascii="Times New Roman" w:hAnsi="Times New Roman" w:cs="Times New Roman"/>
          <w:color w:val="auto"/>
          <w:sz w:val="24"/>
          <w:szCs w:val="32"/>
          <w:lang w:val="en-US" w:eastAsia="zh-CN"/>
        </w:rPr>
        <w:t xml:space="preserve"> Although limited by the sample size and no statistical tests were conducted, we observed that when the proportion of Treg increased, the total ATEC score tended to decrease (patients 2,3,4), and patients with higher IL-8 levels (such as patient 1) showed a more pronounced decrease in the ABC score. These findings suggest a pronounced association between T cell subgroups and behavioral changes, indicating a potential link. </w:t>
      </w:r>
      <w:r>
        <w:rPr>
          <w:rFonts w:hint="eastAsia" w:ascii="Times New Roman" w:hAnsi="Times New Roman" w:cs="Times New Roman"/>
          <w:color w:val="auto"/>
          <w:sz w:val="24"/>
          <w:szCs w:val="32"/>
        </w:rPr>
        <w:t xml:space="preserve">IL-8, a proinflammatory factor, shows a </w:t>
      </w:r>
      <w:r>
        <w:rPr>
          <w:rFonts w:hint="eastAsia" w:ascii="Times New Roman" w:hAnsi="Times New Roman" w:cs="Times New Roman"/>
          <w:color w:val="auto"/>
          <w:sz w:val="24"/>
          <w:szCs w:val="32"/>
          <w:lang w:eastAsia="zh-CN"/>
        </w:rPr>
        <w:t>marked</w:t>
      </w:r>
      <w:r>
        <w:rPr>
          <w:rFonts w:hint="eastAsia" w:ascii="Times New Roman" w:hAnsi="Times New Roman" w:cs="Times New Roman"/>
          <w:color w:val="auto"/>
          <w:sz w:val="24"/>
          <w:szCs w:val="32"/>
        </w:rPr>
        <w:t xml:space="preserve"> increase in children with ASD, correlating highly with parental reports and suggesting </w:t>
      </w:r>
      <w:r>
        <w:rPr>
          <w:rFonts w:hint="eastAsia" w:ascii="Times New Roman" w:hAnsi="Times New Roman" w:cs="Times New Roman"/>
          <w:color w:val="auto"/>
          <w:sz w:val="24"/>
          <w:szCs w:val="32"/>
          <w:lang w:eastAsia="zh-CN"/>
        </w:rPr>
        <w:t>it merits further investigation as a potential biomarker</w:t>
      </w:r>
      <w:r>
        <w:rPr>
          <w:rFonts w:hint="eastAsia" w:ascii="Times New Roman" w:hAnsi="Times New Roman" w:cs="Times New Roman"/>
          <w:color w:val="auto"/>
          <w:sz w:val="24"/>
          <w:szCs w:val="32"/>
        </w:rPr>
        <w:t xml:space="preserve"> [39, 40]. </w:t>
      </w:r>
    </w:p>
    <w:p w14:paraId="29C73970">
      <w:pPr>
        <w:spacing w:line="360" w:lineRule="auto"/>
        <w:ind w:firstLine="480" w:firstLineChars="200"/>
        <w:rPr>
          <w:rFonts w:hint="default" w:ascii="Times New Roman" w:hAnsi="Times New Roman" w:cs="Times New Roman" w:eastAsiaTheme="minorEastAsia"/>
          <w:color w:val="auto"/>
          <w:sz w:val="24"/>
          <w:szCs w:val="32"/>
          <w:highlight w:val="yellow"/>
          <w:lang w:val="en-US" w:eastAsia="zh-CN"/>
        </w:rPr>
      </w:pPr>
      <w:r>
        <w:rPr>
          <w:rFonts w:hint="eastAsia" w:ascii="Times New Roman" w:hAnsi="Times New Roman" w:cs="Times New Roman"/>
          <w:color w:val="auto"/>
          <w:sz w:val="24"/>
          <w:szCs w:val="32"/>
        </w:rPr>
        <w:t>This study observed heterogeneity in TGF-</w:t>
      </w:r>
      <w:r>
        <w:rPr>
          <w:rFonts w:hint="default" w:ascii="Times New Roman" w:hAnsi="Times New Roman" w:eastAsia="宋体" w:cs="Times New Roman"/>
          <w:color w:val="auto"/>
          <w:sz w:val="24"/>
          <w:szCs w:val="32"/>
        </w:rPr>
        <w:t>β</w:t>
      </w:r>
      <w:r>
        <w:rPr>
          <w:rFonts w:hint="eastAsia" w:ascii="Times New Roman" w:hAnsi="Times New Roman" w:cs="Times New Roman"/>
          <w:color w:val="auto"/>
          <w:sz w:val="24"/>
          <w:szCs w:val="32"/>
        </w:rPr>
        <w:t xml:space="preserve"> changes following Ld IL-2 treatment: levels increased in Patients 3</w:t>
      </w:r>
      <w:r>
        <w:rPr>
          <w:rFonts w:hint="eastAsia" w:ascii="Times New Roman" w:hAnsi="Times New Roman" w:cs="Times New Roman"/>
          <w:color w:val="auto"/>
          <w:sz w:val="24"/>
          <w:szCs w:val="32"/>
          <w:lang w:eastAsia="zh-CN"/>
        </w:rPr>
        <w:t>-</w:t>
      </w:r>
      <w:r>
        <w:rPr>
          <w:rFonts w:hint="eastAsia" w:ascii="Times New Roman" w:hAnsi="Times New Roman" w:cs="Times New Roman"/>
          <w:color w:val="auto"/>
          <w:sz w:val="24"/>
          <w:szCs w:val="32"/>
        </w:rPr>
        <w:t>4 but decreased in Patients 1</w:t>
      </w:r>
      <w:r>
        <w:rPr>
          <w:rFonts w:hint="eastAsia" w:ascii="Times New Roman" w:hAnsi="Times New Roman" w:cs="Times New Roman"/>
          <w:color w:val="auto"/>
          <w:sz w:val="24"/>
          <w:szCs w:val="32"/>
          <w:lang w:eastAsia="zh-CN"/>
        </w:rPr>
        <w:t>-</w:t>
      </w:r>
      <w:r>
        <w:rPr>
          <w:rFonts w:hint="eastAsia" w:ascii="Times New Roman" w:hAnsi="Times New Roman" w:cs="Times New Roman"/>
          <w:color w:val="auto"/>
          <w:sz w:val="24"/>
          <w:szCs w:val="32"/>
        </w:rPr>
        <w:t>2. This phenomenon necessitates an integrated interpretation based on TGF-</w:t>
      </w:r>
      <w:r>
        <w:rPr>
          <w:rFonts w:hint="default" w:ascii="Times New Roman" w:hAnsi="Times New Roman" w:eastAsia="宋体" w:cs="Times New Roman"/>
          <w:color w:val="auto"/>
          <w:sz w:val="24"/>
          <w:szCs w:val="32"/>
        </w:rPr>
        <w:t>β</w:t>
      </w:r>
      <w:r>
        <w:rPr>
          <w:rFonts w:hint="eastAsia" w:ascii="Times New Roman" w:hAnsi="Times New Roman" w:cs="Times New Roman"/>
          <w:color w:val="auto"/>
          <w:sz w:val="24"/>
          <w:szCs w:val="32"/>
          <w:lang w:val="en-US" w:eastAsia="zh-CN"/>
        </w:rPr>
        <w:t>'s</w:t>
      </w:r>
      <w:r>
        <w:rPr>
          <w:rFonts w:hint="eastAsia" w:ascii="Times New Roman" w:hAnsi="Times New Roman" w:cs="Times New Roman"/>
          <w:color w:val="auto"/>
          <w:sz w:val="24"/>
          <w:szCs w:val="32"/>
        </w:rPr>
        <w:t xml:space="preserve"> biological properties and therapeutic mechanisms. </w:t>
      </w:r>
      <w:r>
        <w:rPr>
          <w:rFonts w:hint="eastAsia" w:ascii="Times New Roman" w:hAnsi="Times New Roman" w:cs="Times New Roman"/>
          <w:color w:val="auto"/>
          <w:sz w:val="24"/>
          <w:szCs w:val="32"/>
          <w:lang w:val="en-US" w:eastAsia="zh-CN"/>
        </w:rPr>
        <w:t>It</w:t>
      </w:r>
      <w:r>
        <w:rPr>
          <w:rFonts w:hint="default" w:ascii="Times New Roman" w:hAnsi="Times New Roman" w:cs="Times New Roman"/>
          <w:color w:val="auto"/>
          <w:sz w:val="24"/>
          <w:szCs w:val="32"/>
          <w:lang w:val="en-US" w:eastAsia="zh-CN"/>
        </w:rPr>
        <w:t>’</w:t>
      </w:r>
      <w:r>
        <w:rPr>
          <w:rFonts w:hint="eastAsia" w:ascii="Times New Roman" w:hAnsi="Times New Roman" w:cs="Times New Roman"/>
          <w:color w:val="auto"/>
          <w:sz w:val="24"/>
          <w:szCs w:val="32"/>
          <w:lang w:val="en-US" w:eastAsia="zh-CN"/>
        </w:rPr>
        <w:t>s a</w:t>
      </w:r>
      <w:r>
        <w:rPr>
          <w:rFonts w:hint="eastAsia" w:ascii="Times New Roman" w:hAnsi="Times New Roman" w:cs="Times New Roman"/>
          <w:color w:val="auto"/>
          <w:sz w:val="24"/>
          <w:szCs w:val="32"/>
        </w:rPr>
        <w:t>nti-inflammatory effects: Promotes Treg differentiation and suppresses inflammation (e.g., Th17 activity)</w:t>
      </w:r>
      <w:r>
        <w:rPr>
          <w:rFonts w:hint="eastAsia" w:ascii="Times New Roman" w:hAnsi="Times New Roman" w:cs="Times New Roman"/>
          <w:color w:val="auto"/>
          <w:sz w:val="24"/>
          <w:szCs w:val="32"/>
          <w:lang w:val="en-US" w:eastAsia="zh-CN"/>
        </w:rPr>
        <w:t xml:space="preserve"> [41]</w:t>
      </w:r>
      <w:r>
        <w:rPr>
          <w:rFonts w:hint="eastAsia" w:ascii="Times New Roman" w:hAnsi="Times New Roman" w:cs="Times New Roman"/>
          <w:color w:val="auto"/>
          <w:sz w:val="24"/>
          <w:szCs w:val="32"/>
        </w:rPr>
        <w:t>.</w:t>
      </w:r>
      <w:r>
        <w:rPr>
          <w:rFonts w:hint="eastAsia" w:ascii="Times New Roman" w:hAnsi="Times New Roman" w:cs="Times New Roman"/>
          <w:color w:val="auto"/>
          <w:sz w:val="24"/>
          <w:szCs w:val="32"/>
          <w:lang w:val="en-US" w:eastAsia="zh-CN"/>
        </w:rPr>
        <w:t xml:space="preserve"> </w:t>
      </w:r>
      <w:r>
        <w:rPr>
          <w:rFonts w:hint="eastAsia" w:ascii="Times New Roman" w:hAnsi="Times New Roman" w:cs="Times New Roman"/>
          <w:color w:val="auto"/>
          <w:sz w:val="24"/>
          <w:szCs w:val="32"/>
        </w:rPr>
        <w:t>The post-treatment decline in TGF-</w:t>
      </w:r>
      <w:r>
        <w:rPr>
          <w:rFonts w:hint="default" w:ascii="Times New Roman" w:hAnsi="Times New Roman" w:eastAsia="宋体" w:cs="Times New Roman"/>
          <w:color w:val="auto"/>
          <w:sz w:val="24"/>
          <w:szCs w:val="32"/>
        </w:rPr>
        <w:t>β</w:t>
      </w:r>
      <w:r>
        <w:rPr>
          <w:rFonts w:hint="eastAsia" w:ascii="Times New Roman" w:hAnsi="Times New Roman" w:cs="Times New Roman"/>
          <w:color w:val="auto"/>
          <w:sz w:val="24"/>
          <w:szCs w:val="32"/>
        </w:rPr>
        <w:t xml:space="preserve"> (Patients 1</w:t>
      </w:r>
      <w:r>
        <w:rPr>
          <w:rFonts w:hint="eastAsia" w:ascii="Times New Roman" w:hAnsi="Times New Roman" w:cs="Times New Roman"/>
          <w:color w:val="auto"/>
          <w:sz w:val="24"/>
          <w:szCs w:val="32"/>
          <w:lang w:val="en-US" w:eastAsia="zh-CN"/>
        </w:rPr>
        <w:t>-</w:t>
      </w:r>
      <w:r>
        <w:rPr>
          <w:rFonts w:hint="eastAsia" w:ascii="Times New Roman" w:hAnsi="Times New Roman" w:cs="Times New Roman"/>
          <w:color w:val="auto"/>
          <w:sz w:val="24"/>
          <w:szCs w:val="32"/>
        </w:rPr>
        <w:t>2) may reflect attenuated inflammation, reducing the need for high-level immunosuppressive feedback.</w:t>
      </w:r>
      <w:r>
        <w:rPr>
          <w:rFonts w:hint="eastAsia" w:ascii="Times New Roman" w:hAnsi="Times New Roman" w:cs="Times New Roman"/>
          <w:color w:val="auto"/>
          <w:sz w:val="24"/>
          <w:szCs w:val="32"/>
          <w:lang w:val="en-US" w:eastAsia="zh-CN"/>
        </w:rPr>
        <w:t xml:space="preserve"> </w:t>
      </w:r>
      <w:r>
        <w:rPr>
          <w:rFonts w:hint="eastAsia" w:ascii="Times New Roman" w:hAnsi="Times New Roman" w:cs="Times New Roman"/>
          <w:color w:val="auto"/>
          <w:sz w:val="24"/>
          <w:szCs w:val="32"/>
        </w:rPr>
        <w:t>Additionally, compartmentalized consumption of TGF-</w:t>
      </w:r>
      <w:r>
        <w:rPr>
          <w:rFonts w:hint="default" w:ascii="Times New Roman" w:hAnsi="Times New Roman" w:eastAsia="宋体" w:cs="Times New Roman"/>
          <w:color w:val="auto"/>
          <w:sz w:val="24"/>
          <w:szCs w:val="32"/>
        </w:rPr>
        <w:t>β</w:t>
      </w:r>
      <w:r>
        <w:rPr>
          <w:rFonts w:hint="eastAsia" w:ascii="Times New Roman" w:hAnsi="Times New Roman" w:cs="Times New Roman"/>
          <w:color w:val="auto"/>
          <w:sz w:val="24"/>
          <w:szCs w:val="32"/>
        </w:rPr>
        <w:t xml:space="preserve"> likely occurs: ASD patients frequently exhibit gut barrier disruption and neuroinflammation</w:t>
      </w:r>
      <w:r>
        <w:rPr>
          <w:rFonts w:hint="eastAsia" w:ascii="Times New Roman" w:hAnsi="Times New Roman" w:cs="Times New Roman"/>
          <w:color w:val="auto"/>
          <w:sz w:val="24"/>
          <w:szCs w:val="32"/>
          <w:lang w:val="en-US" w:eastAsia="zh-CN"/>
        </w:rPr>
        <w:t xml:space="preserve"> [42-43]. </w:t>
      </w:r>
      <w:r>
        <w:rPr>
          <w:rFonts w:hint="eastAsia" w:ascii="Times New Roman" w:hAnsi="Times New Roman" w:cs="Times New Roman"/>
          <w:color w:val="auto"/>
          <w:sz w:val="24"/>
          <w:szCs w:val="32"/>
        </w:rPr>
        <w:t>After Ld IL-2 therapy, Tregs migrate to inflammatory sites and locally release TGF-</w:t>
      </w:r>
      <w:r>
        <w:rPr>
          <w:rFonts w:hint="default" w:ascii="Times New Roman" w:hAnsi="Times New Roman" w:eastAsia="宋体" w:cs="Times New Roman"/>
          <w:color w:val="auto"/>
          <w:sz w:val="24"/>
          <w:szCs w:val="32"/>
        </w:rPr>
        <w:t>β</w:t>
      </w:r>
      <w:r>
        <w:rPr>
          <w:rFonts w:hint="eastAsia" w:ascii="Times New Roman" w:hAnsi="Times New Roman" w:cs="Times New Roman"/>
          <w:color w:val="auto"/>
          <w:sz w:val="24"/>
          <w:szCs w:val="32"/>
        </w:rPr>
        <w:t>, diminishing serum levels while enhancing regional immunomodulation.</w:t>
      </w:r>
      <w:r>
        <w:rPr>
          <w:rFonts w:hint="eastAsia" w:ascii="Times New Roman" w:hAnsi="Times New Roman" w:cs="Times New Roman"/>
          <w:color w:val="auto"/>
          <w:sz w:val="24"/>
          <w:szCs w:val="32"/>
          <w:lang w:val="en-US" w:eastAsia="zh-CN"/>
        </w:rPr>
        <w:t xml:space="preserve"> </w:t>
      </w:r>
      <w:r>
        <w:rPr>
          <w:rFonts w:hint="eastAsia" w:ascii="Times New Roman" w:hAnsi="Times New Roman" w:cs="Times New Roman"/>
          <w:color w:val="auto"/>
          <w:sz w:val="24"/>
          <w:szCs w:val="32"/>
        </w:rPr>
        <w:t>Pretreatment immune systems in chronic inflammation (e.g., high Tc1, low Treg) required sustained TGF-</w:t>
      </w:r>
      <w:r>
        <w:rPr>
          <w:rFonts w:hint="default" w:ascii="Times New Roman" w:hAnsi="Times New Roman" w:eastAsia="宋体" w:cs="Times New Roman"/>
          <w:color w:val="auto"/>
          <w:sz w:val="24"/>
          <w:szCs w:val="32"/>
        </w:rPr>
        <w:t>β</w:t>
      </w:r>
      <w:r>
        <w:rPr>
          <w:rFonts w:hint="eastAsia" w:ascii="Times New Roman" w:hAnsi="Times New Roman" w:cs="Times New Roman"/>
          <w:color w:val="auto"/>
          <w:sz w:val="24"/>
          <w:szCs w:val="32"/>
        </w:rPr>
        <w:t xml:space="preserve"> secretion to counter inflammation</w:t>
      </w:r>
      <w:r>
        <w:rPr>
          <w:rFonts w:hint="eastAsia" w:ascii="Times New Roman" w:hAnsi="Times New Roman" w:cs="Times New Roman"/>
          <w:color w:val="auto"/>
          <w:sz w:val="24"/>
          <w:szCs w:val="32"/>
          <w:lang w:val="en-US" w:eastAsia="zh-CN"/>
        </w:rPr>
        <w:t>-</w:t>
      </w:r>
      <w:r>
        <w:rPr>
          <w:rFonts w:hint="eastAsia" w:ascii="Times New Roman" w:hAnsi="Times New Roman" w:cs="Times New Roman"/>
          <w:color w:val="auto"/>
          <w:sz w:val="24"/>
          <w:szCs w:val="32"/>
        </w:rPr>
        <w:t>albeit insufficiently.</w:t>
      </w:r>
      <w:r>
        <w:rPr>
          <w:rFonts w:hint="eastAsia" w:ascii="Times New Roman" w:hAnsi="Times New Roman" w:cs="Times New Roman"/>
          <w:color w:val="auto"/>
          <w:sz w:val="24"/>
          <w:szCs w:val="32"/>
          <w:lang w:val="en-US" w:eastAsia="zh-CN"/>
        </w:rPr>
        <w:t xml:space="preserve"> The heterogeneity also arises from baseline immunological differences among patients (e.g., Treg/Tc1 ratios). </w:t>
      </w:r>
      <w:r>
        <w:rPr>
          <w:rFonts w:hint="eastAsia" w:ascii="Times New Roman" w:hAnsi="Times New Roman" w:cs="Times New Roman"/>
          <w:color w:val="auto"/>
          <w:sz w:val="24"/>
          <w:szCs w:val="32"/>
          <w:highlight w:val="yellow"/>
          <w:lang w:val="en-US" w:eastAsia="zh-CN"/>
        </w:rPr>
        <w:t xml:space="preserve">Critically, reduced </w:t>
      </w:r>
      <w:r>
        <w:rPr>
          <w:rFonts w:hint="eastAsia" w:ascii="Times New Roman" w:hAnsi="Times New Roman" w:cs="Times New Roman"/>
          <w:color w:val="auto"/>
          <w:sz w:val="24"/>
          <w:szCs w:val="32"/>
          <w:highlight w:val="yellow"/>
        </w:rPr>
        <w:t>TGF-</w:t>
      </w:r>
      <w:r>
        <w:rPr>
          <w:rFonts w:hint="default" w:ascii="Times New Roman" w:hAnsi="Times New Roman" w:eastAsia="宋体" w:cs="Times New Roman"/>
          <w:color w:val="auto"/>
          <w:sz w:val="24"/>
          <w:szCs w:val="32"/>
          <w:highlight w:val="yellow"/>
        </w:rPr>
        <w:t>β</w:t>
      </w:r>
      <w:r>
        <w:rPr>
          <w:rFonts w:hint="eastAsia" w:ascii="Times New Roman" w:hAnsi="Times New Roman" w:cs="Times New Roman"/>
          <w:color w:val="auto"/>
          <w:sz w:val="24"/>
          <w:szCs w:val="32"/>
          <w:highlight w:val="yellow"/>
          <w:lang w:val="en-US" w:eastAsia="zh-CN"/>
        </w:rPr>
        <w:t xml:space="preserve"> in Patients 1-2 may represents a physiological adaptation during immune reconstitution, aligning with overall clinical improvement and underscoring the therapy’s multifaceted efficacy. But these interpretations are limited by the small sample size and requires validation in larger studies.</w:t>
      </w:r>
    </w:p>
    <w:p w14:paraId="0124C760">
      <w:pPr>
        <w:spacing w:line="360" w:lineRule="auto"/>
        <w:ind w:firstLine="480" w:firstLineChars="200"/>
        <w:rPr>
          <w:rFonts w:hint="eastAsia" w:ascii="Times New Roman" w:hAnsi="Times New Roman" w:cs="Times New Roman"/>
          <w:color w:val="auto"/>
          <w:sz w:val="24"/>
          <w:szCs w:val="32"/>
          <w:highlight w:val="yellow"/>
        </w:rPr>
      </w:pPr>
      <w:r>
        <w:rPr>
          <w:rFonts w:hint="eastAsia" w:ascii="Times New Roman" w:hAnsi="Times New Roman" w:cs="Times New Roman"/>
          <w:color w:val="auto"/>
          <w:sz w:val="24"/>
          <w:szCs w:val="32"/>
          <w:highlight w:val="yellow"/>
        </w:rPr>
        <w:t>In conclusion, this case report describes observed improvements in behavioral symptoms and immune parameters in four children with ASD and immune dysregulation following Ld IL-2 treatment. Given the exploratory nature of this report and the small sample size (n=4), these findings must be interpreted cautiously and warrant further investigation in larger cohorts. Nevertheless, these preliminary findings support the rationale for further investigation into Ld IL-2 as a potential immunomodulatory approach for ASD individuals with specific immune profiles. Future validation critically requires: large-scale, randomized, placebo-controlled clinical trials that account for concurrent behavioral interventions; absolute lymphocyte quantification to refine immune profiling; and mechanistic studies dissecting IL-2-mediated neuro-immune crosstalk. Addressing these priorities is essential to determine whether precision immunotherapy could be a viable strategy for this immune-dysregulated ASD subgroup.</w:t>
      </w:r>
    </w:p>
    <w:p w14:paraId="5FC09926">
      <w:pPr>
        <w:spacing w:line="360" w:lineRule="auto"/>
        <w:ind w:firstLine="0" w:firstLineChars="0"/>
        <w:rPr>
          <w:rFonts w:ascii="Times New Roman" w:hAnsi="Times New Roman" w:cs="Times New Roman"/>
          <w:color w:val="auto"/>
          <w:sz w:val="24"/>
          <w:szCs w:val="32"/>
        </w:rPr>
      </w:pPr>
      <w:r>
        <w:rPr>
          <w:rFonts w:ascii="Times New Roman" w:hAnsi="Times New Roman" w:cs="Times New Roman"/>
          <w:color w:val="auto"/>
          <w:sz w:val="24"/>
          <w:szCs w:val="32"/>
        </w:rPr>
        <w:t>Abbreviations</w:t>
      </w:r>
    </w:p>
    <w:tbl>
      <w:tblPr>
        <w:tblStyle w:val="10"/>
        <w:tblW w:w="8530" w:type="dxa"/>
        <w:tblInd w:w="98" w:type="dxa"/>
        <w:tblLayout w:type="autofit"/>
        <w:tblCellMar>
          <w:top w:w="0" w:type="dxa"/>
          <w:left w:w="108" w:type="dxa"/>
          <w:bottom w:w="0" w:type="dxa"/>
          <w:right w:w="108" w:type="dxa"/>
        </w:tblCellMar>
      </w:tblPr>
      <w:tblGrid>
        <w:gridCol w:w="1060"/>
        <w:gridCol w:w="7570"/>
      </w:tblGrid>
      <w:tr w14:paraId="5E02A83B">
        <w:tblPrEx>
          <w:tblCellMar>
            <w:top w:w="0" w:type="dxa"/>
            <w:left w:w="108" w:type="dxa"/>
            <w:bottom w:w="0" w:type="dxa"/>
            <w:right w:w="108" w:type="dxa"/>
          </w:tblCellMar>
        </w:tblPrEx>
        <w:trPr>
          <w:trHeight w:val="280" w:hRule="atLeast"/>
        </w:trPr>
        <w:tc>
          <w:tcPr>
            <w:tcW w:w="960" w:type="dxa"/>
            <w:tcBorders>
              <w:top w:val="nil"/>
              <w:left w:val="nil"/>
              <w:bottom w:val="nil"/>
              <w:right w:val="nil"/>
            </w:tcBorders>
            <w:shd w:val="clear" w:color="auto" w:fill="auto"/>
            <w:noWrap/>
            <w:vAlign w:val="center"/>
          </w:tcPr>
          <w:p w14:paraId="7AC01EC4">
            <w:pPr>
              <w:widowControl/>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ABC</w:t>
            </w:r>
          </w:p>
        </w:tc>
        <w:tc>
          <w:tcPr>
            <w:tcW w:w="7570" w:type="dxa"/>
            <w:tcBorders>
              <w:top w:val="nil"/>
              <w:left w:val="nil"/>
              <w:bottom w:val="nil"/>
              <w:right w:val="nil"/>
            </w:tcBorders>
            <w:shd w:val="clear" w:color="auto" w:fill="auto"/>
            <w:noWrap/>
            <w:vAlign w:val="center"/>
          </w:tcPr>
          <w:p w14:paraId="37694ED9">
            <w:pPr>
              <w:widowControl/>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Aberrant Behavior Checklist</w:t>
            </w:r>
          </w:p>
        </w:tc>
      </w:tr>
      <w:tr w14:paraId="1FA9214D">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26FCD1A0">
            <w:pPr>
              <w:widowControl/>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ASD</w:t>
            </w:r>
          </w:p>
        </w:tc>
        <w:tc>
          <w:tcPr>
            <w:tcW w:w="0" w:type="auto"/>
            <w:tcBorders>
              <w:top w:val="nil"/>
              <w:left w:val="nil"/>
              <w:bottom w:val="nil"/>
              <w:right w:val="nil"/>
            </w:tcBorders>
            <w:shd w:val="clear" w:color="auto" w:fill="auto"/>
            <w:noWrap/>
            <w:vAlign w:val="center"/>
          </w:tcPr>
          <w:p w14:paraId="4C02BA12">
            <w:pPr>
              <w:widowControl/>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Autism spectrum disorder</w:t>
            </w:r>
          </w:p>
        </w:tc>
      </w:tr>
      <w:tr w14:paraId="2AC9D367">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366F5BDE">
            <w:pPr>
              <w:widowControl/>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ATEC</w:t>
            </w:r>
          </w:p>
        </w:tc>
        <w:tc>
          <w:tcPr>
            <w:tcW w:w="0" w:type="auto"/>
            <w:tcBorders>
              <w:top w:val="nil"/>
              <w:left w:val="nil"/>
              <w:bottom w:val="nil"/>
              <w:right w:val="nil"/>
            </w:tcBorders>
            <w:shd w:val="clear" w:color="auto" w:fill="auto"/>
            <w:noWrap/>
            <w:vAlign w:val="center"/>
          </w:tcPr>
          <w:p w14:paraId="692425C5">
            <w:pPr>
              <w:widowControl/>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Autism Treatment Evaluation Checklist</w:t>
            </w:r>
          </w:p>
        </w:tc>
      </w:tr>
      <w:tr w14:paraId="009415BF">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1BBFF248">
            <w:pPr>
              <w:widowControl/>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CABS</w:t>
            </w:r>
          </w:p>
        </w:tc>
        <w:tc>
          <w:tcPr>
            <w:tcW w:w="0" w:type="auto"/>
            <w:tcBorders>
              <w:top w:val="nil"/>
              <w:left w:val="nil"/>
              <w:bottom w:val="nil"/>
              <w:right w:val="nil"/>
            </w:tcBorders>
            <w:shd w:val="clear" w:color="auto" w:fill="auto"/>
            <w:noWrap/>
            <w:vAlign w:val="center"/>
          </w:tcPr>
          <w:p w14:paraId="2DBE8228">
            <w:pPr>
              <w:widowControl/>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Clancy Autism Behavior Scale</w:t>
            </w:r>
          </w:p>
        </w:tc>
      </w:tr>
      <w:tr w14:paraId="3422F40C">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4C12F25D">
            <w:pPr>
              <w:widowControl/>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CARS</w:t>
            </w:r>
          </w:p>
        </w:tc>
        <w:tc>
          <w:tcPr>
            <w:tcW w:w="0" w:type="auto"/>
            <w:tcBorders>
              <w:top w:val="nil"/>
              <w:left w:val="nil"/>
              <w:bottom w:val="nil"/>
              <w:right w:val="nil"/>
            </w:tcBorders>
            <w:shd w:val="clear" w:color="auto" w:fill="auto"/>
            <w:noWrap/>
            <w:vAlign w:val="center"/>
          </w:tcPr>
          <w:p w14:paraId="0DE8B98C">
            <w:pPr>
              <w:widowControl/>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Childhood Autism Rating Scale</w:t>
            </w:r>
          </w:p>
        </w:tc>
      </w:tr>
      <w:tr w14:paraId="63D2B97F">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3BF92F13">
            <w:pPr>
              <w:widowControl/>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CGSQ</w:t>
            </w:r>
          </w:p>
        </w:tc>
        <w:tc>
          <w:tcPr>
            <w:tcW w:w="0" w:type="auto"/>
            <w:tcBorders>
              <w:top w:val="nil"/>
              <w:left w:val="nil"/>
              <w:bottom w:val="nil"/>
              <w:right w:val="nil"/>
            </w:tcBorders>
            <w:shd w:val="clear" w:color="auto" w:fill="auto"/>
            <w:noWrap/>
            <w:vAlign w:val="center"/>
          </w:tcPr>
          <w:p w14:paraId="618FC703">
            <w:pPr>
              <w:widowControl/>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Caregiver Strain Questionnaire</w:t>
            </w:r>
          </w:p>
        </w:tc>
      </w:tr>
      <w:tr w14:paraId="76B27E16">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26231D32">
            <w:pPr>
              <w:widowControl/>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DSM-5</w:t>
            </w:r>
          </w:p>
        </w:tc>
        <w:tc>
          <w:tcPr>
            <w:tcW w:w="0" w:type="auto"/>
            <w:tcBorders>
              <w:top w:val="nil"/>
              <w:left w:val="nil"/>
              <w:bottom w:val="nil"/>
              <w:right w:val="nil"/>
            </w:tcBorders>
            <w:shd w:val="clear" w:color="auto" w:fill="auto"/>
            <w:noWrap/>
            <w:vAlign w:val="center"/>
          </w:tcPr>
          <w:p w14:paraId="2C23DBC2">
            <w:pPr>
              <w:widowControl/>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Diagnostic and Statistical Manual of Mental Disorders, 5th Edition</w:t>
            </w:r>
          </w:p>
        </w:tc>
      </w:tr>
      <w:tr w14:paraId="01CE638F">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389BFF50">
            <w:pPr>
              <w:widowControl/>
              <w:jc w:val="left"/>
              <w:textAlignment w:val="center"/>
              <w:rPr>
                <w:rFonts w:ascii="Times New Roman" w:hAnsi="Times New Roman" w:eastAsia="宋体" w:cs="Times New Roman"/>
                <w:color w:val="auto"/>
                <w:kern w:val="0"/>
                <w:sz w:val="22"/>
                <w:szCs w:val="22"/>
                <w:lang w:bidi="ar"/>
              </w:rPr>
            </w:pPr>
            <w:r>
              <w:rPr>
                <w:rFonts w:hint="eastAsia" w:ascii="Times New Roman" w:hAnsi="Times New Roman" w:eastAsia="宋体" w:cs="Times New Roman"/>
                <w:color w:val="auto"/>
                <w:kern w:val="0"/>
                <w:sz w:val="22"/>
                <w:szCs w:val="22"/>
                <w:lang w:bidi="ar"/>
              </w:rPr>
              <w:t>EEG</w:t>
            </w:r>
          </w:p>
        </w:tc>
        <w:tc>
          <w:tcPr>
            <w:tcW w:w="0" w:type="auto"/>
            <w:tcBorders>
              <w:top w:val="nil"/>
              <w:left w:val="nil"/>
              <w:bottom w:val="nil"/>
              <w:right w:val="nil"/>
            </w:tcBorders>
            <w:shd w:val="clear" w:color="auto" w:fill="auto"/>
            <w:noWrap/>
            <w:vAlign w:val="center"/>
          </w:tcPr>
          <w:p w14:paraId="539E7A80">
            <w:pPr>
              <w:widowControl/>
              <w:jc w:val="left"/>
              <w:textAlignment w:val="center"/>
              <w:rPr>
                <w:rFonts w:ascii="Times New Roman" w:hAnsi="Times New Roman" w:eastAsia="宋体" w:cs="Times New Roman"/>
                <w:color w:val="auto"/>
                <w:kern w:val="0"/>
                <w:sz w:val="22"/>
                <w:szCs w:val="22"/>
                <w:lang w:bidi="ar"/>
              </w:rPr>
            </w:pPr>
            <w:r>
              <w:rPr>
                <w:rFonts w:hint="eastAsia" w:ascii="Times New Roman" w:hAnsi="Times New Roman" w:eastAsia="宋体" w:cs="Times New Roman"/>
                <w:color w:val="auto"/>
                <w:kern w:val="0"/>
                <w:sz w:val="22"/>
                <w:szCs w:val="22"/>
                <w:lang w:bidi="ar"/>
              </w:rPr>
              <w:t>Electroencephalogram</w:t>
            </w:r>
          </w:p>
        </w:tc>
      </w:tr>
      <w:tr w14:paraId="3528973E">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65CE1D5E">
            <w:pPr>
              <w:widowControl/>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HADS</w:t>
            </w:r>
          </w:p>
        </w:tc>
        <w:tc>
          <w:tcPr>
            <w:tcW w:w="0" w:type="auto"/>
            <w:tcBorders>
              <w:top w:val="nil"/>
              <w:left w:val="nil"/>
              <w:bottom w:val="nil"/>
              <w:right w:val="nil"/>
            </w:tcBorders>
            <w:shd w:val="clear" w:color="auto" w:fill="auto"/>
            <w:noWrap/>
            <w:vAlign w:val="center"/>
          </w:tcPr>
          <w:p w14:paraId="2F4996BD">
            <w:pPr>
              <w:widowControl/>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Hospital Anxiety and Depression Scale</w:t>
            </w:r>
          </w:p>
        </w:tc>
      </w:tr>
      <w:tr w14:paraId="5D100BFD">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713F0368">
            <w:pPr>
              <w:widowControl/>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IFN-γ</w:t>
            </w:r>
          </w:p>
        </w:tc>
        <w:tc>
          <w:tcPr>
            <w:tcW w:w="0" w:type="auto"/>
            <w:tcBorders>
              <w:top w:val="nil"/>
              <w:left w:val="nil"/>
              <w:bottom w:val="nil"/>
              <w:right w:val="nil"/>
            </w:tcBorders>
            <w:shd w:val="clear" w:color="auto" w:fill="auto"/>
            <w:noWrap/>
            <w:vAlign w:val="center"/>
          </w:tcPr>
          <w:p w14:paraId="19729D7A">
            <w:pPr>
              <w:widowControl/>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Interferon-gama</w:t>
            </w:r>
          </w:p>
        </w:tc>
      </w:tr>
      <w:tr w14:paraId="6BFEC70C">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4BA8CB5E">
            <w:pPr>
              <w:widowControl/>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IL-1β</w:t>
            </w:r>
          </w:p>
        </w:tc>
        <w:tc>
          <w:tcPr>
            <w:tcW w:w="0" w:type="auto"/>
            <w:tcBorders>
              <w:top w:val="nil"/>
              <w:left w:val="nil"/>
              <w:bottom w:val="nil"/>
              <w:right w:val="nil"/>
            </w:tcBorders>
            <w:shd w:val="clear" w:color="auto" w:fill="auto"/>
            <w:noWrap/>
            <w:vAlign w:val="center"/>
          </w:tcPr>
          <w:p w14:paraId="258EA28D">
            <w:pPr>
              <w:widowControl/>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Interleukin-1 beta</w:t>
            </w:r>
          </w:p>
        </w:tc>
      </w:tr>
      <w:tr w14:paraId="7C102EDD">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282710AC">
            <w:pPr>
              <w:widowControl/>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IL-2</w:t>
            </w:r>
          </w:p>
        </w:tc>
        <w:tc>
          <w:tcPr>
            <w:tcW w:w="0" w:type="auto"/>
            <w:tcBorders>
              <w:top w:val="nil"/>
              <w:left w:val="nil"/>
              <w:bottom w:val="nil"/>
              <w:right w:val="nil"/>
            </w:tcBorders>
            <w:shd w:val="clear" w:color="auto" w:fill="auto"/>
            <w:noWrap/>
            <w:vAlign w:val="center"/>
          </w:tcPr>
          <w:p w14:paraId="7DB74CF4">
            <w:pPr>
              <w:widowControl/>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Interleukin-2</w:t>
            </w:r>
          </w:p>
        </w:tc>
      </w:tr>
      <w:tr w14:paraId="312B04F2">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13E2C8CD">
            <w:pPr>
              <w:widowControl/>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IL-4</w:t>
            </w:r>
          </w:p>
        </w:tc>
        <w:tc>
          <w:tcPr>
            <w:tcW w:w="0" w:type="auto"/>
            <w:tcBorders>
              <w:top w:val="nil"/>
              <w:left w:val="nil"/>
              <w:bottom w:val="nil"/>
              <w:right w:val="nil"/>
            </w:tcBorders>
            <w:shd w:val="clear" w:color="auto" w:fill="auto"/>
            <w:noWrap/>
            <w:vAlign w:val="center"/>
          </w:tcPr>
          <w:p w14:paraId="7E3E2554">
            <w:pPr>
              <w:widowControl/>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Interleukin-4</w:t>
            </w:r>
          </w:p>
        </w:tc>
      </w:tr>
      <w:tr w14:paraId="49395E79">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5A699473">
            <w:pPr>
              <w:widowControl/>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IL-5</w:t>
            </w:r>
          </w:p>
        </w:tc>
        <w:tc>
          <w:tcPr>
            <w:tcW w:w="0" w:type="auto"/>
            <w:tcBorders>
              <w:top w:val="nil"/>
              <w:left w:val="nil"/>
              <w:bottom w:val="nil"/>
              <w:right w:val="nil"/>
            </w:tcBorders>
            <w:shd w:val="clear" w:color="auto" w:fill="auto"/>
            <w:noWrap/>
            <w:vAlign w:val="center"/>
          </w:tcPr>
          <w:p w14:paraId="1F70E622">
            <w:pPr>
              <w:widowControl/>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Interleukin-5</w:t>
            </w:r>
          </w:p>
        </w:tc>
      </w:tr>
      <w:tr w14:paraId="58B10950">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38EA23AC">
            <w:pPr>
              <w:widowControl/>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IL-6</w:t>
            </w:r>
          </w:p>
        </w:tc>
        <w:tc>
          <w:tcPr>
            <w:tcW w:w="0" w:type="auto"/>
            <w:tcBorders>
              <w:top w:val="nil"/>
              <w:left w:val="nil"/>
              <w:bottom w:val="nil"/>
              <w:right w:val="nil"/>
            </w:tcBorders>
            <w:shd w:val="clear" w:color="auto" w:fill="auto"/>
            <w:noWrap/>
            <w:vAlign w:val="center"/>
          </w:tcPr>
          <w:p w14:paraId="09673D8D">
            <w:pPr>
              <w:widowControl/>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Interleukin-6</w:t>
            </w:r>
          </w:p>
        </w:tc>
      </w:tr>
      <w:tr w14:paraId="55939786">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1ABF19A8">
            <w:pPr>
              <w:widowControl/>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IL-8</w:t>
            </w:r>
          </w:p>
        </w:tc>
        <w:tc>
          <w:tcPr>
            <w:tcW w:w="0" w:type="auto"/>
            <w:tcBorders>
              <w:top w:val="nil"/>
              <w:left w:val="nil"/>
              <w:bottom w:val="nil"/>
              <w:right w:val="nil"/>
            </w:tcBorders>
            <w:shd w:val="clear" w:color="auto" w:fill="auto"/>
            <w:noWrap/>
            <w:vAlign w:val="center"/>
          </w:tcPr>
          <w:p w14:paraId="30480279">
            <w:pPr>
              <w:widowControl/>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Interleukin-8</w:t>
            </w:r>
          </w:p>
        </w:tc>
      </w:tr>
      <w:tr w14:paraId="1ACC96AB">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1A28D908">
            <w:pPr>
              <w:widowControl/>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IL-10</w:t>
            </w:r>
          </w:p>
        </w:tc>
        <w:tc>
          <w:tcPr>
            <w:tcW w:w="0" w:type="auto"/>
            <w:tcBorders>
              <w:top w:val="nil"/>
              <w:left w:val="nil"/>
              <w:bottom w:val="nil"/>
              <w:right w:val="nil"/>
            </w:tcBorders>
            <w:shd w:val="clear" w:color="auto" w:fill="auto"/>
            <w:noWrap/>
            <w:vAlign w:val="center"/>
          </w:tcPr>
          <w:p w14:paraId="2C1ACA38">
            <w:pPr>
              <w:widowControl/>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Interleukin-10</w:t>
            </w:r>
          </w:p>
        </w:tc>
      </w:tr>
      <w:tr w14:paraId="51324AC4">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35BCED2C">
            <w:pPr>
              <w:widowControl/>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IL-12P70</w:t>
            </w:r>
          </w:p>
        </w:tc>
        <w:tc>
          <w:tcPr>
            <w:tcW w:w="0" w:type="auto"/>
            <w:tcBorders>
              <w:top w:val="nil"/>
              <w:left w:val="nil"/>
              <w:bottom w:val="nil"/>
              <w:right w:val="nil"/>
            </w:tcBorders>
            <w:shd w:val="clear" w:color="auto" w:fill="auto"/>
            <w:noWrap/>
            <w:vAlign w:val="center"/>
          </w:tcPr>
          <w:p w14:paraId="2BE37CAA">
            <w:pPr>
              <w:widowControl/>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Interleukin-12P70</w:t>
            </w:r>
          </w:p>
        </w:tc>
      </w:tr>
      <w:tr w14:paraId="29148939">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116B2636">
            <w:pPr>
              <w:widowControl/>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IL-17A</w:t>
            </w:r>
          </w:p>
        </w:tc>
        <w:tc>
          <w:tcPr>
            <w:tcW w:w="0" w:type="auto"/>
            <w:tcBorders>
              <w:top w:val="nil"/>
              <w:left w:val="nil"/>
              <w:bottom w:val="nil"/>
              <w:right w:val="nil"/>
            </w:tcBorders>
            <w:shd w:val="clear" w:color="auto" w:fill="auto"/>
            <w:noWrap/>
            <w:vAlign w:val="center"/>
          </w:tcPr>
          <w:p w14:paraId="56A59366">
            <w:pPr>
              <w:widowControl/>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Interleukin-17A</w:t>
            </w:r>
          </w:p>
        </w:tc>
      </w:tr>
      <w:tr w14:paraId="755F033F">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13E10908">
            <w:pPr>
              <w:widowControl/>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IL-17F</w:t>
            </w:r>
          </w:p>
        </w:tc>
        <w:tc>
          <w:tcPr>
            <w:tcW w:w="0" w:type="auto"/>
            <w:tcBorders>
              <w:top w:val="nil"/>
              <w:left w:val="nil"/>
              <w:bottom w:val="nil"/>
              <w:right w:val="nil"/>
            </w:tcBorders>
            <w:shd w:val="clear" w:color="auto" w:fill="auto"/>
            <w:noWrap/>
            <w:vAlign w:val="center"/>
          </w:tcPr>
          <w:p w14:paraId="3B2429A9">
            <w:pPr>
              <w:widowControl/>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Interleukin-17F</w:t>
            </w:r>
          </w:p>
        </w:tc>
      </w:tr>
      <w:tr w14:paraId="2B228DF6">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590C7355">
            <w:pPr>
              <w:widowControl/>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IL-22</w:t>
            </w:r>
          </w:p>
        </w:tc>
        <w:tc>
          <w:tcPr>
            <w:tcW w:w="0" w:type="auto"/>
            <w:tcBorders>
              <w:top w:val="nil"/>
              <w:left w:val="nil"/>
              <w:bottom w:val="nil"/>
              <w:right w:val="nil"/>
            </w:tcBorders>
            <w:shd w:val="clear" w:color="auto" w:fill="auto"/>
            <w:noWrap/>
            <w:vAlign w:val="center"/>
          </w:tcPr>
          <w:p w14:paraId="4DB17000">
            <w:pPr>
              <w:widowControl/>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Interleukin-22</w:t>
            </w:r>
          </w:p>
        </w:tc>
      </w:tr>
      <w:tr w14:paraId="0F241FF4">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67ACE7AA">
            <w:pPr>
              <w:widowControl/>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Ld IL-2</w:t>
            </w:r>
          </w:p>
        </w:tc>
        <w:tc>
          <w:tcPr>
            <w:tcW w:w="0" w:type="auto"/>
            <w:tcBorders>
              <w:top w:val="nil"/>
              <w:left w:val="nil"/>
              <w:bottom w:val="nil"/>
              <w:right w:val="nil"/>
            </w:tcBorders>
            <w:shd w:val="clear" w:color="auto" w:fill="auto"/>
            <w:noWrap/>
            <w:vAlign w:val="center"/>
          </w:tcPr>
          <w:p w14:paraId="6F4041AB">
            <w:pPr>
              <w:widowControl/>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low-dose IL-2</w:t>
            </w:r>
          </w:p>
        </w:tc>
      </w:tr>
      <w:tr w14:paraId="2262BF84">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5EFC1522">
            <w:pPr>
              <w:widowControl/>
              <w:jc w:val="left"/>
              <w:textAlignment w:val="center"/>
              <w:rPr>
                <w:rFonts w:hint="default" w:ascii="Times New Roman" w:hAnsi="Times New Roman" w:eastAsia="宋体" w:cs="Times New Roman"/>
                <w:color w:val="auto"/>
                <w:kern w:val="0"/>
                <w:sz w:val="22"/>
                <w:szCs w:val="22"/>
                <w:lang w:val="en-US" w:eastAsia="zh-CN" w:bidi="ar"/>
              </w:rPr>
            </w:pPr>
            <w:r>
              <w:rPr>
                <w:rFonts w:hint="eastAsia" w:ascii="Times New Roman" w:hAnsi="Times New Roman" w:eastAsia="宋体" w:cs="Times New Roman"/>
                <w:color w:val="auto"/>
                <w:kern w:val="0"/>
                <w:sz w:val="22"/>
                <w:szCs w:val="22"/>
                <w:lang w:val="en-US" w:eastAsia="zh-CN" w:bidi="ar"/>
              </w:rPr>
              <w:t>MDs</w:t>
            </w:r>
          </w:p>
        </w:tc>
        <w:tc>
          <w:tcPr>
            <w:tcW w:w="0" w:type="auto"/>
            <w:tcBorders>
              <w:top w:val="nil"/>
              <w:left w:val="nil"/>
              <w:bottom w:val="nil"/>
              <w:right w:val="nil"/>
            </w:tcBorders>
            <w:shd w:val="clear" w:color="auto" w:fill="auto"/>
            <w:noWrap/>
            <w:vAlign w:val="center"/>
          </w:tcPr>
          <w:p w14:paraId="363B7E1D">
            <w:pPr>
              <w:widowControl/>
              <w:jc w:val="left"/>
              <w:textAlignment w:val="center"/>
              <w:rPr>
                <w:rFonts w:hint="default" w:ascii="Times New Roman" w:hAnsi="Times New Roman" w:eastAsia="宋体" w:cs="Times New Roman"/>
                <w:color w:val="auto"/>
                <w:kern w:val="0"/>
                <w:sz w:val="22"/>
                <w:szCs w:val="22"/>
                <w:lang w:val="en-US" w:eastAsia="zh-CN" w:bidi="ar"/>
              </w:rPr>
            </w:pPr>
            <w:r>
              <w:rPr>
                <w:rFonts w:hint="default" w:ascii="Times New Roman" w:hAnsi="Times New Roman" w:eastAsia="宋体" w:cs="Times New Roman"/>
                <w:color w:val="auto"/>
                <w:kern w:val="0"/>
                <w:sz w:val="22"/>
                <w:szCs w:val="22"/>
                <w:lang w:val="en-US" w:eastAsia="zh-CN" w:bidi="ar"/>
              </w:rPr>
              <w:t>medical doctors</w:t>
            </w:r>
          </w:p>
        </w:tc>
      </w:tr>
      <w:tr w14:paraId="429FE0C7">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77EA9D97">
            <w:pPr>
              <w:widowControl/>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Tc1</w:t>
            </w:r>
          </w:p>
        </w:tc>
        <w:tc>
          <w:tcPr>
            <w:tcW w:w="0" w:type="auto"/>
            <w:tcBorders>
              <w:top w:val="nil"/>
              <w:left w:val="nil"/>
              <w:bottom w:val="nil"/>
              <w:right w:val="nil"/>
            </w:tcBorders>
            <w:shd w:val="clear" w:color="auto" w:fill="auto"/>
            <w:noWrap/>
            <w:vAlign w:val="center"/>
          </w:tcPr>
          <w:p w14:paraId="7EACB4C5">
            <w:pPr>
              <w:widowControl/>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cytotoxic T 1</w:t>
            </w:r>
          </w:p>
        </w:tc>
      </w:tr>
      <w:tr w14:paraId="5DCE8601">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0A7F0BD6">
            <w:pPr>
              <w:widowControl/>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Tfh</w:t>
            </w:r>
          </w:p>
        </w:tc>
        <w:tc>
          <w:tcPr>
            <w:tcW w:w="0" w:type="auto"/>
            <w:tcBorders>
              <w:top w:val="nil"/>
              <w:left w:val="nil"/>
              <w:bottom w:val="nil"/>
              <w:right w:val="nil"/>
            </w:tcBorders>
            <w:shd w:val="clear" w:color="auto" w:fill="auto"/>
            <w:noWrap/>
            <w:vAlign w:val="center"/>
          </w:tcPr>
          <w:p w14:paraId="46F5C68A">
            <w:pPr>
              <w:widowControl/>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T follicular helper</w:t>
            </w:r>
          </w:p>
        </w:tc>
      </w:tr>
      <w:tr w14:paraId="21661CDC">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56F7C774">
            <w:pPr>
              <w:widowControl/>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TGF-β</w:t>
            </w:r>
          </w:p>
        </w:tc>
        <w:tc>
          <w:tcPr>
            <w:tcW w:w="0" w:type="auto"/>
            <w:tcBorders>
              <w:top w:val="nil"/>
              <w:left w:val="nil"/>
              <w:bottom w:val="nil"/>
              <w:right w:val="nil"/>
            </w:tcBorders>
            <w:shd w:val="clear" w:color="auto" w:fill="auto"/>
            <w:noWrap/>
            <w:vAlign w:val="center"/>
          </w:tcPr>
          <w:p w14:paraId="7AAB86FA">
            <w:pPr>
              <w:widowControl/>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Transforming Growth Factor-beta</w:t>
            </w:r>
          </w:p>
        </w:tc>
      </w:tr>
      <w:tr w14:paraId="0B195267">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656DD719">
            <w:pPr>
              <w:widowControl/>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Th1</w:t>
            </w:r>
          </w:p>
        </w:tc>
        <w:tc>
          <w:tcPr>
            <w:tcW w:w="0" w:type="auto"/>
            <w:tcBorders>
              <w:top w:val="nil"/>
              <w:left w:val="nil"/>
              <w:bottom w:val="nil"/>
              <w:right w:val="nil"/>
            </w:tcBorders>
            <w:shd w:val="clear" w:color="auto" w:fill="auto"/>
            <w:noWrap/>
            <w:vAlign w:val="center"/>
          </w:tcPr>
          <w:p w14:paraId="41E1B63E">
            <w:pPr>
              <w:widowControl/>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T-helper 1</w:t>
            </w:r>
          </w:p>
        </w:tc>
      </w:tr>
      <w:tr w14:paraId="19F63AD0">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657ADFC8">
            <w:pPr>
              <w:widowControl/>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Th2</w:t>
            </w:r>
          </w:p>
        </w:tc>
        <w:tc>
          <w:tcPr>
            <w:tcW w:w="0" w:type="auto"/>
            <w:tcBorders>
              <w:top w:val="nil"/>
              <w:left w:val="nil"/>
              <w:bottom w:val="nil"/>
              <w:right w:val="nil"/>
            </w:tcBorders>
            <w:shd w:val="clear" w:color="auto" w:fill="auto"/>
            <w:noWrap/>
            <w:vAlign w:val="center"/>
          </w:tcPr>
          <w:p w14:paraId="35E7D57F">
            <w:pPr>
              <w:widowControl/>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T-helper 2</w:t>
            </w:r>
          </w:p>
        </w:tc>
      </w:tr>
      <w:tr w14:paraId="40DFB462">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163AF097">
            <w:pPr>
              <w:widowControl/>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TNF-α</w:t>
            </w:r>
          </w:p>
        </w:tc>
        <w:tc>
          <w:tcPr>
            <w:tcW w:w="0" w:type="auto"/>
            <w:tcBorders>
              <w:top w:val="nil"/>
              <w:left w:val="nil"/>
              <w:bottom w:val="nil"/>
              <w:right w:val="nil"/>
            </w:tcBorders>
            <w:shd w:val="clear" w:color="auto" w:fill="auto"/>
            <w:noWrap/>
            <w:vAlign w:val="center"/>
          </w:tcPr>
          <w:p w14:paraId="6E2C9F14">
            <w:pPr>
              <w:widowControl/>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Tumor Necrosis Factor-α</w:t>
            </w:r>
          </w:p>
        </w:tc>
      </w:tr>
      <w:tr w14:paraId="559D4BB7">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6117DFA7">
            <w:pPr>
              <w:widowControl/>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TNF-β</w:t>
            </w:r>
          </w:p>
        </w:tc>
        <w:tc>
          <w:tcPr>
            <w:tcW w:w="0" w:type="auto"/>
            <w:tcBorders>
              <w:top w:val="nil"/>
              <w:left w:val="nil"/>
              <w:bottom w:val="nil"/>
              <w:right w:val="nil"/>
            </w:tcBorders>
            <w:shd w:val="clear" w:color="auto" w:fill="auto"/>
            <w:noWrap/>
            <w:vAlign w:val="center"/>
          </w:tcPr>
          <w:p w14:paraId="6BEBF184">
            <w:pPr>
              <w:widowControl/>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Tumor Necrosis Factor-beta</w:t>
            </w:r>
          </w:p>
        </w:tc>
      </w:tr>
      <w:tr w14:paraId="4B7615B9">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0E6E8194">
            <w:pPr>
              <w:widowControl/>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Treg</w:t>
            </w:r>
          </w:p>
        </w:tc>
        <w:tc>
          <w:tcPr>
            <w:tcW w:w="0" w:type="auto"/>
            <w:tcBorders>
              <w:top w:val="nil"/>
              <w:left w:val="nil"/>
              <w:bottom w:val="nil"/>
              <w:right w:val="nil"/>
            </w:tcBorders>
            <w:shd w:val="clear" w:color="auto" w:fill="auto"/>
            <w:noWrap/>
            <w:vAlign w:val="center"/>
          </w:tcPr>
          <w:p w14:paraId="406DB2ED">
            <w:pPr>
              <w:widowControl/>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Regulatory T cell</w:t>
            </w:r>
          </w:p>
        </w:tc>
      </w:tr>
    </w:tbl>
    <w:p w14:paraId="0C2C3C11">
      <w:pPr>
        <w:spacing w:line="360" w:lineRule="auto"/>
        <w:rPr>
          <w:rFonts w:ascii="Times New Roman" w:hAnsi="Times New Roman" w:cs="Times New Roman"/>
          <w:color w:val="auto"/>
          <w:sz w:val="24"/>
          <w:szCs w:val="32"/>
        </w:rPr>
      </w:pPr>
    </w:p>
    <w:p w14:paraId="18091432">
      <w:pPr>
        <w:spacing w:line="360" w:lineRule="auto"/>
        <w:rPr>
          <w:rFonts w:ascii="Times New Roman" w:hAnsi="Times New Roman" w:cs="Times New Roman"/>
          <w:b/>
          <w:bCs/>
          <w:color w:val="auto"/>
          <w:sz w:val="24"/>
          <w:szCs w:val="32"/>
        </w:rPr>
      </w:pPr>
    </w:p>
    <w:p w14:paraId="2F588899">
      <w:pPr>
        <w:spacing w:line="360" w:lineRule="auto"/>
        <w:rPr>
          <w:rFonts w:ascii="Times New Roman" w:hAnsi="Times New Roman" w:cs="Times New Roman"/>
          <w:b/>
          <w:bCs/>
          <w:color w:val="auto"/>
          <w:sz w:val="24"/>
          <w:szCs w:val="32"/>
        </w:rPr>
      </w:pPr>
      <w:r>
        <w:rPr>
          <w:rFonts w:ascii="Times New Roman" w:hAnsi="Times New Roman" w:cs="Times New Roman"/>
          <w:b/>
          <w:bCs/>
          <w:color w:val="auto"/>
          <w:sz w:val="24"/>
          <w:szCs w:val="32"/>
        </w:rPr>
        <w:t>Declarations</w:t>
      </w:r>
    </w:p>
    <w:p w14:paraId="727D2587">
      <w:pPr>
        <w:spacing w:line="360" w:lineRule="auto"/>
        <w:rPr>
          <w:rFonts w:ascii="Times New Roman" w:hAnsi="Times New Roman" w:cs="Times New Roman"/>
          <w:color w:val="auto"/>
          <w:sz w:val="24"/>
          <w:szCs w:val="32"/>
        </w:rPr>
      </w:pPr>
      <w:r>
        <w:rPr>
          <w:rFonts w:ascii="Times New Roman" w:hAnsi="Times New Roman" w:cs="Times New Roman"/>
          <w:b/>
          <w:bCs/>
          <w:color w:val="auto"/>
          <w:sz w:val="24"/>
          <w:szCs w:val="32"/>
        </w:rPr>
        <w:t>Ethics approval and consent to participate</w:t>
      </w:r>
    </w:p>
    <w:p w14:paraId="4615A4FA">
      <w:pPr>
        <w:spacing w:line="360" w:lineRule="auto"/>
        <w:ind w:firstLine="480" w:firstLineChars="200"/>
        <w:rPr>
          <w:rFonts w:ascii="Times New Roman" w:hAnsi="Times New Roman" w:cs="Times New Roman"/>
          <w:color w:val="auto"/>
          <w:sz w:val="24"/>
          <w:szCs w:val="32"/>
        </w:rPr>
      </w:pPr>
      <w:r>
        <w:rPr>
          <w:rFonts w:hint="eastAsia" w:ascii="Times New Roman" w:hAnsi="Times New Roman" w:cs="Times New Roman"/>
          <w:color w:val="auto"/>
          <w:sz w:val="24"/>
          <w:szCs w:val="32"/>
        </w:rPr>
        <w:t xml:space="preserve">This study, conducted at the Second Affiliated Hospital of Kunming Medical University (ID: 2020ynlc001), received ethical approval from the Medical Ethics Committee of the Second Affiliated Hospital of Kunming Medical University (Approval ID: Review-PJ-2020-102) on November 9 2020, in accordance with the principles of the Declaration of Helsinki. Written informed consent was obtained from all participants and their families. The study was registered as a clinical trial with the Chinese Clinical Trial Registry (ChiCTR ID: ChiCTR2000040836) on December 11, 2020, accessible via the ChiCTR website (http://www.chictr.org.cn/). </w:t>
      </w:r>
    </w:p>
    <w:p w14:paraId="4766EB41">
      <w:pPr>
        <w:spacing w:line="360" w:lineRule="auto"/>
        <w:rPr>
          <w:rFonts w:ascii="Times New Roman" w:hAnsi="Times New Roman" w:cs="Times New Roman"/>
          <w:b/>
          <w:bCs/>
          <w:color w:val="auto"/>
          <w:sz w:val="24"/>
          <w:szCs w:val="32"/>
        </w:rPr>
      </w:pPr>
      <w:r>
        <w:rPr>
          <w:rFonts w:ascii="Times New Roman" w:hAnsi="Times New Roman" w:cs="Times New Roman"/>
          <w:b/>
          <w:bCs/>
          <w:color w:val="auto"/>
          <w:sz w:val="24"/>
          <w:szCs w:val="32"/>
        </w:rPr>
        <w:t>Consent for publication</w:t>
      </w:r>
    </w:p>
    <w:p w14:paraId="525BEDAF">
      <w:pPr>
        <w:spacing w:line="360" w:lineRule="auto"/>
        <w:rPr>
          <w:rFonts w:ascii="Times New Roman" w:hAnsi="Times New Roman" w:cs="Times New Roman"/>
          <w:color w:val="auto"/>
          <w:sz w:val="24"/>
          <w:szCs w:val="32"/>
        </w:rPr>
      </w:pPr>
      <w:r>
        <w:rPr>
          <w:rFonts w:hint="eastAsia" w:ascii="Times New Roman" w:hAnsi="Times New Roman" w:cs="Times New Roman"/>
          <w:color w:val="auto"/>
          <w:sz w:val="24"/>
          <w:szCs w:val="32"/>
        </w:rPr>
        <w:t>Given that the case reports involve underage children, written informed consent was obtained from the parents or legal guardians of each patient for the publication of this case report.</w:t>
      </w:r>
    </w:p>
    <w:p w14:paraId="2BBA40F2">
      <w:pPr>
        <w:spacing w:line="360" w:lineRule="auto"/>
        <w:rPr>
          <w:rFonts w:ascii="Times New Roman" w:hAnsi="Times New Roman" w:cs="Times New Roman"/>
          <w:b/>
          <w:bCs/>
          <w:color w:val="auto"/>
          <w:sz w:val="24"/>
          <w:szCs w:val="32"/>
        </w:rPr>
      </w:pPr>
      <w:r>
        <w:rPr>
          <w:rFonts w:ascii="Times New Roman" w:hAnsi="Times New Roman" w:cs="Times New Roman"/>
          <w:b/>
          <w:bCs/>
          <w:color w:val="auto"/>
          <w:sz w:val="24"/>
          <w:szCs w:val="32"/>
        </w:rPr>
        <w:t>Competing interests</w:t>
      </w:r>
    </w:p>
    <w:p w14:paraId="235A4CBF">
      <w:pPr>
        <w:rPr>
          <w:rFonts w:ascii="Times New Roman" w:hAnsi="Times New Roman" w:cs="Times New Roman"/>
          <w:color w:val="auto"/>
          <w:sz w:val="24"/>
          <w:szCs w:val="32"/>
        </w:rPr>
      </w:pPr>
      <w:r>
        <w:rPr>
          <w:rFonts w:ascii="Times New Roman" w:hAnsi="Times New Roman" w:cs="Times New Roman"/>
          <w:color w:val="auto"/>
          <w:sz w:val="24"/>
          <w:szCs w:val="32"/>
        </w:rPr>
        <w:t>The authors declare no competing interests.</w:t>
      </w:r>
    </w:p>
    <w:p w14:paraId="5A3F0424">
      <w:pPr>
        <w:spacing w:line="360" w:lineRule="auto"/>
        <w:rPr>
          <w:rFonts w:ascii="Times New Roman" w:hAnsi="Times New Roman" w:cs="Times New Roman"/>
          <w:b/>
          <w:bCs/>
          <w:color w:val="auto"/>
          <w:sz w:val="24"/>
          <w:szCs w:val="32"/>
        </w:rPr>
      </w:pPr>
      <w:bookmarkStart w:id="6" w:name="OLE_LINK108"/>
      <w:bookmarkStart w:id="7" w:name="OLE_LINK109"/>
      <w:r>
        <w:rPr>
          <w:rFonts w:ascii="Times New Roman" w:hAnsi="Times New Roman" w:cs="Times New Roman"/>
          <w:b/>
          <w:bCs/>
          <w:color w:val="auto"/>
          <w:sz w:val="24"/>
          <w:szCs w:val="32"/>
        </w:rPr>
        <w:t>Author contribution</w:t>
      </w:r>
    </w:p>
    <w:bookmarkEnd w:id="6"/>
    <w:bookmarkEnd w:id="7"/>
    <w:p w14:paraId="3E8EC13B">
      <w:pPr>
        <w:spacing w:line="360" w:lineRule="auto"/>
        <w:rPr>
          <w:rFonts w:ascii="Times New Roman" w:hAnsi="Times New Roman" w:cs="Times New Roman"/>
          <w:color w:val="auto"/>
          <w:sz w:val="24"/>
          <w:szCs w:val="32"/>
        </w:rPr>
      </w:pPr>
      <w:r>
        <w:rPr>
          <w:rFonts w:ascii="Times New Roman" w:hAnsi="Times New Roman" w:cs="Times New Roman"/>
          <w:color w:val="auto"/>
          <w:sz w:val="24"/>
          <w:szCs w:val="32"/>
        </w:rPr>
        <w:t>Huiling Chen wrote the article and processed the images. Meng</w:t>
      </w:r>
      <w:r>
        <w:rPr>
          <w:rFonts w:hint="eastAsia" w:ascii="Times New Roman" w:hAnsi="Times New Roman" w:cs="Times New Roman"/>
          <w:color w:val="auto"/>
          <w:sz w:val="24"/>
          <w:szCs w:val="32"/>
        </w:rPr>
        <w:t xml:space="preserve"> </w:t>
      </w:r>
      <w:r>
        <w:rPr>
          <w:rFonts w:ascii="Times New Roman" w:hAnsi="Times New Roman" w:cs="Times New Roman"/>
          <w:color w:val="auto"/>
          <w:sz w:val="24"/>
          <w:szCs w:val="32"/>
        </w:rPr>
        <w:t>Li , Penghao</w:t>
      </w:r>
      <w:r>
        <w:rPr>
          <w:rFonts w:hint="eastAsia" w:ascii="Times New Roman" w:hAnsi="Times New Roman" w:cs="Times New Roman"/>
          <w:color w:val="auto"/>
          <w:sz w:val="24"/>
          <w:szCs w:val="32"/>
        </w:rPr>
        <w:t xml:space="preserve"> </w:t>
      </w:r>
      <w:r>
        <w:rPr>
          <w:rFonts w:ascii="Times New Roman" w:hAnsi="Times New Roman" w:cs="Times New Roman"/>
          <w:color w:val="auto"/>
          <w:sz w:val="24"/>
          <w:szCs w:val="32"/>
        </w:rPr>
        <w:t xml:space="preserve">Yao, and Huiling Chen documented the entire process of tests and experiments conducted on different subjects, from pre-treatment through to follow-up. Zuqing Nie performed the detection of T cell subsets using flow cytometry. Yan Zhang and Li Xu managed subject enrollment and conducted scale evaluations. </w:t>
      </w:r>
      <w:r>
        <w:rPr>
          <w:rFonts w:hint="eastAsia" w:ascii="Times New Roman" w:hAnsi="Times New Roman" w:cs="Times New Roman"/>
          <w:color w:val="auto"/>
          <w:sz w:val="24"/>
          <w:szCs w:val="32"/>
        </w:rPr>
        <w:t xml:space="preserve">Chen Shen and Xinyi Xu conducted data statistics, analyses, and provided assistance with flow cytometry. Juli Huang and Yan Liu are primarily responsible for administering drugs and verifying drug protocols. </w:t>
      </w:r>
      <w:r>
        <w:rPr>
          <w:rFonts w:ascii="Times New Roman" w:hAnsi="Times New Roman" w:cs="Times New Roman"/>
          <w:color w:val="auto"/>
          <w:sz w:val="24"/>
          <w:szCs w:val="32"/>
        </w:rPr>
        <w:t>Zhiwei Li and Jie Wen assisted in processing blood samples from the subjects. X</w:t>
      </w:r>
      <w:r>
        <w:rPr>
          <w:rFonts w:hint="eastAsia" w:ascii="Times New Roman" w:hAnsi="Times New Roman" w:cs="Times New Roman"/>
          <w:color w:val="auto"/>
          <w:sz w:val="24"/>
          <w:szCs w:val="32"/>
        </w:rPr>
        <w:t>i</w:t>
      </w:r>
      <w:r>
        <w:rPr>
          <w:rFonts w:ascii="Times New Roman" w:hAnsi="Times New Roman" w:cs="Times New Roman"/>
          <w:color w:val="auto"/>
          <w:sz w:val="24"/>
          <w:szCs w:val="32"/>
        </w:rPr>
        <w:t xml:space="preserve">a Cao </w:t>
      </w:r>
      <w:r>
        <w:rPr>
          <w:rFonts w:hint="eastAsia" w:ascii="Times New Roman" w:hAnsi="Times New Roman" w:cs="Times New Roman"/>
          <w:color w:val="auto"/>
          <w:sz w:val="24"/>
          <w:szCs w:val="32"/>
        </w:rPr>
        <w:t xml:space="preserve">and </w:t>
      </w:r>
      <w:r>
        <w:rPr>
          <w:rFonts w:ascii="Times New Roman" w:hAnsi="Times New Roman" w:cs="Times New Roman"/>
          <w:color w:val="auto"/>
          <w:sz w:val="24"/>
          <w:szCs w:val="32"/>
        </w:rPr>
        <w:t>Lin Zhao</w:t>
      </w:r>
      <w:r>
        <w:rPr>
          <w:rFonts w:hint="eastAsia" w:ascii="Times New Roman" w:hAnsi="Times New Roman" w:cs="Times New Roman"/>
          <w:color w:val="auto"/>
          <w:sz w:val="24"/>
          <w:szCs w:val="32"/>
        </w:rPr>
        <w:t xml:space="preserve"> </w:t>
      </w:r>
      <w:r>
        <w:rPr>
          <w:rFonts w:ascii="Times New Roman" w:hAnsi="Times New Roman" w:cs="Times New Roman"/>
          <w:color w:val="auto"/>
          <w:sz w:val="24"/>
          <w:szCs w:val="32"/>
        </w:rPr>
        <w:t>reviewed the manuscript comprehensively and contributed throughout the study, with</w:t>
      </w:r>
      <w:r>
        <w:rPr>
          <w:rFonts w:hint="eastAsia" w:ascii="Times New Roman" w:hAnsi="Times New Roman" w:cs="Times New Roman"/>
          <w:color w:val="auto"/>
          <w:sz w:val="24"/>
          <w:szCs w:val="32"/>
        </w:rPr>
        <w:t xml:space="preserve"> </w:t>
      </w:r>
      <w:r>
        <w:rPr>
          <w:rFonts w:ascii="Times New Roman" w:hAnsi="Times New Roman" w:cs="Times New Roman"/>
          <w:color w:val="auto"/>
          <w:sz w:val="24"/>
          <w:szCs w:val="32"/>
        </w:rPr>
        <w:t>Lin Zhao also overseeing subject enrollment.</w:t>
      </w:r>
    </w:p>
    <w:p w14:paraId="0597BA58">
      <w:pPr>
        <w:spacing w:line="360" w:lineRule="auto"/>
        <w:rPr>
          <w:rFonts w:ascii="Times New Roman" w:hAnsi="Times New Roman" w:cs="Times New Roman"/>
          <w:b/>
          <w:bCs/>
          <w:color w:val="auto"/>
          <w:sz w:val="24"/>
          <w:szCs w:val="32"/>
        </w:rPr>
      </w:pPr>
      <w:r>
        <w:rPr>
          <w:rFonts w:ascii="Times New Roman" w:hAnsi="Times New Roman" w:cs="Times New Roman"/>
          <w:b/>
          <w:bCs/>
          <w:color w:val="auto"/>
          <w:sz w:val="24"/>
          <w:szCs w:val="32"/>
        </w:rPr>
        <w:t>Funding</w:t>
      </w:r>
    </w:p>
    <w:p w14:paraId="28D48781">
      <w:pPr>
        <w:spacing w:line="360" w:lineRule="auto"/>
        <w:rPr>
          <w:rFonts w:ascii="Times New Roman" w:hAnsi="Times New Roman" w:cs="Times New Roman"/>
          <w:color w:val="auto"/>
          <w:sz w:val="24"/>
          <w:szCs w:val="32"/>
        </w:rPr>
      </w:pPr>
      <w:r>
        <w:rPr>
          <w:rFonts w:ascii="Times New Roman" w:hAnsi="Times New Roman" w:cs="Times New Roman"/>
          <w:color w:val="auto"/>
          <w:sz w:val="24"/>
          <w:szCs w:val="32"/>
        </w:rPr>
        <w:t xml:space="preserve">This study was supported by the </w:t>
      </w:r>
      <w:r>
        <w:rPr>
          <w:rFonts w:hint="eastAsia" w:ascii="Times New Roman" w:hAnsi="Times New Roman" w:cs="Times New Roman"/>
          <w:color w:val="auto"/>
          <w:sz w:val="24"/>
          <w:szCs w:val="32"/>
        </w:rPr>
        <w:t>Yunnan Province Biomedical Special Project (202402AA310051),</w:t>
      </w:r>
      <w:r>
        <w:rPr>
          <w:rFonts w:ascii="Times New Roman" w:hAnsi="Times New Roman" w:cs="Times New Roman"/>
          <w:color w:val="auto"/>
          <w:sz w:val="24"/>
          <w:szCs w:val="32"/>
        </w:rPr>
        <w:t xml:space="preserve"> the National Natural Science Foundation of China (</w:t>
      </w:r>
      <w:r>
        <w:rPr>
          <w:rFonts w:hint="eastAsia" w:ascii="Times New Roman" w:hAnsi="Times New Roman" w:cs="Times New Roman"/>
          <w:color w:val="auto"/>
          <w:sz w:val="24"/>
          <w:szCs w:val="32"/>
        </w:rPr>
        <w:t>82460281,</w:t>
      </w:r>
      <w:r>
        <w:rPr>
          <w:rFonts w:ascii="Times New Roman" w:hAnsi="Times New Roman" w:cs="Times New Roman"/>
          <w:color w:val="auto"/>
          <w:sz w:val="24"/>
          <w:szCs w:val="32"/>
        </w:rPr>
        <w:t xml:space="preserve"> 82060306),</w:t>
      </w:r>
      <w:r>
        <w:rPr>
          <w:rFonts w:hint="eastAsia" w:ascii="Times New Roman" w:hAnsi="Times New Roman" w:cs="Times New Roman"/>
          <w:color w:val="auto"/>
          <w:sz w:val="24"/>
          <w:szCs w:val="32"/>
        </w:rPr>
        <w:t xml:space="preserve"> </w:t>
      </w:r>
      <w:r>
        <w:rPr>
          <w:rFonts w:ascii="Times New Roman" w:hAnsi="Times New Roman" w:cs="Times New Roman"/>
          <w:color w:val="auto"/>
          <w:sz w:val="24"/>
          <w:szCs w:val="32"/>
        </w:rPr>
        <w:t xml:space="preserve">the Yunnan Province Li Bin Expert Work Station Foundation (202305AF150068), Clinical trial in the Second Affiliated Hospital of Kunming Medical University (2020ynlc001). </w:t>
      </w:r>
    </w:p>
    <w:p w14:paraId="7C5F28EA">
      <w:pPr>
        <w:spacing w:line="360" w:lineRule="auto"/>
        <w:rPr>
          <w:rFonts w:ascii="Times New Roman" w:hAnsi="Times New Roman" w:cs="Times New Roman"/>
          <w:b/>
          <w:bCs/>
          <w:color w:val="auto"/>
          <w:sz w:val="24"/>
          <w:szCs w:val="32"/>
        </w:rPr>
      </w:pPr>
      <w:r>
        <w:rPr>
          <w:rFonts w:ascii="Times New Roman" w:hAnsi="Times New Roman" w:cs="Times New Roman"/>
          <w:b/>
          <w:bCs/>
          <w:color w:val="auto"/>
          <w:sz w:val="24"/>
          <w:szCs w:val="32"/>
        </w:rPr>
        <w:t>Data Availability</w:t>
      </w:r>
    </w:p>
    <w:p w14:paraId="69B19D07">
      <w:pPr>
        <w:spacing w:line="360" w:lineRule="auto"/>
        <w:rPr>
          <w:rFonts w:ascii="Times New Roman" w:hAnsi="Times New Roman" w:cs="Times New Roman"/>
          <w:color w:val="auto"/>
          <w:sz w:val="24"/>
          <w:szCs w:val="32"/>
        </w:rPr>
      </w:pPr>
      <w:r>
        <w:rPr>
          <w:rFonts w:ascii="Times New Roman" w:hAnsi="Times New Roman" w:cs="Times New Roman"/>
          <w:color w:val="auto"/>
          <w:sz w:val="24"/>
          <w:szCs w:val="32"/>
        </w:rPr>
        <w:t>The datasets used and/or analysed during the current study are available from the corresponding author upon reasonable request.</w:t>
      </w:r>
    </w:p>
    <w:p w14:paraId="5DE217D7">
      <w:pPr>
        <w:jc w:val="center"/>
        <w:rPr>
          <w:rFonts w:ascii="Times New Roman" w:hAnsi="Times New Roman" w:cs="Times New Roman"/>
          <w:color w:val="auto"/>
          <w:sz w:val="24"/>
        </w:rPr>
      </w:pPr>
      <w:r>
        <w:rPr>
          <w:rFonts w:ascii="Times New Roman" w:hAnsi="Times New Roman" w:eastAsia="Times New Roman" w:cs="Times New Roman"/>
          <w:b/>
          <w:color w:val="auto"/>
          <w:sz w:val="40"/>
        </w:rPr>
        <w:t>References:</w:t>
      </w:r>
    </w:p>
    <w:p w14:paraId="45B98E70">
      <w:pPr>
        <w:rPr>
          <w:rFonts w:ascii="Times New Roman" w:hAnsi="Times New Roman" w:cs="Times New Roman"/>
          <w:color w:val="auto"/>
          <w:sz w:val="24"/>
        </w:rPr>
      </w:pPr>
      <w:r>
        <w:rPr>
          <w:rFonts w:ascii="Times New Roman" w:hAnsi="Times New Roman" w:eastAsia="Times New Roman" w:cs="Times New Roman"/>
          <w:color w:val="auto"/>
          <w:sz w:val="20"/>
        </w:rPr>
        <w:t>1.</w:t>
      </w:r>
      <w:r>
        <w:rPr>
          <w:rFonts w:ascii="Times New Roman" w:hAnsi="Times New Roman" w:eastAsia="Times New Roman" w:cs="Times New Roman"/>
          <w:color w:val="auto"/>
          <w:sz w:val="20"/>
        </w:rPr>
        <w:tab/>
      </w:r>
      <w:bookmarkStart w:id="8" w:name="_nebCA533FC6_7F36_41FB_B0E2_CBF20E3D2839"/>
      <w:r>
        <w:rPr>
          <w:rFonts w:ascii="Times New Roman" w:hAnsi="Times New Roman" w:eastAsia="Times New Roman" w:cs="Times New Roman"/>
          <w:color w:val="auto"/>
          <w:sz w:val="20"/>
        </w:rPr>
        <w:t xml:space="preserve">Volkmar FR, McPartland JC: </w:t>
      </w:r>
      <w:r>
        <w:rPr>
          <w:rFonts w:ascii="Times New Roman" w:hAnsi="Times New Roman" w:eastAsia="Times New Roman" w:cs="Times New Roman"/>
          <w:b/>
          <w:color w:val="auto"/>
          <w:sz w:val="20"/>
        </w:rPr>
        <w:t>From Kanner to DSM-5: autism as an evolving diagnostic concept</w:t>
      </w:r>
      <w:r>
        <w:rPr>
          <w:rFonts w:ascii="Times New Roman" w:hAnsi="Times New Roman" w:eastAsia="Times New Roman" w:cs="Times New Roman"/>
          <w:color w:val="auto"/>
          <w:sz w:val="20"/>
        </w:rPr>
        <w:t xml:space="preserve">. </w:t>
      </w:r>
      <w:r>
        <w:rPr>
          <w:rFonts w:ascii="Times New Roman" w:hAnsi="Times New Roman" w:eastAsia="Times New Roman" w:cs="Times New Roman"/>
          <w:i/>
          <w:color w:val="auto"/>
          <w:sz w:val="20"/>
        </w:rPr>
        <w:t>ANNU REV CLIN PSYCHO</w:t>
      </w:r>
      <w:r>
        <w:rPr>
          <w:rFonts w:ascii="Times New Roman" w:hAnsi="Times New Roman" w:eastAsia="Times New Roman" w:cs="Times New Roman"/>
          <w:color w:val="auto"/>
          <w:sz w:val="20"/>
        </w:rPr>
        <w:t xml:space="preserve"> 2014, </w:t>
      </w:r>
      <w:r>
        <w:rPr>
          <w:rFonts w:ascii="Times New Roman" w:hAnsi="Times New Roman" w:eastAsia="Times New Roman" w:cs="Times New Roman"/>
          <w:b/>
          <w:color w:val="auto"/>
          <w:sz w:val="20"/>
        </w:rPr>
        <w:t>10</w:t>
      </w:r>
      <w:r>
        <w:rPr>
          <w:rFonts w:ascii="Times New Roman" w:hAnsi="Times New Roman" w:eastAsia="Times New Roman" w:cs="Times New Roman"/>
          <w:color w:val="auto"/>
          <w:sz w:val="20"/>
        </w:rPr>
        <w:t>:193-212.</w:t>
      </w:r>
      <w:bookmarkEnd w:id="8"/>
    </w:p>
    <w:p w14:paraId="7A9A37C6">
      <w:pPr>
        <w:rPr>
          <w:rFonts w:ascii="Times New Roman" w:hAnsi="Times New Roman" w:eastAsia="Times New Roman" w:cs="Times New Roman"/>
          <w:color w:val="auto"/>
          <w:sz w:val="20"/>
        </w:rPr>
      </w:pPr>
      <w:r>
        <w:rPr>
          <w:rFonts w:ascii="Times New Roman" w:hAnsi="Times New Roman" w:eastAsia="Times New Roman" w:cs="Times New Roman"/>
          <w:color w:val="auto"/>
          <w:sz w:val="20"/>
        </w:rPr>
        <w:t>2.</w:t>
      </w:r>
      <w:r>
        <w:rPr>
          <w:rFonts w:ascii="Times New Roman" w:hAnsi="Times New Roman" w:eastAsia="Times New Roman" w:cs="Times New Roman"/>
          <w:color w:val="auto"/>
          <w:sz w:val="20"/>
        </w:rPr>
        <w:tab/>
      </w:r>
      <w:bookmarkStart w:id="9" w:name="_nebE7CEA9DC_1C1E_4396_B018_E58253C599D8"/>
      <w:bookmarkStart w:id="10" w:name="_nebB95F6502_660B_4BBA_8FFF_1E143C2A8F89"/>
      <w:r>
        <w:rPr>
          <w:rFonts w:ascii="Times New Roman" w:hAnsi="Times New Roman" w:eastAsia="Times New Roman" w:cs="Times New Roman"/>
          <w:color w:val="auto"/>
          <w:sz w:val="20"/>
        </w:rPr>
        <w:t xml:space="preserve">Lai MC, Lombardo MV, Baron-Cohen S: </w:t>
      </w:r>
      <w:r>
        <w:rPr>
          <w:rFonts w:ascii="Times New Roman" w:hAnsi="Times New Roman" w:eastAsia="Times New Roman" w:cs="Times New Roman"/>
          <w:b/>
          <w:color w:val="auto"/>
          <w:sz w:val="20"/>
        </w:rPr>
        <w:t>Autism</w:t>
      </w:r>
      <w:r>
        <w:rPr>
          <w:rFonts w:ascii="Times New Roman" w:hAnsi="Times New Roman" w:eastAsia="Times New Roman" w:cs="Times New Roman"/>
          <w:color w:val="auto"/>
          <w:sz w:val="20"/>
        </w:rPr>
        <w:t xml:space="preserve">. </w:t>
      </w:r>
      <w:r>
        <w:rPr>
          <w:rFonts w:ascii="Times New Roman" w:hAnsi="Times New Roman" w:eastAsia="Times New Roman" w:cs="Times New Roman"/>
          <w:i/>
          <w:color w:val="auto"/>
          <w:sz w:val="20"/>
        </w:rPr>
        <w:t>LANCET</w:t>
      </w:r>
      <w:r>
        <w:rPr>
          <w:rFonts w:ascii="Times New Roman" w:hAnsi="Times New Roman" w:eastAsia="Times New Roman" w:cs="Times New Roman"/>
          <w:color w:val="auto"/>
          <w:sz w:val="20"/>
        </w:rPr>
        <w:t xml:space="preserve"> 2014, </w:t>
      </w:r>
      <w:r>
        <w:rPr>
          <w:rFonts w:ascii="Times New Roman" w:hAnsi="Times New Roman" w:eastAsia="Times New Roman" w:cs="Times New Roman"/>
          <w:b/>
          <w:color w:val="auto"/>
          <w:sz w:val="20"/>
        </w:rPr>
        <w:t>383</w:t>
      </w:r>
      <w:r>
        <w:rPr>
          <w:rFonts w:ascii="Times New Roman" w:hAnsi="Times New Roman" w:eastAsia="Times New Roman" w:cs="Times New Roman"/>
          <w:color w:val="auto"/>
          <w:sz w:val="20"/>
        </w:rPr>
        <w:t>(9920):896-910.</w:t>
      </w:r>
      <w:bookmarkEnd w:id="9"/>
    </w:p>
    <w:p w14:paraId="095AA603">
      <w:pPr>
        <w:rPr>
          <w:rFonts w:ascii="Times New Roman" w:hAnsi="Times New Roman" w:cs="Times New Roman"/>
          <w:color w:val="auto"/>
          <w:sz w:val="24"/>
        </w:rPr>
      </w:pPr>
      <w:r>
        <w:rPr>
          <w:rFonts w:ascii="Times New Roman" w:hAnsi="Times New Roman" w:eastAsia="Times New Roman" w:cs="Times New Roman"/>
          <w:color w:val="auto"/>
          <w:sz w:val="20"/>
        </w:rPr>
        <w:t>3.</w:t>
      </w:r>
      <w:r>
        <w:rPr>
          <w:rFonts w:ascii="Times New Roman" w:hAnsi="Times New Roman" w:eastAsia="Times New Roman" w:cs="Times New Roman"/>
          <w:color w:val="auto"/>
          <w:sz w:val="20"/>
        </w:rPr>
        <w:tab/>
      </w:r>
      <w:r>
        <w:rPr>
          <w:rFonts w:ascii="Times New Roman" w:hAnsi="Times New Roman" w:eastAsia="Times New Roman" w:cs="Times New Roman"/>
          <w:color w:val="auto"/>
          <w:sz w:val="20"/>
        </w:rPr>
        <w:t>Maenner MJ, Warren Z, Williams AR, Amoakohene E, Bakian AV, Bilder DA, Durkin MS, Fitzgerald RT, Furnier SM, Hughes MM</w:t>
      </w:r>
      <w:r>
        <w:rPr>
          <w:rFonts w:ascii="Times New Roman" w:hAnsi="Times New Roman" w:eastAsia="Times New Roman" w:cs="Times New Roman"/>
          <w:i/>
          <w:color w:val="auto"/>
          <w:sz w:val="20"/>
        </w:rPr>
        <w:t xml:space="preserve"> et al</w:t>
      </w:r>
      <w:r>
        <w:rPr>
          <w:rFonts w:ascii="Times New Roman" w:hAnsi="Times New Roman" w:eastAsia="Times New Roman" w:cs="Times New Roman"/>
          <w:color w:val="auto"/>
          <w:sz w:val="20"/>
        </w:rPr>
        <w:t xml:space="preserve">: </w:t>
      </w:r>
      <w:r>
        <w:rPr>
          <w:rFonts w:ascii="Times New Roman" w:hAnsi="Times New Roman" w:eastAsia="Times New Roman" w:cs="Times New Roman"/>
          <w:b/>
          <w:color w:val="auto"/>
          <w:sz w:val="20"/>
        </w:rPr>
        <w:t>Prevalence and Characteristics of Autism Spectrum Disorder Among Children Aged 8  Years - Autism and Developmental Disabilities Monitoring Network, 11 Sites,  United States, 2020</w:t>
      </w:r>
      <w:r>
        <w:rPr>
          <w:rFonts w:ascii="Times New Roman" w:hAnsi="Times New Roman" w:eastAsia="Times New Roman" w:cs="Times New Roman"/>
          <w:color w:val="auto"/>
          <w:sz w:val="20"/>
        </w:rPr>
        <w:t xml:space="preserve">. </w:t>
      </w:r>
      <w:r>
        <w:rPr>
          <w:rFonts w:ascii="Times New Roman" w:hAnsi="Times New Roman" w:eastAsia="Times New Roman" w:cs="Times New Roman"/>
          <w:i/>
          <w:color w:val="auto"/>
          <w:sz w:val="20"/>
        </w:rPr>
        <w:t>MMWR SURVEILL SUMM</w:t>
      </w:r>
      <w:r>
        <w:rPr>
          <w:rFonts w:ascii="Times New Roman" w:hAnsi="Times New Roman" w:eastAsia="Times New Roman" w:cs="Times New Roman"/>
          <w:color w:val="auto"/>
          <w:sz w:val="20"/>
        </w:rPr>
        <w:t xml:space="preserve"> 2023, </w:t>
      </w:r>
      <w:r>
        <w:rPr>
          <w:rFonts w:ascii="Times New Roman" w:hAnsi="Times New Roman" w:eastAsia="Times New Roman" w:cs="Times New Roman"/>
          <w:b/>
          <w:color w:val="auto"/>
          <w:sz w:val="20"/>
        </w:rPr>
        <w:t>72</w:t>
      </w:r>
      <w:r>
        <w:rPr>
          <w:rFonts w:ascii="Times New Roman" w:hAnsi="Times New Roman" w:eastAsia="Times New Roman" w:cs="Times New Roman"/>
          <w:color w:val="auto"/>
          <w:sz w:val="20"/>
        </w:rPr>
        <w:t>(2):1-14.</w:t>
      </w:r>
      <w:bookmarkEnd w:id="10"/>
    </w:p>
    <w:p w14:paraId="759F76F6">
      <w:pPr>
        <w:rPr>
          <w:rFonts w:ascii="Times New Roman" w:hAnsi="Times New Roman" w:cs="Times New Roman"/>
          <w:color w:val="auto"/>
          <w:sz w:val="24"/>
        </w:rPr>
      </w:pPr>
      <w:r>
        <w:rPr>
          <w:rFonts w:hint="eastAsia" w:ascii="Times New Roman" w:hAnsi="Times New Roman" w:eastAsia="宋体" w:cs="Times New Roman"/>
          <w:color w:val="auto"/>
          <w:sz w:val="20"/>
        </w:rPr>
        <w:t>4</w:t>
      </w:r>
      <w:r>
        <w:rPr>
          <w:rFonts w:ascii="Times New Roman" w:hAnsi="Times New Roman" w:eastAsia="Times New Roman" w:cs="Times New Roman"/>
          <w:color w:val="auto"/>
          <w:sz w:val="20"/>
        </w:rPr>
        <w:t>.</w:t>
      </w:r>
      <w:r>
        <w:rPr>
          <w:rFonts w:ascii="Times New Roman" w:hAnsi="Times New Roman" w:eastAsia="Times New Roman" w:cs="Times New Roman"/>
          <w:color w:val="auto"/>
          <w:sz w:val="20"/>
        </w:rPr>
        <w:tab/>
      </w:r>
      <w:bookmarkStart w:id="11" w:name="_neb2EF95C92_A856_4BB5_83F1_30AA2332294A"/>
      <w:r>
        <w:rPr>
          <w:rFonts w:ascii="Times New Roman" w:hAnsi="Times New Roman" w:eastAsia="Times New Roman" w:cs="Times New Roman"/>
          <w:color w:val="auto"/>
          <w:sz w:val="20"/>
        </w:rPr>
        <w:t xml:space="preserve">Hirota T, King BH: </w:t>
      </w:r>
      <w:r>
        <w:rPr>
          <w:rFonts w:ascii="Times New Roman" w:hAnsi="Times New Roman" w:eastAsia="Times New Roman" w:cs="Times New Roman"/>
          <w:b/>
          <w:color w:val="auto"/>
          <w:sz w:val="20"/>
        </w:rPr>
        <w:t>Autism Spectrum Disorder: A Review</w:t>
      </w:r>
      <w:r>
        <w:rPr>
          <w:rFonts w:ascii="Times New Roman" w:hAnsi="Times New Roman" w:eastAsia="Times New Roman" w:cs="Times New Roman"/>
          <w:color w:val="auto"/>
          <w:sz w:val="20"/>
        </w:rPr>
        <w:t xml:space="preserve">. </w:t>
      </w:r>
      <w:r>
        <w:rPr>
          <w:rFonts w:ascii="Times New Roman" w:hAnsi="Times New Roman" w:eastAsia="Times New Roman" w:cs="Times New Roman"/>
          <w:i/>
          <w:color w:val="auto"/>
          <w:sz w:val="20"/>
        </w:rPr>
        <w:t>JAMA-J AM MED ASSOC</w:t>
      </w:r>
      <w:r>
        <w:rPr>
          <w:rFonts w:ascii="Times New Roman" w:hAnsi="Times New Roman" w:eastAsia="Times New Roman" w:cs="Times New Roman"/>
          <w:color w:val="auto"/>
          <w:sz w:val="20"/>
        </w:rPr>
        <w:t xml:space="preserve"> 2023, </w:t>
      </w:r>
      <w:r>
        <w:rPr>
          <w:rFonts w:ascii="Times New Roman" w:hAnsi="Times New Roman" w:eastAsia="Times New Roman" w:cs="Times New Roman"/>
          <w:b/>
          <w:color w:val="auto"/>
          <w:sz w:val="20"/>
        </w:rPr>
        <w:t>329</w:t>
      </w:r>
      <w:r>
        <w:rPr>
          <w:rFonts w:ascii="Times New Roman" w:hAnsi="Times New Roman" w:eastAsia="Times New Roman" w:cs="Times New Roman"/>
          <w:color w:val="auto"/>
          <w:sz w:val="20"/>
        </w:rPr>
        <w:t>(2):157-168.</w:t>
      </w:r>
      <w:bookmarkEnd w:id="11"/>
    </w:p>
    <w:p w14:paraId="01A3AC37">
      <w:pPr>
        <w:rPr>
          <w:rFonts w:ascii="Times New Roman" w:hAnsi="Times New Roman" w:eastAsia="Times New Roman" w:cs="Times New Roman"/>
          <w:color w:val="auto"/>
          <w:sz w:val="20"/>
        </w:rPr>
      </w:pPr>
      <w:r>
        <w:rPr>
          <w:rFonts w:ascii="Times New Roman" w:hAnsi="Times New Roman" w:eastAsia="Times New Roman" w:cs="Times New Roman"/>
          <w:color w:val="auto"/>
          <w:sz w:val="20"/>
        </w:rPr>
        <w:t>5.</w:t>
      </w:r>
      <w:r>
        <w:rPr>
          <w:rFonts w:ascii="Times New Roman" w:hAnsi="Times New Roman" w:eastAsia="Times New Roman" w:cs="Times New Roman"/>
          <w:color w:val="auto"/>
          <w:sz w:val="20"/>
        </w:rPr>
        <w:tab/>
      </w:r>
      <w:bookmarkStart w:id="12" w:name="_neb3E140C09_96FC_4FB1_80DC_0CAC2D969390"/>
      <w:r>
        <w:rPr>
          <w:rFonts w:ascii="Times New Roman" w:hAnsi="Times New Roman" w:eastAsia="Times New Roman" w:cs="Times New Roman"/>
          <w:color w:val="auto"/>
          <w:sz w:val="20"/>
        </w:rPr>
        <w:t xml:space="preserve">Ahmad SF, Zoheir K, Ansari MA, Nadeem A, Bakheet SA, Al-Ayadhi LY, Alzahrani MZ, Al-Shabanah OA, Al-Harbi MM, Attia SM: </w:t>
      </w:r>
      <w:r>
        <w:rPr>
          <w:rFonts w:ascii="Times New Roman" w:hAnsi="Times New Roman" w:eastAsia="Times New Roman" w:cs="Times New Roman"/>
          <w:b/>
          <w:color w:val="auto"/>
          <w:sz w:val="20"/>
        </w:rPr>
        <w:t>Dysregulation of Th1, Th2, Th17, and T regulatory cell-related transcription  factor signaling in children with autism</w:t>
      </w:r>
      <w:r>
        <w:rPr>
          <w:rFonts w:ascii="Times New Roman" w:hAnsi="Times New Roman" w:eastAsia="Times New Roman" w:cs="Times New Roman"/>
          <w:color w:val="auto"/>
          <w:sz w:val="20"/>
        </w:rPr>
        <w:t xml:space="preserve">. </w:t>
      </w:r>
      <w:r>
        <w:rPr>
          <w:rFonts w:ascii="Times New Roman" w:hAnsi="Times New Roman" w:eastAsia="Times New Roman" w:cs="Times New Roman"/>
          <w:i/>
          <w:color w:val="auto"/>
          <w:sz w:val="20"/>
        </w:rPr>
        <w:t>MOL NEUROBIOL</w:t>
      </w:r>
      <w:r>
        <w:rPr>
          <w:rFonts w:ascii="Times New Roman" w:hAnsi="Times New Roman" w:eastAsia="Times New Roman" w:cs="Times New Roman"/>
          <w:color w:val="auto"/>
          <w:sz w:val="20"/>
        </w:rPr>
        <w:t xml:space="preserve"> 2017, </w:t>
      </w:r>
      <w:r>
        <w:rPr>
          <w:rFonts w:ascii="Times New Roman" w:hAnsi="Times New Roman" w:eastAsia="Times New Roman" w:cs="Times New Roman"/>
          <w:b/>
          <w:color w:val="auto"/>
          <w:sz w:val="20"/>
        </w:rPr>
        <w:t>54</w:t>
      </w:r>
      <w:r>
        <w:rPr>
          <w:rFonts w:ascii="Times New Roman" w:hAnsi="Times New Roman" w:eastAsia="Times New Roman" w:cs="Times New Roman"/>
          <w:color w:val="auto"/>
          <w:sz w:val="20"/>
        </w:rPr>
        <w:t>(6):4390-4400.</w:t>
      </w:r>
      <w:bookmarkEnd w:id="12"/>
    </w:p>
    <w:p w14:paraId="7F125C5E">
      <w:pPr>
        <w:rPr>
          <w:rFonts w:ascii="Times New Roman" w:hAnsi="Times New Roman" w:eastAsia="宋体" w:cs="Times New Roman"/>
          <w:color w:val="auto"/>
          <w:sz w:val="20"/>
        </w:rPr>
      </w:pPr>
      <w:r>
        <w:rPr>
          <w:rFonts w:hint="eastAsia" w:ascii="Times New Roman" w:hAnsi="Times New Roman" w:eastAsia="Times New Roman" w:cs="Times New Roman"/>
          <w:color w:val="auto"/>
          <w:sz w:val="20"/>
        </w:rPr>
        <w:t>6.</w:t>
      </w:r>
      <w:r>
        <w:rPr>
          <w:rFonts w:ascii="Times New Roman" w:hAnsi="Times New Roman" w:eastAsia="Times New Roman" w:cs="Times New Roman"/>
          <w:color w:val="auto"/>
          <w:sz w:val="20"/>
        </w:rPr>
        <w:tab/>
      </w:r>
      <w:r>
        <w:rPr>
          <w:rFonts w:hint="eastAsia" w:ascii="Times New Roman" w:hAnsi="Times New Roman" w:eastAsia="Times New Roman" w:cs="Times New Roman"/>
          <w:color w:val="auto"/>
          <w:sz w:val="20"/>
        </w:rPr>
        <w:t xml:space="preserve">De Giacomo A, Gargano CD, Simone M, Petruzzelli MG, Pedaci C, Giambersio D, Margari L, Ruggieri M: </w:t>
      </w:r>
      <w:r>
        <w:rPr>
          <w:rFonts w:hint="eastAsia" w:ascii="Times New Roman" w:hAnsi="Times New Roman" w:eastAsia="Times New Roman" w:cs="Times New Roman"/>
          <w:b/>
          <w:bCs/>
          <w:color w:val="auto"/>
          <w:sz w:val="20"/>
        </w:rPr>
        <w:t>B and T Immunoregulation: A New Insight of B Regulatory Lymphocytes in Autism  Spectrum Disorder</w:t>
      </w:r>
      <w:r>
        <w:rPr>
          <w:rFonts w:hint="eastAsia" w:ascii="Times New Roman" w:hAnsi="Times New Roman" w:eastAsia="Times New Roman" w:cs="Times New Roman"/>
          <w:color w:val="auto"/>
          <w:sz w:val="20"/>
        </w:rPr>
        <w:t xml:space="preserve">. </w:t>
      </w:r>
      <w:r>
        <w:rPr>
          <w:rFonts w:hint="eastAsia" w:ascii="Times New Roman" w:hAnsi="Times New Roman" w:eastAsia="Times New Roman" w:cs="Times New Roman"/>
          <w:i/>
          <w:iCs/>
          <w:color w:val="auto"/>
          <w:sz w:val="20"/>
        </w:rPr>
        <w:t>FRONT NEUROSCI-SWITZ</w:t>
      </w:r>
      <w:r>
        <w:rPr>
          <w:rFonts w:hint="eastAsia" w:ascii="Times New Roman" w:hAnsi="Times New Roman" w:eastAsia="Times New Roman" w:cs="Times New Roman"/>
          <w:color w:val="auto"/>
          <w:sz w:val="20"/>
        </w:rPr>
        <w:t xml:space="preserve"> 2021, 15:732611.</w:t>
      </w:r>
    </w:p>
    <w:p w14:paraId="7E6E90A9">
      <w:pPr>
        <w:rPr>
          <w:rFonts w:ascii="Times New Roman" w:hAnsi="Times New Roman" w:cs="Times New Roman"/>
          <w:color w:val="auto"/>
          <w:sz w:val="24"/>
        </w:rPr>
      </w:pPr>
      <w:r>
        <w:rPr>
          <w:rFonts w:hint="eastAsia" w:ascii="Times New Roman" w:hAnsi="Times New Roman" w:eastAsia="宋体" w:cs="Times New Roman"/>
          <w:color w:val="auto"/>
          <w:sz w:val="20"/>
        </w:rPr>
        <w:t>7</w:t>
      </w:r>
      <w:r>
        <w:rPr>
          <w:rFonts w:ascii="Times New Roman" w:hAnsi="Times New Roman" w:eastAsia="Times New Roman" w:cs="Times New Roman"/>
          <w:color w:val="auto"/>
          <w:sz w:val="20"/>
        </w:rPr>
        <w:t>.</w:t>
      </w:r>
      <w:r>
        <w:rPr>
          <w:rFonts w:ascii="Times New Roman" w:hAnsi="Times New Roman" w:eastAsia="Times New Roman" w:cs="Times New Roman"/>
          <w:color w:val="auto"/>
          <w:sz w:val="20"/>
        </w:rPr>
        <w:tab/>
      </w:r>
      <w:bookmarkStart w:id="13" w:name="_nebAA77B87B_4875_4CC2_8891_ECB1081C82FE"/>
      <w:r>
        <w:rPr>
          <w:rFonts w:ascii="Times New Roman" w:hAnsi="Times New Roman" w:eastAsia="Times New Roman" w:cs="Times New Roman"/>
          <w:color w:val="auto"/>
          <w:sz w:val="20"/>
        </w:rPr>
        <w:t xml:space="preserve">Nestor MW, Phillips AW, Artimovich E, Nestor JE, Hussman JP, Blatt GJ: </w:t>
      </w:r>
      <w:r>
        <w:rPr>
          <w:rFonts w:ascii="Times New Roman" w:hAnsi="Times New Roman" w:eastAsia="Times New Roman" w:cs="Times New Roman"/>
          <w:b/>
          <w:color w:val="auto"/>
          <w:sz w:val="20"/>
        </w:rPr>
        <w:t>Human Inducible Pluripotent Stem Cells and Autism Spectrum Disorder: Emerging  Technologies</w:t>
      </w:r>
      <w:r>
        <w:rPr>
          <w:rFonts w:ascii="Times New Roman" w:hAnsi="Times New Roman" w:eastAsia="Times New Roman" w:cs="Times New Roman"/>
          <w:color w:val="auto"/>
          <w:sz w:val="20"/>
        </w:rPr>
        <w:t xml:space="preserve">. </w:t>
      </w:r>
      <w:r>
        <w:rPr>
          <w:rFonts w:ascii="Times New Roman" w:hAnsi="Times New Roman" w:eastAsia="Times New Roman" w:cs="Times New Roman"/>
          <w:i/>
          <w:color w:val="auto"/>
          <w:sz w:val="20"/>
        </w:rPr>
        <w:t>AUTISM RES</w:t>
      </w:r>
      <w:r>
        <w:rPr>
          <w:rFonts w:ascii="Times New Roman" w:hAnsi="Times New Roman" w:eastAsia="Times New Roman" w:cs="Times New Roman"/>
          <w:color w:val="auto"/>
          <w:sz w:val="20"/>
        </w:rPr>
        <w:t xml:space="preserve"> 2016, </w:t>
      </w:r>
      <w:r>
        <w:rPr>
          <w:rFonts w:ascii="Times New Roman" w:hAnsi="Times New Roman" w:eastAsia="Times New Roman" w:cs="Times New Roman"/>
          <w:b/>
          <w:color w:val="auto"/>
          <w:sz w:val="20"/>
        </w:rPr>
        <w:t>9</w:t>
      </w:r>
      <w:r>
        <w:rPr>
          <w:rFonts w:ascii="Times New Roman" w:hAnsi="Times New Roman" w:eastAsia="Times New Roman" w:cs="Times New Roman"/>
          <w:color w:val="auto"/>
          <w:sz w:val="20"/>
        </w:rPr>
        <w:t>(5):513-535.</w:t>
      </w:r>
      <w:bookmarkEnd w:id="13"/>
    </w:p>
    <w:p w14:paraId="72B09B34">
      <w:pPr>
        <w:rPr>
          <w:rFonts w:ascii="Times New Roman" w:hAnsi="Times New Roman" w:cs="Times New Roman"/>
          <w:color w:val="auto"/>
          <w:sz w:val="24"/>
        </w:rPr>
      </w:pPr>
      <w:r>
        <w:rPr>
          <w:rFonts w:hint="eastAsia" w:ascii="Times New Roman" w:hAnsi="Times New Roman" w:eastAsia="宋体" w:cs="Times New Roman"/>
          <w:color w:val="auto"/>
          <w:sz w:val="20"/>
        </w:rPr>
        <w:t>8</w:t>
      </w:r>
      <w:r>
        <w:rPr>
          <w:rFonts w:ascii="Times New Roman" w:hAnsi="Times New Roman" w:eastAsia="Times New Roman" w:cs="Times New Roman"/>
          <w:color w:val="auto"/>
          <w:sz w:val="20"/>
        </w:rPr>
        <w:t>.</w:t>
      </w:r>
      <w:r>
        <w:rPr>
          <w:rFonts w:ascii="Times New Roman" w:hAnsi="Times New Roman" w:eastAsia="Times New Roman" w:cs="Times New Roman"/>
          <w:color w:val="auto"/>
          <w:sz w:val="20"/>
        </w:rPr>
        <w:tab/>
      </w:r>
      <w:bookmarkStart w:id="14" w:name="_neb8D503E96_AA8D_4D30_9926_8BD367E2C3FC"/>
      <w:r>
        <w:rPr>
          <w:rFonts w:ascii="Times New Roman" w:hAnsi="Times New Roman" w:eastAsia="Times New Roman" w:cs="Times New Roman"/>
          <w:color w:val="auto"/>
          <w:sz w:val="20"/>
        </w:rPr>
        <w:t xml:space="preserve">Melamed IR, Heffron M, Testori A, Lipe K: </w:t>
      </w:r>
      <w:r>
        <w:rPr>
          <w:rFonts w:ascii="Times New Roman" w:hAnsi="Times New Roman" w:eastAsia="Times New Roman" w:cs="Times New Roman"/>
          <w:b/>
          <w:color w:val="auto"/>
          <w:sz w:val="20"/>
        </w:rPr>
        <w:t>A pilot study of high-dose intravenous immunoglobulin 5% for autism: Impact on  autism spectrum and markers of neuroinflammation</w:t>
      </w:r>
      <w:r>
        <w:rPr>
          <w:rFonts w:ascii="Times New Roman" w:hAnsi="Times New Roman" w:eastAsia="Times New Roman" w:cs="Times New Roman"/>
          <w:color w:val="auto"/>
          <w:sz w:val="20"/>
        </w:rPr>
        <w:t xml:space="preserve">. </w:t>
      </w:r>
      <w:r>
        <w:rPr>
          <w:rFonts w:ascii="Times New Roman" w:hAnsi="Times New Roman" w:eastAsia="Times New Roman" w:cs="Times New Roman"/>
          <w:i/>
          <w:color w:val="auto"/>
          <w:sz w:val="20"/>
        </w:rPr>
        <w:t>AUTISM RES</w:t>
      </w:r>
      <w:r>
        <w:rPr>
          <w:rFonts w:ascii="Times New Roman" w:hAnsi="Times New Roman" w:eastAsia="Times New Roman" w:cs="Times New Roman"/>
          <w:color w:val="auto"/>
          <w:sz w:val="20"/>
        </w:rPr>
        <w:t xml:space="preserve"> 2018, </w:t>
      </w:r>
      <w:r>
        <w:rPr>
          <w:rFonts w:ascii="Times New Roman" w:hAnsi="Times New Roman" w:eastAsia="Times New Roman" w:cs="Times New Roman"/>
          <w:b/>
          <w:color w:val="auto"/>
          <w:sz w:val="20"/>
        </w:rPr>
        <w:t>11</w:t>
      </w:r>
      <w:r>
        <w:rPr>
          <w:rFonts w:ascii="Times New Roman" w:hAnsi="Times New Roman" w:eastAsia="Times New Roman" w:cs="Times New Roman"/>
          <w:color w:val="auto"/>
          <w:sz w:val="20"/>
        </w:rPr>
        <w:t>(3):421-433.</w:t>
      </w:r>
      <w:bookmarkEnd w:id="14"/>
    </w:p>
    <w:p w14:paraId="7C3F04CF">
      <w:pPr>
        <w:rPr>
          <w:rFonts w:ascii="Times New Roman" w:hAnsi="Times New Roman" w:cs="Times New Roman"/>
          <w:color w:val="auto"/>
          <w:sz w:val="24"/>
        </w:rPr>
      </w:pPr>
      <w:r>
        <w:rPr>
          <w:rFonts w:hint="eastAsia" w:ascii="Times New Roman" w:hAnsi="Times New Roman" w:eastAsia="宋体" w:cs="Times New Roman"/>
          <w:color w:val="auto"/>
          <w:sz w:val="20"/>
        </w:rPr>
        <w:t>9</w:t>
      </w:r>
      <w:r>
        <w:rPr>
          <w:rFonts w:ascii="Times New Roman" w:hAnsi="Times New Roman" w:eastAsia="Times New Roman" w:cs="Times New Roman"/>
          <w:color w:val="auto"/>
          <w:sz w:val="20"/>
        </w:rPr>
        <w:t>.</w:t>
      </w:r>
      <w:r>
        <w:rPr>
          <w:rFonts w:ascii="Times New Roman" w:hAnsi="Times New Roman" w:eastAsia="Times New Roman" w:cs="Times New Roman"/>
          <w:color w:val="auto"/>
          <w:sz w:val="20"/>
        </w:rPr>
        <w:tab/>
      </w:r>
      <w:bookmarkStart w:id="15" w:name="_neb36AAC99C_D925_4407_BD4B_2BDF44DF8DC8"/>
      <w:r>
        <w:rPr>
          <w:rFonts w:ascii="Times New Roman" w:hAnsi="Times New Roman" w:eastAsia="Times New Roman" w:cs="Times New Roman"/>
          <w:color w:val="auto"/>
          <w:sz w:val="20"/>
        </w:rPr>
        <w:t xml:space="preserve">Chen DT, Chang JP, Cheng SW, Chang HC, Hsu JH, Chang HH, Chiu WC, Su KP: </w:t>
      </w:r>
      <w:r>
        <w:rPr>
          <w:rFonts w:ascii="Times New Roman" w:hAnsi="Times New Roman" w:eastAsia="Times New Roman" w:cs="Times New Roman"/>
          <w:b/>
          <w:color w:val="auto"/>
          <w:sz w:val="20"/>
        </w:rPr>
        <w:t>Kawasaki disease in childhood and psychiatric disorders: A population-based  case-control prospective study in Taiwan</w:t>
      </w:r>
      <w:r>
        <w:rPr>
          <w:rFonts w:ascii="Times New Roman" w:hAnsi="Times New Roman" w:eastAsia="Times New Roman" w:cs="Times New Roman"/>
          <w:color w:val="auto"/>
          <w:sz w:val="20"/>
        </w:rPr>
        <w:t xml:space="preserve">. </w:t>
      </w:r>
      <w:r>
        <w:rPr>
          <w:rFonts w:ascii="Times New Roman" w:hAnsi="Times New Roman" w:eastAsia="Times New Roman" w:cs="Times New Roman"/>
          <w:i/>
          <w:color w:val="auto"/>
          <w:sz w:val="20"/>
        </w:rPr>
        <w:t>BRAIN BEHAV IMMUN</w:t>
      </w:r>
      <w:r>
        <w:rPr>
          <w:rFonts w:ascii="Times New Roman" w:hAnsi="Times New Roman" w:eastAsia="Times New Roman" w:cs="Times New Roman"/>
          <w:color w:val="auto"/>
          <w:sz w:val="20"/>
        </w:rPr>
        <w:t xml:space="preserve"> 2022, </w:t>
      </w:r>
      <w:r>
        <w:rPr>
          <w:rFonts w:ascii="Times New Roman" w:hAnsi="Times New Roman" w:eastAsia="Times New Roman" w:cs="Times New Roman"/>
          <w:b/>
          <w:color w:val="auto"/>
          <w:sz w:val="20"/>
        </w:rPr>
        <w:t>100</w:t>
      </w:r>
      <w:r>
        <w:rPr>
          <w:rFonts w:ascii="Times New Roman" w:hAnsi="Times New Roman" w:eastAsia="Times New Roman" w:cs="Times New Roman"/>
          <w:color w:val="auto"/>
          <w:sz w:val="20"/>
        </w:rPr>
        <w:t>:105-111.</w:t>
      </w:r>
      <w:bookmarkEnd w:id="15"/>
    </w:p>
    <w:p w14:paraId="18A88132">
      <w:pPr>
        <w:rPr>
          <w:rFonts w:ascii="Times New Roman" w:hAnsi="Times New Roman" w:cs="Times New Roman"/>
          <w:color w:val="auto"/>
          <w:sz w:val="24"/>
        </w:rPr>
      </w:pPr>
      <w:r>
        <w:rPr>
          <w:rFonts w:hint="eastAsia" w:ascii="Times New Roman" w:hAnsi="Times New Roman" w:eastAsia="宋体" w:cs="Times New Roman"/>
          <w:color w:val="auto"/>
          <w:sz w:val="20"/>
        </w:rPr>
        <w:t>10</w:t>
      </w:r>
      <w:r>
        <w:rPr>
          <w:rFonts w:ascii="Times New Roman" w:hAnsi="Times New Roman" w:eastAsia="Times New Roman" w:cs="Times New Roman"/>
          <w:color w:val="auto"/>
          <w:sz w:val="20"/>
        </w:rPr>
        <w:t>.</w:t>
      </w:r>
      <w:bookmarkStart w:id="16" w:name="_neb4B43E752_5A32_4947_807F_050A18877271"/>
      <w:r>
        <w:rPr>
          <w:rFonts w:ascii="Times New Roman" w:hAnsi="Times New Roman" w:eastAsia="Times New Roman" w:cs="Times New Roman"/>
          <w:color w:val="auto"/>
          <w:sz w:val="20"/>
        </w:rPr>
        <w:tab/>
      </w:r>
      <w:r>
        <w:rPr>
          <w:rFonts w:ascii="Times New Roman" w:hAnsi="Times New Roman" w:eastAsia="Times New Roman" w:cs="Times New Roman"/>
          <w:color w:val="auto"/>
          <w:sz w:val="20"/>
        </w:rPr>
        <w:t xml:space="preserve">Malek TR, Castro I: </w:t>
      </w:r>
      <w:r>
        <w:rPr>
          <w:rFonts w:ascii="Times New Roman" w:hAnsi="Times New Roman" w:eastAsia="Times New Roman" w:cs="Times New Roman"/>
          <w:b/>
          <w:color w:val="auto"/>
          <w:sz w:val="20"/>
        </w:rPr>
        <w:t>Interleukin-2 receptor signaling: at the interface between tolerance and  immunity</w:t>
      </w:r>
      <w:r>
        <w:rPr>
          <w:rFonts w:ascii="Times New Roman" w:hAnsi="Times New Roman" w:eastAsia="Times New Roman" w:cs="Times New Roman"/>
          <w:color w:val="auto"/>
          <w:sz w:val="20"/>
        </w:rPr>
        <w:t xml:space="preserve">. </w:t>
      </w:r>
      <w:r>
        <w:rPr>
          <w:rFonts w:ascii="Times New Roman" w:hAnsi="Times New Roman" w:eastAsia="Times New Roman" w:cs="Times New Roman"/>
          <w:i/>
          <w:color w:val="auto"/>
          <w:sz w:val="20"/>
        </w:rPr>
        <w:t>IMMUNITY</w:t>
      </w:r>
      <w:r>
        <w:rPr>
          <w:rFonts w:ascii="Times New Roman" w:hAnsi="Times New Roman" w:eastAsia="Times New Roman" w:cs="Times New Roman"/>
          <w:color w:val="auto"/>
          <w:sz w:val="20"/>
        </w:rPr>
        <w:t xml:space="preserve"> 2010, </w:t>
      </w:r>
      <w:r>
        <w:rPr>
          <w:rFonts w:ascii="Times New Roman" w:hAnsi="Times New Roman" w:eastAsia="Times New Roman" w:cs="Times New Roman"/>
          <w:b/>
          <w:color w:val="auto"/>
          <w:sz w:val="20"/>
        </w:rPr>
        <w:t>33</w:t>
      </w:r>
      <w:r>
        <w:rPr>
          <w:rFonts w:ascii="Times New Roman" w:hAnsi="Times New Roman" w:eastAsia="Times New Roman" w:cs="Times New Roman"/>
          <w:color w:val="auto"/>
          <w:sz w:val="20"/>
        </w:rPr>
        <w:t>(2):153-165.</w:t>
      </w:r>
      <w:bookmarkEnd w:id="16"/>
    </w:p>
    <w:p w14:paraId="137128B8">
      <w:pPr>
        <w:rPr>
          <w:rFonts w:ascii="Times New Roman" w:hAnsi="Times New Roman" w:eastAsia="Times New Roman" w:cs="Times New Roman"/>
          <w:color w:val="auto"/>
          <w:sz w:val="20"/>
        </w:rPr>
      </w:pPr>
      <w:r>
        <w:rPr>
          <w:rFonts w:hint="eastAsia" w:ascii="Times New Roman" w:hAnsi="Times New Roman" w:eastAsia="宋体" w:cs="Times New Roman"/>
          <w:color w:val="auto"/>
          <w:sz w:val="20"/>
        </w:rPr>
        <w:t>11</w:t>
      </w:r>
      <w:r>
        <w:rPr>
          <w:rFonts w:ascii="Times New Roman" w:hAnsi="Times New Roman" w:eastAsia="Times New Roman" w:cs="Times New Roman"/>
          <w:color w:val="auto"/>
          <w:sz w:val="20"/>
        </w:rPr>
        <w:t>.</w:t>
      </w:r>
      <w:bookmarkStart w:id="17" w:name="_neb7399D0F7_19FD_46E6_B50C_40E601F5C3A5"/>
      <w:r>
        <w:rPr>
          <w:rFonts w:ascii="Times New Roman" w:hAnsi="Times New Roman" w:eastAsia="Times New Roman" w:cs="Times New Roman"/>
          <w:color w:val="auto"/>
          <w:sz w:val="20"/>
        </w:rPr>
        <w:tab/>
      </w:r>
      <w:r>
        <w:rPr>
          <w:rFonts w:ascii="Times New Roman" w:hAnsi="Times New Roman" w:eastAsia="Times New Roman" w:cs="Times New Roman"/>
          <w:color w:val="auto"/>
          <w:sz w:val="20"/>
        </w:rPr>
        <w:t xml:space="preserve">Abbas AK, Trotta E, R SD, Marson A, Bluestone JA: </w:t>
      </w:r>
      <w:r>
        <w:rPr>
          <w:rFonts w:ascii="Times New Roman" w:hAnsi="Times New Roman" w:eastAsia="Times New Roman" w:cs="Times New Roman"/>
          <w:b/>
          <w:color w:val="auto"/>
          <w:sz w:val="20"/>
        </w:rPr>
        <w:t>Revisiting IL-2: Biology and therapeutic prospects</w:t>
      </w:r>
      <w:r>
        <w:rPr>
          <w:rFonts w:ascii="Times New Roman" w:hAnsi="Times New Roman" w:eastAsia="Times New Roman" w:cs="Times New Roman"/>
          <w:color w:val="auto"/>
          <w:sz w:val="20"/>
        </w:rPr>
        <w:t xml:space="preserve">. </w:t>
      </w:r>
      <w:r>
        <w:rPr>
          <w:rFonts w:ascii="Times New Roman" w:hAnsi="Times New Roman" w:eastAsia="Times New Roman" w:cs="Times New Roman"/>
          <w:i/>
          <w:color w:val="auto"/>
          <w:sz w:val="20"/>
        </w:rPr>
        <w:t>SCI IMMUNOL</w:t>
      </w:r>
      <w:r>
        <w:rPr>
          <w:rFonts w:ascii="Times New Roman" w:hAnsi="Times New Roman" w:eastAsia="Times New Roman" w:cs="Times New Roman"/>
          <w:color w:val="auto"/>
          <w:sz w:val="20"/>
        </w:rPr>
        <w:t xml:space="preserve"> 2018, </w:t>
      </w:r>
      <w:r>
        <w:rPr>
          <w:rFonts w:ascii="Times New Roman" w:hAnsi="Times New Roman" w:eastAsia="Times New Roman" w:cs="Times New Roman"/>
          <w:b/>
          <w:color w:val="auto"/>
          <w:sz w:val="20"/>
        </w:rPr>
        <w:t>3</w:t>
      </w:r>
      <w:r>
        <w:rPr>
          <w:rFonts w:ascii="Times New Roman" w:hAnsi="Times New Roman" w:eastAsia="Times New Roman" w:cs="Times New Roman"/>
          <w:color w:val="auto"/>
          <w:sz w:val="20"/>
        </w:rPr>
        <w:t>(25).</w:t>
      </w:r>
      <w:bookmarkEnd w:id="17"/>
    </w:p>
    <w:p w14:paraId="7733CE3E">
      <w:pPr>
        <w:ind w:right="60"/>
        <w:jc w:val="left"/>
        <w:rPr>
          <w:rFonts w:ascii="Times New Roman" w:hAnsi="Times New Roman" w:cs="Times New Roman"/>
          <w:color w:val="auto"/>
          <w:sz w:val="20"/>
          <w:szCs w:val="20"/>
        </w:rPr>
      </w:pPr>
      <w:r>
        <w:rPr>
          <w:rFonts w:hint="eastAsia" w:ascii="Times New Roman" w:hAnsi="Times New Roman" w:eastAsia="宋体" w:cs="Times New Roman"/>
          <w:color w:val="auto"/>
          <w:sz w:val="20"/>
        </w:rPr>
        <w:t xml:space="preserve">12.  </w:t>
      </w:r>
      <w:r>
        <w:rPr>
          <w:rFonts w:ascii="Times New Roman" w:hAnsi="Times New Roman" w:cs="Times New Roman"/>
          <w:color w:val="auto"/>
          <w:sz w:val="20"/>
          <w:szCs w:val="20"/>
          <w:lang w:val="en-US"/>
        </w:rPr>
        <w:t xml:space="preserve">Savage PA, Klawon D, Miller CH: </w:t>
      </w:r>
      <w:r>
        <w:rPr>
          <w:rFonts w:ascii="Times New Roman" w:hAnsi="Times New Roman" w:cs="Times New Roman"/>
          <w:b/>
          <w:color w:val="auto"/>
          <w:sz w:val="20"/>
          <w:szCs w:val="20"/>
          <w:lang w:val="en-US"/>
        </w:rPr>
        <w:t>Regulatory T Cell Development</w:t>
      </w:r>
      <w:r>
        <w:rPr>
          <w:rFonts w:ascii="Times New Roman" w:hAnsi="Times New Roman" w:cs="Times New Roman"/>
          <w:color w:val="auto"/>
          <w:sz w:val="20"/>
          <w:szCs w:val="20"/>
          <w:lang w:val="en-US"/>
        </w:rPr>
        <w:t xml:space="preserve">. </w:t>
      </w:r>
      <w:r>
        <w:rPr>
          <w:rFonts w:ascii="Times New Roman" w:hAnsi="Times New Roman" w:cs="Times New Roman"/>
          <w:i/>
          <w:color w:val="auto"/>
          <w:sz w:val="20"/>
          <w:szCs w:val="20"/>
        </w:rPr>
        <w:t>ANNU REV IMMUNOL</w:t>
      </w:r>
      <w:r>
        <w:rPr>
          <w:rFonts w:ascii="Times New Roman" w:hAnsi="Times New Roman" w:cs="Times New Roman"/>
          <w:color w:val="auto"/>
          <w:sz w:val="20"/>
          <w:szCs w:val="20"/>
        </w:rPr>
        <w:t xml:space="preserve"> 2020, </w:t>
      </w:r>
      <w:r>
        <w:rPr>
          <w:rFonts w:ascii="Times New Roman" w:hAnsi="Times New Roman" w:cs="Times New Roman"/>
          <w:b/>
          <w:color w:val="auto"/>
          <w:sz w:val="20"/>
          <w:szCs w:val="20"/>
        </w:rPr>
        <w:t>38</w:t>
      </w:r>
      <w:r>
        <w:rPr>
          <w:rFonts w:ascii="Times New Roman" w:hAnsi="Times New Roman" w:cs="Times New Roman"/>
          <w:color w:val="auto"/>
          <w:sz w:val="20"/>
          <w:szCs w:val="20"/>
        </w:rPr>
        <w:t>:421-453.</w:t>
      </w:r>
    </w:p>
    <w:p w14:paraId="197C1198">
      <w:pPr>
        <w:rPr>
          <w:rFonts w:ascii="Times New Roman" w:hAnsi="Times New Roman" w:eastAsia="宋体" w:cs="Times New Roman"/>
          <w:color w:val="auto"/>
          <w:sz w:val="20"/>
          <w:szCs w:val="20"/>
        </w:rPr>
      </w:pPr>
      <w:r>
        <w:rPr>
          <w:rFonts w:hint="eastAsia" w:ascii="Times New Roman" w:hAnsi="Times New Roman" w:eastAsia="宋体" w:cs="Times New Roman"/>
          <w:color w:val="auto"/>
          <w:sz w:val="20"/>
        </w:rPr>
        <w:t xml:space="preserve">13. </w:t>
      </w:r>
      <w:r>
        <w:rPr>
          <w:rFonts w:ascii="Times New Roman" w:hAnsi="Times New Roman" w:cs="Times New Roman"/>
          <w:color w:val="auto"/>
          <w:sz w:val="20"/>
          <w:szCs w:val="20"/>
        </w:rPr>
        <w:t xml:space="preserve">Dikiy S, Rudensky AY: </w:t>
      </w:r>
      <w:r>
        <w:rPr>
          <w:rFonts w:ascii="Times New Roman" w:hAnsi="Times New Roman" w:cs="Times New Roman"/>
          <w:b/>
          <w:color w:val="auto"/>
          <w:sz w:val="20"/>
          <w:szCs w:val="20"/>
        </w:rPr>
        <w:t>Principles of regulatory T cell function</w:t>
      </w:r>
      <w:r>
        <w:rPr>
          <w:rFonts w:ascii="Times New Roman" w:hAnsi="Times New Roman" w:cs="Times New Roman"/>
          <w:color w:val="auto"/>
          <w:sz w:val="20"/>
          <w:szCs w:val="20"/>
        </w:rPr>
        <w:t xml:space="preserve">. </w:t>
      </w:r>
      <w:r>
        <w:rPr>
          <w:rFonts w:ascii="Times New Roman" w:hAnsi="Times New Roman" w:cs="Times New Roman"/>
          <w:i/>
          <w:color w:val="auto"/>
          <w:sz w:val="20"/>
          <w:szCs w:val="20"/>
          <w:lang w:val="en-US"/>
        </w:rPr>
        <w:t>IMMUNITY</w:t>
      </w:r>
      <w:r>
        <w:rPr>
          <w:rFonts w:ascii="Times New Roman" w:hAnsi="Times New Roman" w:cs="Times New Roman"/>
          <w:color w:val="auto"/>
          <w:sz w:val="20"/>
          <w:szCs w:val="20"/>
          <w:lang w:val="en-US"/>
        </w:rPr>
        <w:t xml:space="preserve"> 2023, </w:t>
      </w:r>
      <w:r>
        <w:rPr>
          <w:rFonts w:ascii="Times New Roman" w:hAnsi="Times New Roman" w:cs="Times New Roman"/>
          <w:b/>
          <w:color w:val="auto"/>
          <w:sz w:val="20"/>
          <w:szCs w:val="20"/>
          <w:lang w:val="en-US"/>
        </w:rPr>
        <w:t>56</w:t>
      </w:r>
      <w:r>
        <w:rPr>
          <w:rFonts w:ascii="Times New Roman" w:hAnsi="Times New Roman" w:cs="Times New Roman"/>
          <w:color w:val="auto"/>
          <w:sz w:val="20"/>
          <w:szCs w:val="20"/>
          <w:lang w:val="en-US"/>
        </w:rPr>
        <w:t>(2):240-255.</w:t>
      </w:r>
    </w:p>
    <w:p w14:paraId="47BBAB71">
      <w:pPr>
        <w:ind w:right="60"/>
        <w:jc w:val="left"/>
        <w:rPr>
          <w:rFonts w:ascii="Times New Roman" w:hAnsi="Times New Roman" w:eastAsia="宋体" w:cs="Times New Roman"/>
          <w:color w:val="auto"/>
          <w:sz w:val="20"/>
        </w:rPr>
      </w:pPr>
      <w:r>
        <w:rPr>
          <w:rFonts w:hint="eastAsia" w:ascii="Times New Roman" w:hAnsi="Times New Roman" w:eastAsia="宋体" w:cs="Times New Roman"/>
          <w:color w:val="auto"/>
          <w:sz w:val="20"/>
        </w:rPr>
        <w:t xml:space="preserve">14.  </w:t>
      </w:r>
      <w:r>
        <w:rPr>
          <w:rFonts w:ascii="Times New Roman" w:hAnsi="Times New Roman" w:eastAsia="Times New Roman"/>
          <w:color w:val="auto"/>
          <w:sz w:val="20"/>
          <w:szCs w:val="20"/>
          <w:lang w:val="en-US"/>
        </w:rPr>
        <w:t xml:space="preserve">Klatzmann D, Abbas AK: </w:t>
      </w:r>
      <w:r>
        <w:rPr>
          <w:rFonts w:ascii="Times New Roman" w:hAnsi="Times New Roman" w:eastAsia="Times New Roman"/>
          <w:b/>
          <w:color w:val="auto"/>
          <w:sz w:val="20"/>
          <w:szCs w:val="20"/>
          <w:lang w:val="en-US"/>
        </w:rPr>
        <w:t>The promise of low-dose interleukin-2 therapy for autoimmune and inflammatory  diseases</w:t>
      </w:r>
      <w:r>
        <w:rPr>
          <w:rFonts w:ascii="Times New Roman" w:hAnsi="Times New Roman" w:eastAsia="Times New Roman"/>
          <w:color w:val="auto"/>
          <w:sz w:val="20"/>
          <w:szCs w:val="20"/>
          <w:lang w:val="en-US"/>
        </w:rPr>
        <w:t xml:space="preserve">. </w:t>
      </w:r>
      <w:r>
        <w:rPr>
          <w:rFonts w:ascii="Times New Roman" w:hAnsi="Times New Roman" w:eastAsia="Times New Roman"/>
          <w:i/>
          <w:color w:val="auto"/>
          <w:sz w:val="20"/>
          <w:szCs w:val="20"/>
          <w:lang w:val="en-US"/>
        </w:rPr>
        <w:t>NAT REV IMMUNOL</w:t>
      </w:r>
      <w:r>
        <w:rPr>
          <w:rFonts w:ascii="Times New Roman" w:hAnsi="Times New Roman" w:eastAsia="Times New Roman"/>
          <w:color w:val="auto"/>
          <w:sz w:val="20"/>
          <w:szCs w:val="20"/>
          <w:lang w:val="en-US"/>
        </w:rPr>
        <w:t xml:space="preserve"> 2015, </w:t>
      </w:r>
      <w:r>
        <w:rPr>
          <w:rFonts w:ascii="Times New Roman" w:hAnsi="Times New Roman" w:eastAsia="Times New Roman"/>
          <w:b/>
          <w:color w:val="auto"/>
          <w:sz w:val="20"/>
          <w:szCs w:val="20"/>
          <w:lang w:val="en-US"/>
        </w:rPr>
        <w:t>15</w:t>
      </w:r>
      <w:r>
        <w:rPr>
          <w:rFonts w:ascii="Times New Roman" w:hAnsi="Times New Roman" w:eastAsia="Times New Roman"/>
          <w:color w:val="auto"/>
          <w:sz w:val="20"/>
          <w:szCs w:val="20"/>
          <w:lang w:val="en-US"/>
        </w:rPr>
        <w:t>(5):283-294.</w:t>
      </w:r>
    </w:p>
    <w:p w14:paraId="05ACE2E0">
      <w:pPr>
        <w:ind w:right="60"/>
        <w:jc w:val="left"/>
        <w:rPr>
          <w:rFonts w:ascii="Times New Roman" w:hAnsi="Times New Roman" w:eastAsia="宋体" w:cs="Times New Roman"/>
          <w:color w:val="auto"/>
          <w:sz w:val="20"/>
        </w:rPr>
      </w:pPr>
      <w:r>
        <w:rPr>
          <w:rFonts w:hint="eastAsia" w:ascii="Times New Roman" w:hAnsi="Times New Roman" w:eastAsia="宋体" w:cs="Times New Roman"/>
          <w:color w:val="auto"/>
          <w:sz w:val="20"/>
        </w:rPr>
        <w:t xml:space="preserve">15.  </w:t>
      </w:r>
      <w:r>
        <w:rPr>
          <w:rFonts w:ascii="Times New Roman" w:hAnsi="Times New Roman" w:eastAsia="Times New Roman"/>
          <w:color w:val="auto"/>
          <w:szCs w:val="21"/>
          <w:lang w:val="en-US"/>
        </w:rPr>
        <w:t xml:space="preserve">Graßhoff H, Comdühr S, Monne LR, Müller A, Lamprecht P, Riemekasten G, Humrich JY: </w:t>
      </w:r>
      <w:r>
        <w:rPr>
          <w:rFonts w:ascii="Times New Roman" w:hAnsi="Times New Roman" w:eastAsia="Times New Roman"/>
          <w:b/>
          <w:color w:val="auto"/>
          <w:szCs w:val="21"/>
          <w:lang w:val="en-US"/>
        </w:rPr>
        <w:t>Low-Dose IL-2 Therapy in Autoimmune and Rheumatic Diseases</w:t>
      </w:r>
      <w:r>
        <w:rPr>
          <w:rFonts w:ascii="Times New Roman" w:hAnsi="Times New Roman" w:eastAsia="Times New Roman"/>
          <w:color w:val="auto"/>
          <w:szCs w:val="21"/>
          <w:lang w:val="en-US"/>
        </w:rPr>
        <w:t xml:space="preserve">. </w:t>
      </w:r>
      <w:r>
        <w:rPr>
          <w:rFonts w:ascii="Times New Roman" w:hAnsi="Times New Roman" w:eastAsia="Times New Roman"/>
          <w:i/>
          <w:color w:val="auto"/>
          <w:szCs w:val="21"/>
          <w:lang w:val="en-US"/>
        </w:rPr>
        <w:t>FRONT IMMUNOL</w:t>
      </w:r>
      <w:r>
        <w:rPr>
          <w:rFonts w:ascii="Times New Roman" w:hAnsi="Times New Roman" w:eastAsia="Times New Roman"/>
          <w:color w:val="auto"/>
          <w:szCs w:val="21"/>
          <w:lang w:val="en-US"/>
        </w:rPr>
        <w:t xml:space="preserve"> 2021, </w:t>
      </w:r>
      <w:r>
        <w:rPr>
          <w:rFonts w:ascii="Times New Roman" w:hAnsi="Times New Roman" w:eastAsia="Times New Roman"/>
          <w:b/>
          <w:color w:val="auto"/>
          <w:szCs w:val="21"/>
          <w:lang w:val="en-US"/>
        </w:rPr>
        <w:t>12</w:t>
      </w:r>
      <w:r>
        <w:rPr>
          <w:rFonts w:ascii="Times New Roman" w:hAnsi="Times New Roman" w:eastAsia="Times New Roman"/>
          <w:color w:val="auto"/>
          <w:szCs w:val="21"/>
          <w:lang w:val="en-US"/>
        </w:rPr>
        <w:t>:648408.</w:t>
      </w:r>
    </w:p>
    <w:p w14:paraId="5488502A">
      <w:pPr>
        <w:ind w:right="60"/>
        <w:jc w:val="left"/>
        <w:rPr>
          <w:rFonts w:ascii="Times New Roman" w:hAnsi="Times New Roman" w:eastAsia="宋体" w:cs="Times New Roman"/>
          <w:color w:val="auto"/>
          <w:sz w:val="20"/>
        </w:rPr>
      </w:pPr>
      <w:r>
        <w:rPr>
          <w:rFonts w:hint="eastAsia" w:ascii="Times New Roman" w:hAnsi="Times New Roman" w:eastAsia="宋体" w:cs="Times New Roman"/>
          <w:color w:val="auto"/>
          <w:sz w:val="20"/>
        </w:rPr>
        <w:t xml:space="preserve">16.  </w:t>
      </w:r>
      <w:r>
        <w:rPr>
          <w:rFonts w:ascii="Times New Roman" w:hAnsi="Times New Roman" w:eastAsia="Times New Roman"/>
          <w:color w:val="auto"/>
          <w:sz w:val="20"/>
          <w:szCs w:val="20"/>
          <w:lang w:val="en-US"/>
        </w:rPr>
        <w:t>He J, Zhang X, Wei Y, Sun X, Chen Y, Deng J, Jin Y, Gan Y, Hu X, Jia R</w:t>
      </w:r>
      <w:r>
        <w:rPr>
          <w:rFonts w:ascii="Times New Roman" w:hAnsi="Times New Roman" w:eastAsia="Times New Roman"/>
          <w:i/>
          <w:color w:val="auto"/>
          <w:sz w:val="20"/>
          <w:szCs w:val="20"/>
          <w:lang w:val="en-US"/>
        </w:rPr>
        <w:t xml:space="preserve"> et al</w:t>
      </w:r>
      <w:r>
        <w:rPr>
          <w:rFonts w:ascii="Times New Roman" w:hAnsi="Times New Roman" w:eastAsia="Times New Roman"/>
          <w:color w:val="auto"/>
          <w:sz w:val="20"/>
          <w:szCs w:val="20"/>
          <w:lang w:val="en-US"/>
        </w:rPr>
        <w:t xml:space="preserve">: </w:t>
      </w:r>
      <w:r>
        <w:rPr>
          <w:rFonts w:ascii="Times New Roman" w:hAnsi="Times New Roman" w:eastAsia="Times New Roman"/>
          <w:b/>
          <w:color w:val="auto"/>
          <w:sz w:val="20"/>
          <w:szCs w:val="20"/>
          <w:lang w:val="en-US"/>
        </w:rPr>
        <w:t>Low-dose interleukin-2 treatment selectively modulates CD4(+) T cell subsets in  patients with systemic lupus erythematosus</w:t>
      </w:r>
      <w:r>
        <w:rPr>
          <w:rFonts w:ascii="Times New Roman" w:hAnsi="Times New Roman" w:eastAsia="Times New Roman"/>
          <w:color w:val="auto"/>
          <w:sz w:val="20"/>
          <w:szCs w:val="20"/>
          <w:lang w:val="en-US"/>
        </w:rPr>
        <w:t xml:space="preserve">. </w:t>
      </w:r>
      <w:r>
        <w:rPr>
          <w:rFonts w:ascii="Times New Roman" w:hAnsi="Times New Roman" w:eastAsia="Times New Roman"/>
          <w:i/>
          <w:color w:val="auto"/>
          <w:sz w:val="20"/>
          <w:szCs w:val="20"/>
        </w:rPr>
        <w:t>NAT MED</w:t>
      </w:r>
      <w:r>
        <w:rPr>
          <w:rFonts w:ascii="Times New Roman" w:hAnsi="Times New Roman" w:eastAsia="Times New Roman"/>
          <w:color w:val="auto"/>
          <w:sz w:val="20"/>
          <w:szCs w:val="20"/>
        </w:rPr>
        <w:t xml:space="preserve"> 2016, </w:t>
      </w:r>
      <w:r>
        <w:rPr>
          <w:rFonts w:ascii="Times New Roman" w:hAnsi="Times New Roman" w:eastAsia="Times New Roman"/>
          <w:b/>
          <w:color w:val="auto"/>
          <w:sz w:val="20"/>
          <w:szCs w:val="20"/>
        </w:rPr>
        <w:t>22</w:t>
      </w:r>
      <w:r>
        <w:rPr>
          <w:rFonts w:ascii="Times New Roman" w:hAnsi="Times New Roman" w:eastAsia="Times New Roman"/>
          <w:color w:val="auto"/>
          <w:sz w:val="20"/>
          <w:szCs w:val="20"/>
        </w:rPr>
        <w:t>(9):991-993.</w:t>
      </w:r>
    </w:p>
    <w:p w14:paraId="0C783C38">
      <w:pPr>
        <w:rPr>
          <w:rFonts w:ascii="Times New Roman" w:hAnsi="Times New Roman" w:eastAsia="Times New Roman" w:cs="Times New Roman"/>
          <w:color w:val="auto"/>
          <w:sz w:val="20"/>
        </w:rPr>
      </w:pPr>
      <w:r>
        <w:rPr>
          <w:rFonts w:ascii="Times New Roman" w:hAnsi="Times New Roman" w:eastAsia="Times New Roman" w:cs="Times New Roman"/>
          <w:color w:val="auto"/>
          <w:sz w:val="20"/>
        </w:rPr>
        <w:t>1</w:t>
      </w:r>
      <w:r>
        <w:rPr>
          <w:rFonts w:hint="eastAsia" w:ascii="Times New Roman" w:hAnsi="Times New Roman" w:eastAsia="宋体" w:cs="Times New Roman"/>
          <w:color w:val="auto"/>
          <w:sz w:val="20"/>
        </w:rPr>
        <w:t>7</w:t>
      </w:r>
      <w:r>
        <w:rPr>
          <w:rFonts w:ascii="Times New Roman" w:hAnsi="Times New Roman" w:eastAsia="Times New Roman" w:cs="Times New Roman"/>
          <w:color w:val="auto"/>
          <w:sz w:val="20"/>
        </w:rPr>
        <w:t>.</w:t>
      </w:r>
      <w:bookmarkStart w:id="18" w:name="_neb49BC849F_39A7_418A_9351_2AAFBD6104A0"/>
      <w:r>
        <w:rPr>
          <w:rFonts w:ascii="Times New Roman" w:hAnsi="Times New Roman" w:eastAsia="Times New Roman" w:cs="Times New Roman"/>
          <w:color w:val="auto"/>
          <w:sz w:val="20"/>
        </w:rPr>
        <w:tab/>
      </w:r>
      <w:r>
        <w:rPr>
          <w:rFonts w:ascii="Times New Roman" w:hAnsi="Times New Roman" w:eastAsia="Times New Roman" w:cs="Times New Roman"/>
          <w:color w:val="auto"/>
          <w:sz w:val="20"/>
        </w:rPr>
        <w:t xml:space="preserve">Collison J: </w:t>
      </w:r>
      <w:r>
        <w:rPr>
          <w:rFonts w:ascii="Times New Roman" w:hAnsi="Times New Roman" w:eastAsia="Times New Roman" w:cs="Times New Roman"/>
          <w:b/>
          <w:color w:val="auto"/>
          <w:sz w:val="20"/>
        </w:rPr>
        <w:t>Low-dose IL-2 therapy for autoimmune diseases</w:t>
      </w:r>
      <w:r>
        <w:rPr>
          <w:rFonts w:ascii="Times New Roman" w:hAnsi="Times New Roman" w:eastAsia="Times New Roman" w:cs="Times New Roman"/>
          <w:color w:val="auto"/>
          <w:sz w:val="20"/>
        </w:rPr>
        <w:t xml:space="preserve">. </w:t>
      </w:r>
      <w:r>
        <w:rPr>
          <w:rFonts w:ascii="Times New Roman" w:hAnsi="Times New Roman" w:eastAsia="Times New Roman" w:cs="Times New Roman"/>
          <w:i/>
          <w:color w:val="auto"/>
          <w:sz w:val="20"/>
        </w:rPr>
        <w:t>NAT REV RHEUMATOL</w:t>
      </w:r>
      <w:r>
        <w:rPr>
          <w:rFonts w:ascii="Times New Roman" w:hAnsi="Times New Roman" w:eastAsia="Times New Roman" w:cs="Times New Roman"/>
          <w:color w:val="auto"/>
          <w:sz w:val="20"/>
        </w:rPr>
        <w:t xml:space="preserve"> 2019, </w:t>
      </w:r>
      <w:r>
        <w:rPr>
          <w:rFonts w:ascii="Times New Roman" w:hAnsi="Times New Roman" w:eastAsia="Times New Roman" w:cs="Times New Roman"/>
          <w:b/>
          <w:color w:val="auto"/>
          <w:sz w:val="20"/>
        </w:rPr>
        <w:t>15</w:t>
      </w:r>
      <w:r>
        <w:rPr>
          <w:rFonts w:ascii="Times New Roman" w:hAnsi="Times New Roman" w:eastAsia="Times New Roman" w:cs="Times New Roman"/>
          <w:color w:val="auto"/>
          <w:sz w:val="20"/>
        </w:rPr>
        <w:t>(1):2.</w:t>
      </w:r>
      <w:bookmarkEnd w:id="18"/>
    </w:p>
    <w:p w14:paraId="7BAAE577">
      <w:pPr>
        <w:ind w:right="60"/>
        <w:jc w:val="left"/>
        <w:rPr>
          <w:rFonts w:ascii="Times New Roman" w:hAnsi="Times New Roman" w:eastAsia="宋体" w:cs="Times New Roman"/>
          <w:color w:val="auto"/>
          <w:sz w:val="20"/>
          <w:szCs w:val="20"/>
        </w:rPr>
      </w:pPr>
      <w:r>
        <w:rPr>
          <w:rFonts w:hint="eastAsia" w:ascii="Times New Roman" w:hAnsi="Times New Roman" w:eastAsia="宋体" w:cs="Times New Roman"/>
          <w:color w:val="auto"/>
          <w:sz w:val="20"/>
        </w:rPr>
        <w:t>18.</w:t>
      </w:r>
      <w:r>
        <w:rPr>
          <w:rFonts w:hint="eastAsia" w:ascii="Times New Roman" w:hAnsi="Times New Roman" w:eastAsia="宋体" w:cs="Times New Roman"/>
          <w:color w:val="auto"/>
          <w:sz w:val="20"/>
          <w:szCs w:val="20"/>
        </w:rPr>
        <w:t xml:space="preserve">  </w:t>
      </w:r>
      <w:r>
        <w:rPr>
          <w:rFonts w:ascii="Times New Roman" w:hAnsi="Times New Roman" w:eastAsia="Times New Roman"/>
          <w:color w:val="auto"/>
          <w:sz w:val="20"/>
          <w:szCs w:val="20"/>
          <w:lang w:val="en-US"/>
        </w:rPr>
        <w:t xml:space="preserve">Roe K: </w:t>
      </w:r>
      <w:r>
        <w:rPr>
          <w:rFonts w:ascii="Times New Roman" w:hAnsi="Times New Roman" w:eastAsia="Times New Roman"/>
          <w:b/>
          <w:color w:val="auto"/>
          <w:sz w:val="20"/>
          <w:szCs w:val="20"/>
          <w:lang w:val="en-US"/>
        </w:rPr>
        <w:t>Autism Spectrum Disorder Initiation by Inflammation-Facilitated Neurotoxin  Transport</w:t>
      </w:r>
      <w:r>
        <w:rPr>
          <w:rFonts w:ascii="Times New Roman" w:hAnsi="Times New Roman" w:eastAsia="Times New Roman"/>
          <w:color w:val="auto"/>
          <w:sz w:val="20"/>
          <w:szCs w:val="20"/>
          <w:lang w:val="en-US"/>
        </w:rPr>
        <w:t xml:space="preserve">. </w:t>
      </w:r>
      <w:r>
        <w:rPr>
          <w:rFonts w:ascii="Times New Roman" w:hAnsi="Times New Roman" w:eastAsia="Times New Roman"/>
          <w:i/>
          <w:color w:val="auto"/>
          <w:sz w:val="20"/>
          <w:szCs w:val="20"/>
          <w:lang w:val="en-US"/>
        </w:rPr>
        <w:t>NEUROCHEM RES</w:t>
      </w:r>
      <w:r>
        <w:rPr>
          <w:rFonts w:ascii="Times New Roman" w:hAnsi="Times New Roman" w:eastAsia="Times New Roman"/>
          <w:color w:val="auto"/>
          <w:sz w:val="20"/>
          <w:szCs w:val="20"/>
          <w:lang w:val="en-US"/>
        </w:rPr>
        <w:t xml:space="preserve"> 2022, </w:t>
      </w:r>
      <w:r>
        <w:rPr>
          <w:rFonts w:ascii="Times New Roman" w:hAnsi="Times New Roman" w:eastAsia="Times New Roman"/>
          <w:b/>
          <w:color w:val="auto"/>
          <w:sz w:val="20"/>
          <w:szCs w:val="20"/>
          <w:lang w:val="en-US"/>
        </w:rPr>
        <w:t>47</w:t>
      </w:r>
      <w:r>
        <w:rPr>
          <w:rFonts w:ascii="Times New Roman" w:hAnsi="Times New Roman" w:eastAsia="Times New Roman"/>
          <w:color w:val="auto"/>
          <w:sz w:val="20"/>
          <w:szCs w:val="20"/>
          <w:lang w:val="en-US"/>
        </w:rPr>
        <w:t>(5):1150-1165.</w:t>
      </w:r>
    </w:p>
    <w:p w14:paraId="6631FE1D">
      <w:pPr>
        <w:ind w:right="60"/>
        <w:jc w:val="left"/>
        <w:rPr>
          <w:rFonts w:ascii="Times New Roman" w:hAnsi="Times New Roman" w:eastAsia="Times New Roman"/>
          <w:color w:val="auto"/>
          <w:sz w:val="20"/>
          <w:szCs w:val="20"/>
          <w:lang w:val="en-US"/>
        </w:rPr>
      </w:pPr>
      <w:r>
        <w:rPr>
          <w:rFonts w:hint="eastAsia" w:ascii="Times New Roman" w:hAnsi="Times New Roman" w:eastAsia="宋体" w:cs="Times New Roman"/>
          <w:color w:val="auto"/>
          <w:sz w:val="20"/>
        </w:rPr>
        <w:t xml:space="preserve">19. </w:t>
      </w:r>
      <w:r>
        <w:rPr>
          <w:rFonts w:hint="eastAsia" w:ascii="Times New Roman" w:hAnsi="Times New Roman" w:eastAsia="宋体" w:cs="Times New Roman"/>
          <w:color w:val="auto"/>
          <w:sz w:val="20"/>
          <w:szCs w:val="20"/>
        </w:rPr>
        <w:t xml:space="preserve"> </w:t>
      </w:r>
      <w:r>
        <w:rPr>
          <w:rFonts w:ascii="Times New Roman" w:hAnsi="Times New Roman" w:eastAsia="Times New Roman"/>
          <w:color w:val="auto"/>
          <w:sz w:val="20"/>
          <w:szCs w:val="20"/>
          <w:lang w:val="en-US"/>
        </w:rPr>
        <w:t xml:space="preserve">Wu S, Ding Y, Wu F, Li R, Xie G, Hou J, Mao P: </w:t>
      </w:r>
      <w:r>
        <w:rPr>
          <w:rFonts w:ascii="Times New Roman" w:hAnsi="Times New Roman" w:eastAsia="Times New Roman"/>
          <w:b/>
          <w:color w:val="auto"/>
          <w:sz w:val="20"/>
          <w:szCs w:val="20"/>
          <w:lang w:val="en-US"/>
        </w:rPr>
        <w:t>Family history of autoimmune diseases is associated with an increased risk of  autism in children: A systematic review and meta-analysis</w:t>
      </w:r>
      <w:r>
        <w:rPr>
          <w:rFonts w:ascii="Times New Roman" w:hAnsi="Times New Roman" w:eastAsia="Times New Roman"/>
          <w:color w:val="auto"/>
          <w:sz w:val="20"/>
          <w:szCs w:val="20"/>
          <w:lang w:val="en-US"/>
        </w:rPr>
        <w:t xml:space="preserve">. </w:t>
      </w:r>
      <w:r>
        <w:rPr>
          <w:rFonts w:ascii="Times New Roman" w:hAnsi="Times New Roman" w:eastAsia="Times New Roman"/>
          <w:i/>
          <w:color w:val="auto"/>
          <w:sz w:val="20"/>
          <w:szCs w:val="20"/>
          <w:lang w:val="en-US"/>
        </w:rPr>
        <w:t>NEUROSCI BIOBEHAV R</w:t>
      </w:r>
      <w:r>
        <w:rPr>
          <w:rFonts w:ascii="Times New Roman" w:hAnsi="Times New Roman" w:eastAsia="Times New Roman"/>
          <w:color w:val="auto"/>
          <w:sz w:val="20"/>
          <w:szCs w:val="20"/>
          <w:lang w:val="en-US"/>
        </w:rPr>
        <w:t xml:space="preserve"> 2015, </w:t>
      </w:r>
      <w:r>
        <w:rPr>
          <w:rFonts w:ascii="Times New Roman" w:hAnsi="Times New Roman" w:eastAsia="Times New Roman"/>
          <w:b/>
          <w:color w:val="auto"/>
          <w:sz w:val="20"/>
          <w:szCs w:val="20"/>
          <w:lang w:val="en-US"/>
        </w:rPr>
        <w:t>55</w:t>
      </w:r>
      <w:r>
        <w:rPr>
          <w:rFonts w:ascii="Times New Roman" w:hAnsi="Times New Roman" w:eastAsia="Times New Roman"/>
          <w:color w:val="auto"/>
          <w:sz w:val="20"/>
          <w:szCs w:val="20"/>
          <w:lang w:val="en-US"/>
        </w:rPr>
        <w:t>:322-332.</w:t>
      </w:r>
    </w:p>
    <w:p w14:paraId="26EE905A">
      <w:pPr>
        <w:ind w:right="60"/>
        <w:jc w:val="left"/>
        <w:rPr>
          <w:rFonts w:ascii="Times New Roman" w:hAnsi="Times New Roman" w:eastAsia="Times New Roman"/>
          <w:color w:val="auto"/>
          <w:sz w:val="20"/>
          <w:szCs w:val="20"/>
          <w:lang w:val="en-US"/>
        </w:rPr>
      </w:pPr>
      <w:r>
        <w:rPr>
          <w:rFonts w:hint="eastAsia" w:ascii="Times New Roman" w:hAnsi="Times New Roman" w:eastAsia="宋体" w:cs="Times New Roman"/>
          <w:color w:val="auto"/>
          <w:sz w:val="20"/>
        </w:rPr>
        <w:t xml:space="preserve">20.  </w:t>
      </w:r>
      <w:r>
        <w:rPr>
          <w:rFonts w:ascii="Times New Roman" w:hAnsi="Times New Roman" w:eastAsia="Times New Roman"/>
          <w:color w:val="auto"/>
          <w:sz w:val="20"/>
          <w:szCs w:val="20"/>
          <w:lang w:val="en-US"/>
        </w:rPr>
        <w:t xml:space="preserve">Than U, Nguyen LT, Nguyen PH, Nguyen XH, Trinh DP, Hoang DH, Nguyen P, Dang VD: </w:t>
      </w:r>
      <w:r>
        <w:rPr>
          <w:rFonts w:ascii="Times New Roman" w:hAnsi="Times New Roman" w:eastAsia="Times New Roman"/>
          <w:b/>
          <w:color w:val="auto"/>
          <w:sz w:val="20"/>
          <w:szCs w:val="20"/>
          <w:lang w:val="en-US"/>
        </w:rPr>
        <w:t>Inflammatory mediators drive neuroinflammation in autism spectrum disorder and  cerebral palsy</w:t>
      </w:r>
      <w:r>
        <w:rPr>
          <w:rFonts w:ascii="Times New Roman" w:hAnsi="Times New Roman" w:eastAsia="Times New Roman"/>
          <w:color w:val="auto"/>
          <w:sz w:val="20"/>
          <w:szCs w:val="20"/>
          <w:lang w:val="en-US"/>
        </w:rPr>
        <w:t xml:space="preserve">. </w:t>
      </w:r>
      <w:r>
        <w:rPr>
          <w:rFonts w:ascii="Times New Roman" w:hAnsi="Times New Roman" w:eastAsia="Times New Roman"/>
          <w:i/>
          <w:color w:val="auto"/>
          <w:sz w:val="20"/>
          <w:szCs w:val="20"/>
          <w:lang w:val="en-US"/>
        </w:rPr>
        <w:t>SCI REP-UK</w:t>
      </w:r>
      <w:r>
        <w:rPr>
          <w:rFonts w:ascii="Times New Roman" w:hAnsi="Times New Roman" w:eastAsia="Times New Roman"/>
          <w:color w:val="auto"/>
          <w:sz w:val="20"/>
          <w:szCs w:val="20"/>
          <w:lang w:val="en-US"/>
        </w:rPr>
        <w:t xml:space="preserve"> 2023, </w:t>
      </w:r>
      <w:r>
        <w:rPr>
          <w:rFonts w:ascii="Times New Roman" w:hAnsi="Times New Roman" w:eastAsia="Times New Roman"/>
          <w:b/>
          <w:color w:val="auto"/>
          <w:sz w:val="20"/>
          <w:szCs w:val="20"/>
          <w:lang w:val="en-US"/>
        </w:rPr>
        <w:t>13</w:t>
      </w:r>
      <w:r>
        <w:rPr>
          <w:rFonts w:ascii="Times New Roman" w:hAnsi="Times New Roman" w:eastAsia="Times New Roman"/>
          <w:color w:val="auto"/>
          <w:sz w:val="20"/>
          <w:szCs w:val="20"/>
          <w:lang w:val="en-US"/>
        </w:rPr>
        <w:t>(1):22587.</w:t>
      </w:r>
    </w:p>
    <w:p w14:paraId="2924A32A">
      <w:pPr>
        <w:rPr>
          <w:rFonts w:ascii="Times New Roman" w:hAnsi="Times New Roman" w:eastAsia="宋体"/>
          <w:color w:val="auto"/>
          <w:sz w:val="20"/>
          <w:szCs w:val="20"/>
        </w:rPr>
      </w:pPr>
      <w:r>
        <w:rPr>
          <w:rFonts w:hint="eastAsia" w:ascii="Times New Roman" w:hAnsi="Times New Roman" w:eastAsia="宋体"/>
          <w:color w:val="auto"/>
          <w:sz w:val="20"/>
          <w:szCs w:val="20"/>
        </w:rPr>
        <w:t xml:space="preserve">21.  </w:t>
      </w:r>
      <w:r>
        <w:rPr>
          <w:rFonts w:ascii="Times New Roman" w:hAnsi="Times New Roman" w:eastAsia="Times New Roman" w:cs="Times New Roman"/>
          <w:color w:val="auto"/>
          <w:sz w:val="20"/>
        </w:rPr>
        <w:t>Nie Z, Han D, Zhang K, Li M, Kwon H, Im S, Xu L, Yang J, Li Z, Huang X</w:t>
      </w:r>
      <w:r>
        <w:rPr>
          <w:rFonts w:ascii="Times New Roman" w:hAnsi="Times New Roman" w:eastAsia="Times New Roman" w:cs="Times New Roman"/>
          <w:i/>
          <w:color w:val="auto"/>
          <w:sz w:val="20"/>
        </w:rPr>
        <w:t xml:space="preserve"> et al</w:t>
      </w:r>
      <w:r>
        <w:rPr>
          <w:rFonts w:ascii="Times New Roman" w:hAnsi="Times New Roman" w:eastAsia="Times New Roman" w:cs="Times New Roman"/>
          <w:color w:val="auto"/>
          <w:sz w:val="20"/>
        </w:rPr>
        <w:t xml:space="preserve">: </w:t>
      </w:r>
      <w:r>
        <w:rPr>
          <w:rFonts w:ascii="Times New Roman" w:hAnsi="Times New Roman" w:eastAsia="Times New Roman" w:cs="Times New Roman"/>
          <w:b/>
          <w:color w:val="auto"/>
          <w:sz w:val="20"/>
        </w:rPr>
        <w:t>TH1/Treg ratio may be a marker of autism in children with immune dysfunction</w:t>
      </w:r>
      <w:r>
        <w:rPr>
          <w:rFonts w:ascii="Times New Roman" w:hAnsi="Times New Roman" w:eastAsia="Times New Roman" w:cs="Times New Roman"/>
          <w:color w:val="auto"/>
          <w:sz w:val="20"/>
        </w:rPr>
        <w:t xml:space="preserve">. </w:t>
      </w:r>
      <w:r>
        <w:rPr>
          <w:rFonts w:ascii="Times New Roman" w:hAnsi="Times New Roman" w:eastAsia="Times New Roman" w:cs="Times New Roman"/>
          <w:i/>
          <w:color w:val="auto"/>
          <w:sz w:val="20"/>
        </w:rPr>
        <w:t>RES AUTISM SPECT DIS</w:t>
      </w:r>
      <w:r>
        <w:rPr>
          <w:rFonts w:ascii="Times New Roman" w:hAnsi="Times New Roman" w:eastAsia="Times New Roman" w:cs="Times New Roman"/>
          <w:color w:val="auto"/>
          <w:sz w:val="20"/>
        </w:rPr>
        <w:t xml:space="preserve"> 2023, </w:t>
      </w:r>
      <w:r>
        <w:rPr>
          <w:rFonts w:ascii="Times New Roman" w:hAnsi="Times New Roman" w:eastAsia="Times New Roman" w:cs="Times New Roman"/>
          <w:b/>
          <w:color w:val="auto"/>
          <w:sz w:val="20"/>
        </w:rPr>
        <w:t>101</w:t>
      </w:r>
      <w:r>
        <w:rPr>
          <w:rFonts w:ascii="Times New Roman" w:hAnsi="Times New Roman" w:eastAsia="Times New Roman" w:cs="Times New Roman"/>
          <w:color w:val="auto"/>
          <w:sz w:val="20"/>
        </w:rPr>
        <w:t>:102085.</w:t>
      </w:r>
    </w:p>
    <w:p w14:paraId="7D944D42">
      <w:pPr>
        <w:rPr>
          <w:rFonts w:ascii="Times New Roman" w:hAnsi="Times New Roman" w:cs="Times New Roman"/>
          <w:color w:val="auto"/>
          <w:sz w:val="24"/>
        </w:rPr>
      </w:pPr>
      <w:r>
        <w:rPr>
          <w:rFonts w:hint="eastAsia" w:ascii="Times New Roman" w:hAnsi="Times New Roman" w:eastAsia="宋体" w:cs="Times New Roman"/>
          <w:color w:val="auto"/>
          <w:sz w:val="20"/>
        </w:rPr>
        <w:t>22</w:t>
      </w:r>
      <w:r>
        <w:rPr>
          <w:rFonts w:ascii="Times New Roman" w:hAnsi="Times New Roman" w:eastAsia="Times New Roman" w:cs="Times New Roman"/>
          <w:color w:val="auto"/>
          <w:sz w:val="20"/>
        </w:rPr>
        <w:t>.</w:t>
      </w:r>
      <w:r>
        <w:rPr>
          <w:rFonts w:ascii="Times New Roman" w:hAnsi="Times New Roman" w:eastAsia="Times New Roman" w:cs="Times New Roman"/>
          <w:color w:val="auto"/>
          <w:sz w:val="20"/>
        </w:rPr>
        <w:tab/>
      </w:r>
      <w:bookmarkStart w:id="19" w:name="_neb9B24C868_CEA8_4620_AB22_2CE066B40554"/>
      <w:r>
        <w:rPr>
          <w:rFonts w:ascii="Times New Roman" w:hAnsi="Times New Roman" w:eastAsia="Times New Roman" w:cs="Times New Roman"/>
          <w:color w:val="auto"/>
          <w:sz w:val="20"/>
        </w:rPr>
        <w:t>Connery K, Tippett M, Delhey LM, Rose S, Slattery JC, Kahler SG, Hahn J, Kruger U, Cunningham MW, Shimasaki C</w:t>
      </w:r>
      <w:r>
        <w:rPr>
          <w:rFonts w:ascii="Times New Roman" w:hAnsi="Times New Roman" w:eastAsia="Times New Roman" w:cs="Times New Roman"/>
          <w:i/>
          <w:color w:val="auto"/>
          <w:sz w:val="20"/>
        </w:rPr>
        <w:t xml:space="preserve"> et al</w:t>
      </w:r>
      <w:r>
        <w:rPr>
          <w:rFonts w:ascii="Times New Roman" w:hAnsi="Times New Roman" w:eastAsia="Times New Roman" w:cs="Times New Roman"/>
          <w:color w:val="auto"/>
          <w:sz w:val="20"/>
        </w:rPr>
        <w:t xml:space="preserve">: </w:t>
      </w:r>
      <w:r>
        <w:rPr>
          <w:rFonts w:ascii="Times New Roman" w:hAnsi="Times New Roman" w:eastAsia="Times New Roman" w:cs="Times New Roman"/>
          <w:b/>
          <w:color w:val="auto"/>
          <w:sz w:val="20"/>
        </w:rPr>
        <w:t>Intravenous immunoglobulin for the treatment of autoimmune encephalopathy in  children with autism</w:t>
      </w:r>
      <w:r>
        <w:rPr>
          <w:rFonts w:ascii="Times New Roman" w:hAnsi="Times New Roman" w:eastAsia="Times New Roman" w:cs="Times New Roman"/>
          <w:color w:val="auto"/>
          <w:sz w:val="20"/>
        </w:rPr>
        <w:t xml:space="preserve">. </w:t>
      </w:r>
      <w:r>
        <w:rPr>
          <w:rFonts w:ascii="Times New Roman" w:hAnsi="Times New Roman" w:eastAsia="Times New Roman" w:cs="Times New Roman"/>
          <w:i/>
          <w:color w:val="auto"/>
          <w:sz w:val="20"/>
        </w:rPr>
        <w:t>TRANSL PSYCHIAT</w:t>
      </w:r>
      <w:r>
        <w:rPr>
          <w:rFonts w:ascii="Times New Roman" w:hAnsi="Times New Roman" w:eastAsia="Times New Roman" w:cs="Times New Roman"/>
          <w:color w:val="auto"/>
          <w:sz w:val="20"/>
        </w:rPr>
        <w:t xml:space="preserve"> 2018, </w:t>
      </w:r>
      <w:r>
        <w:rPr>
          <w:rFonts w:ascii="Times New Roman" w:hAnsi="Times New Roman" w:eastAsia="Times New Roman" w:cs="Times New Roman"/>
          <w:b/>
          <w:color w:val="auto"/>
          <w:sz w:val="20"/>
        </w:rPr>
        <w:t>8</w:t>
      </w:r>
      <w:r>
        <w:rPr>
          <w:rFonts w:ascii="Times New Roman" w:hAnsi="Times New Roman" w:eastAsia="Times New Roman" w:cs="Times New Roman"/>
          <w:color w:val="auto"/>
          <w:sz w:val="20"/>
        </w:rPr>
        <w:t>(1):148.</w:t>
      </w:r>
      <w:bookmarkEnd w:id="19"/>
    </w:p>
    <w:p w14:paraId="3D64D65C">
      <w:pPr>
        <w:rPr>
          <w:rFonts w:ascii="Times New Roman" w:hAnsi="Times New Roman" w:cs="Times New Roman"/>
          <w:color w:val="auto"/>
          <w:sz w:val="24"/>
        </w:rPr>
      </w:pPr>
      <w:r>
        <w:rPr>
          <w:rFonts w:hint="eastAsia" w:ascii="Times New Roman" w:hAnsi="Times New Roman" w:eastAsia="宋体" w:cs="Times New Roman"/>
          <w:color w:val="auto"/>
          <w:sz w:val="20"/>
        </w:rPr>
        <w:t>23</w:t>
      </w:r>
      <w:r>
        <w:rPr>
          <w:rFonts w:ascii="Times New Roman" w:hAnsi="Times New Roman" w:eastAsia="Times New Roman" w:cs="Times New Roman"/>
          <w:color w:val="auto"/>
          <w:sz w:val="20"/>
        </w:rPr>
        <w:t>.</w:t>
      </w:r>
      <w:r>
        <w:rPr>
          <w:rFonts w:ascii="Times New Roman" w:hAnsi="Times New Roman" w:eastAsia="Times New Roman" w:cs="Times New Roman"/>
          <w:color w:val="auto"/>
          <w:sz w:val="20"/>
        </w:rPr>
        <w:tab/>
      </w:r>
      <w:bookmarkStart w:id="20" w:name="_neb6D406717_B77F_4D5F_B404_9CF7DAA62986"/>
      <w:r>
        <w:rPr>
          <w:rFonts w:ascii="Times New Roman" w:hAnsi="Times New Roman" w:eastAsia="Times New Roman" w:cs="Times New Roman"/>
          <w:color w:val="auto"/>
          <w:sz w:val="20"/>
        </w:rPr>
        <w:t xml:space="preserve">Villarreal-Martínez L, González-Martínez G, Sáenz-Flores M, Bautista-Gómez AJ, González-Martínez A, Ortiz-Castillo M, Robles-Sáenz DA, Garza-López E: </w:t>
      </w:r>
      <w:r>
        <w:rPr>
          <w:rFonts w:ascii="Times New Roman" w:hAnsi="Times New Roman" w:eastAsia="Times New Roman" w:cs="Times New Roman"/>
          <w:b/>
          <w:color w:val="auto"/>
          <w:sz w:val="20"/>
        </w:rPr>
        <w:t>Stem Cell Therapy in the Treatment of Patients With Autism Spectrum Disorder: a  Systematic Review and Meta-analysis</w:t>
      </w:r>
      <w:r>
        <w:rPr>
          <w:rFonts w:ascii="Times New Roman" w:hAnsi="Times New Roman" w:eastAsia="Times New Roman" w:cs="Times New Roman"/>
          <w:color w:val="auto"/>
          <w:sz w:val="20"/>
        </w:rPr>
        <w:t xml:space="preserve">. </w:t>
      </w:r>
      <w:r>
        <w:rPr>
          <w:rFonts w:ascii="Times New Roman" w:hAnsi="Times New Roman" w:eastAsia="Times New Roman" w:cs="Times New Roman"/>
          <w:i/>
          <w:color w:val="auto"/>
          <w:sz w:val="20"/>
        </w:rPr>
        <w:t>STEM CELL REV REP</w:t>
      </w:r>
      <w:r>
        <w:rPr>
          <w:rFonts w:ascii="Times New Roman" w:hAnsi="Times New Roman" w:eastAsia="Times New Roman" w:cs="Times New Roman"/>
          <w:color w:val="auto"/>
          <w:sz w:val="20"/>
        </w:rPr>
        <w:t xml:space="preserve"> 2022, </w:t>
      </w:r>
      <w:r>
        <w:rPr>
          <w:rFonts w:ascii="Times New Roman" w:hAnsi="Times New Roman" w:eastAsia="Times New Roman" w:cs="Times New Roman"/>
          <w:b/>
          <w:color w:val="auto"/>
          <w:sz w:val="20"/>
        </w:rPr>
        <w:t>18</w:t>
      </w:r>
      <w:r>
        <w:rPr>
          <w:rFonts w:ascii="Times New Roman" w:hAnsi="Times New Roman" w:eastAsia="Times New Roman" w:cs="Times New Roman"/>
          <w:color w:val="auto"/>
          <w:sz w:val="20"/>
        </w:rPr>
        <w:t>(1):155-164.</w:t>
      </w:r>
      <w:bookmarkEnd w:id="20"/>
    </w:p>
    <w:p w14:paraId="60806B26">
      <w:pPr>
        <w:rPr>
          <w:rFonts w:ascii="Times New Roman" w:hAnsi="Times New Roman" w:cs="Times New Roman"/>
          <w:color w:val="auto"/>
          <w:sz w:val="24"/>
        </w:rPr>
      </w:pPr>
      <w:r>
        <w:rPr>
          <w:rFonts w:hint="eastAsia" w:ascii="Times New Roman" w:hAnsi="Times New Roman" w:eastAsia="宋体" w:cs="Times New Roman"/>
          <w:color w:val="auto"/>
          <w:sz w:val="20"/>
        </w:rPr>
        <w:t>24</w:t>
      </w:r>
      <w:r>
        <w:rPr>
          <w:rFonts w:ascii="Times New Roman" w:hAnsi="Times New Roman" w:eastAsia="Times New Roman" w:cs="Times New Roman"/>
          <w:color w:val="auto"/>
          <w:sz w:val="20"/>
        </w:rPr>
        <w:t>.</w:t>
      </w:r>
      <w:r>
        <w:rPr>
          <w:rFonts w:ascii="Times New Roman" w:hAnsi="Times New Roman" w:eastAsia="Times New Roman" w:cs="Times New Roman"/>
          <w:color w:val="auto"/>
          <w:sz w:val="20"/>
        </w:rPr>
        <w:tab/>
      </w:r>
      <w:bookmarkStart w:id="21" w:name="_nebD55BC27A_8BFF_4240_A0FC_36527DD16528"/>
      <w:r>
        <w:rPr>
          <w:rFonts w:ascii="Times New Roman" w:hAnsi="Times New Roman" w:eastAsia="Times New Roman" w:cs="Times New Roman"/>
          <w:color w:val="auto"/>
          <w:sz w:val="20"/>
        </w:rPr>
        <w:t xml:space="preserve">Zhang R, Zhao Y, Chen X, Zhuang Z, Li X, Shen E: </w:t>
      </w:r>
      <w:r>
        <w:rPr>
          <w:rFonts w:ascii="Times New Roman" w:hAnsi="Times New Roman" w:eastAsia="Times New Roman" w:cs="Times New Roman"/>
          <w:b/>
          <w:color w:val="auto"/>
          <w:sz w:val="20"/>
        </w:rPr>
        <w:t>Low-dose IL-2 therapy in autoimmune diseases: An update review</w:t>
      </w:r>
      <w:r>
        <w:rPr>
          <w:rFonts w:ascii="Times New Roman" w:hAnsi="Times New Roman" w:eastAsia="Times New Roman" w:cs="Times New Roman"/>
          <w:color w:val="auto"/>
          <w:sz w:val="20"/>
        </w:rPr>
        <w:t xml:space="preserve">. </w:t>
      </w:r>
      <w:r>
        <w:rPr>
          <w:rFonts w:ascii="Times New Roman" w:hAnsi="Times New Roman" w:eastAsia="Times New Roman" w:cs="Times New Roman"/>
          <w:i/>
          <w:color w:val="auto"/>
          <w:sz w:val="20"/>
        </w:rPr>
        <w:t>INT REV IMMUNOL</w:t>
      </w:r>
      <w:r>
        <w:rPr>
          <w:rFonts w:ascii="Times New Roman" w:hAnsi="Times New Roman" w:eastAsia="Times New Roman" w:cs="Times New Roman"/>
          <w:color w:val="auto"/>
          <w:sz w:val="20"/>
        </w:rPr>
        <w:t xml:space="preserve"> 2024, </w:t>
      </w:r>
      <w:r>
        <w:rPr>
          <w:rFonts w:ascii="Times New Roman" w:hAnsi="Times New Roman" w:eastAsia="Times New Roman" w:cs="Times New Roman"/>
          <w:b/>
          <w:color w:val="auto"/>
          <w:sz w:val="20"/>
        </w:rPr>
        <w:t>43</w:t>
      </w:r>
      <w:r>
        <w:rPr>
          <w:rFonts w:ascii="Times New Roman" w:hAnsi="Times New Roman" w:eastAsia="Times New Roman" w:cs="Times New Roman"/>
          <w:color w:val="auto"/>
          <w:sz w:val="20"/>
        </w:rPr>
        <w:t>(3):113-137.</w:t>
      </w:r>
      <w:bookmarkEnd w:id="21"/>
    </w:p>
    <w:p w14:paraId="399B87F1">
      <w:pPr>
        <w:rPr>
          <w:rFonts w:ascii="Times New Roman" w:hAnsi="Times New Roman" w:cs="Times New Roman"/>
          <w:color w:val="auto"/>
          <w:sz w:val="24"/>
        </w:rPr>
      </w:pPr>
      <w:r>
        <w:rPr>
          <w:rFonts w:hint="eastAsia" w:ascii="Times New Roman" w:hAnsi="Times New Roman" w:eastAsia="宋体" w:cs="Times New Roman"/>
          <w:color w:val="auto"/>
          <w:sz w:val="20"/>
        </w:rPr>
        <w:t>25</w:t>
      </w:r>
      <w:r>
        <w:rPr>
          <w:rFonts w:ascii="Times New Roman" w:hAnsi="Times New Roman" w:eastAsia="Times New Roman" w:cs="Times New Roman"/>
          <w:color w:val="auto"/>
          <w:sz w:val="20"/>
        </w:rPr>
        <w:t>.</w:t>
      </w:r>
      <w:r>
        <w:rPr>
          <w:rFonts w:ascii="Times New Roman" w:hAnsi="Times New Roman" w:eastAsia="Times New Roman" w:cs="Times New Roman"/>
          <w:color w:val="auto"/>
          <w:sz w:val="20"/>
        </w:rPr>
        <w:tab/>
      </w:r>
      <w:bookmarkStart w:id="22" w:name="_neb7581B25D_9CEF_4787_BE46_5CA2A0FDA74A"/>
      <w:r>
        <w:rPr>
          <w:rFonts w:ascii="Times New Roman" w:hAnsi="Times New Roman" w:eastAsia="Times New Roman" w:cs="Times New Roman"/>
          <w:color w:val="auto"/>
          <w:sz w:val="20"/>
        </w:rPr>
        <w:t>He J, Zhang R, Shao M, Zhao X, Miao M, Chen J, Liu J, Zhang X, Zhang X, Jin Y</w:t>
      </w:r>
      <w:r>
        <w:rPr>
          <w:rFonts w:ascii="Times New Roman" w:hAnsi="Times New Roman" w:eastAsia="Times New Roman" w:cs="Times New Roman"/>
          <w:i/>
          <w:color w:val="auto"/>
          <w:sz w:val="20"/>
        </w:rPr>
        <w:t xml:space="preserve"> et al</w:t>
      </w:r>
      <w:r>
        <w:rPr>
          <w:rFonts w:ascii="Times New Roman" w:hAnsi="Times New Roman" w:eastAsia="Times New Roman" w:cs="Times New Roman"/>
          <w:color w:val="auto"/>
          <w:sz w:val="20"/>
        </w:rPr>
        <w:t xml:space="preserve">: </w:t>
      </w:r>
      <w:r>
        <w:rPr>
          <w:rFonts w:ascii="Times New Roman" w:hAnsi="Times New Roman" w:eastAsia="Times New Roman" w:cs="Times New Roman"/>
          <w:b/>
          <w:color w:val="auto"/>
          <w:sz w:val="20"/>
        </w:rPr>
        <w:t>Efficacy and safety of low-dose IL-2 in the treatment of systemic lupus  erythematosus: a randomised, double-blind, placebo-controlled trial</w:t>
      </w:r>
      <w:r>
        <w:rPr>
          <w:rFonts w:ascii="Times New Roman" w:hAnsi="Times New Roman" w:eastAsia="Times New Roman" w:cs="Times New Roman"/>
          <w:color w:val="auto"/>
          <w:sz w:val="20"/>
        </w:rPr>
        <w:t xml:space="preserve">. </w:t>
      </w:r>
      <w:r>
        <w:rPr>
          <w:rFonts w:ascii="Times New Roman" w:hAnsi="Times New Roman" w:eastAsia="Times New Roman" w:cs="Times New Roman"/>
          <w:i/>
          <w:color w:val="auto"/>
          <w:sz w:val="20"/>
        </w:rPr>
        <w:t>ANN RHEUM DIS</w:t>
      </w:r>
      <w:r>
        <w:rPr>
          <w:rFonts w:ascii="Times New Roman" w:hAnsi="Times New Roman" w:eastAsia="Times New Roman" w:cs="Times New Roman"/>
          <w:color w:val="auto"/>
          <w:sz w:val="20"/>
        </w:rPr>
        <w:t xml:space="preserve"> 2020, </w:t>
      </w:r>
      <w:r>
        <w:rPr>
          <w:rFonts w:ascii="Times New Roman" w:hAnsi="Times New Roman" w:eastAsia="Times New Roman" w:cs="Times New Roman"/>
          <w:b/>
          <w:color w:val="auto"/>
          <w:sz w:val="20"/>
        </w:rPr>
        <w:t>79</w:t>
      </w:r>
      <w:r>
        <w:rPr>
          <w:rFonts w:ascii="Times New Roman" w:hAnsi="Times New Roman" w:eastAsia="Times New Roman" w:cs="Times New Roman"/>
          <w:color w:val="auto"/>
          <w:sz w:val="20"/>
        </w:rPr>
        <w:t>(1):141-149.</w:t>
      </w:r>
      <w:bookmarkEnd w:id="22"/>
    </w:p>
    <w:p w14:paraId="1EBAFB0D">
      <w:pPr>
        <w:rPr>
          <w:rFonts w:ascii="Times New Roman" w:hAnsi="Times New Roman" w:cs="Times New Roman"/>
          <w:color w:val="auto"/>
          <w:sz w:val="24"/>
        </w:rPr>
      </w:pPr>
      <w:r>
        <w:rPr>
          <w:rFonts w:hint="eastAsia" w:ascii="Times New Roman" w:hAnsi="Times New Roman" w:eastAsia="宋体" w:cs="Times New Roman"/>
          <w:color w:val="auto"/>
          <w:sz w:val="20"/>
        </w:rPr>
        <w:t>26</w:t>
      </w:r>
      <w:r>
        <w:rPr>
          <w:rFonts w:ascii="Times New Roman" w:hAnsi="Times New Roman" w:eastAsia="Times New Roman" w:cs="Times New Roman"/>
          <w:color w:val="auto"/>
          <w:sz w:val="20"/>
        </w:rPr>
        <w:t>.</w:t>
      </w:r>
      <w:r>
        <w:rPr>
          <w:rFonts w:ascii="Times New Roman" w:hAnsi="Times New Roman" w:eastAsia="Times New Roman" w:cs="Times New Roman"/>
          <w:color w:val="auto"/>
          <w:sz w:val="20"/>
        </w:rPr>
        <w:tab/>
      </w:r>
      <w:bookmarkStart w:id="23" w:name="_neb2160A1F2_273A_4099_B4FE_C9673FB3A9D7"/>
      <w:r>
        <w:rPr>
          <w:rFonts w:ascii="Times New Roman" w:hAnsi="Times New Roman" w:eastAsia="Times New Roman" w:cs="Times New Roman"/>
          <w:color w:val="auto"/>
          <w:sz w:val="20"/>
        </w:rPr>
        <w:t>Zhang JY, Hamey F, Trzupek D, Mickunas M, Lee M, Godfrey L, Yang J, Pekalski ML, Kennet J, Waldron-Lynch F</w:t>
      </w:r>
      <w:r>
        <w:rPr>
          <w:rFonts w:ascii="Times New Roman" w:hAnsi="Times New Roman" w:eastAsia="Times New Roman" w:cs="Times New Roman"/>
          <w:i/>
          <w:color w:val="auto"/>
          <w:sz w:val="20"/>
        </w:rPr>
        <w:t xml:space="preserve"> et al</w:t>
      </w:r>
      <w:r>
        <w:rPr>
          <w:rFonts w:ascii="Times New Roman" w:hAnsi="Times New Roman" w:eastAsia="Times New Roman" w:cs="Times New Roman"/>
          <w:color w:val="auto"/>
          <w:sz w:val="20"/>
        </w:rPr>
        <w:t xml:space="preserve">: </w:t>
      </w:r>
      <w:r>
        <w:rPr>
          <w:rFonts w:ascii="Times New Roman" w:hAnsi="Times New Roman" w:eastAsia="Times New Roman" w:cs="Times New Roman"/>
          <w:b/>
          <w:color w:val="auto"/>
          <w:sz w:val="20"/>
        </w:rPr>
        <w:t>Low-dose IL-2 reduces IL-21(+) T cell frequency and induces anti-inflammatory  gene expression in type 1 diabetes</w:t>
      </w:r>
      <w:r>
        <w:rPr>
          <w:rFonts w:ascii="Times New Roman" w:hAnsi="Times New Roman" w:eastAsia="Times New Roman" w:cs="Times New Roman"/>
          <w:color w:val="auto"/>
          <w:sz w:val="20"/>
        </w:rPr>
        <w:t xml:space="preserve">. </w:t>
      </w:r>
      <w:r>
        <w:rPr>
          <w:rFonts w:ascii="Times New Roman" w:hAnsi="Times New Roman" w:eastAsia="Times New Roman" w:cs="Times New Roman"/>
          <w:i/>
          <w:color w:val="auto"/>
          <w:sz w:val="20"/>
        </w:rPr>
        <w:t>NAT COMMUN</w:t>
      </w:r>
      <w:r>
        <w:rPr>
          <w:rFonts w:ascii="Times New Roman" w:hAnsi="Times New Roman" w:eastAsia="Times New Roman" w:cs="Times New Roman"/>
          <w:color w:val="auto"/>
          <w:sz w:val="20"/>
        </w:rPr>
        <w:t xml:space="preserve"> 2022, </w:t>
      </w:r>
      <w:r>
        <w:rPr>
          <w:rFonts w:ascii="Times New Roman" w:hAnsi="Times New Roman" w:eastAsia="Times New Roman" w:cs="Times New Roman"/>
          <w:b/>
          <w:color w:val="auto"/>
          <w:sz w:val="20"/>
        </w:rPr>
        <w:t>13</w:t>
      </w:r>
      <w:r>
        <w:rPr>
          <w:rFonts w:ascii="Times New Roman" w:hAnsi="Times New Roman" w:eastAsia="Times New Roman" w:cs="Times New Roman"/>
          <w:color w:val="auto"/>
          <w:sz w:val="20"/>
        </w:rPr>
        <w:t>(1):7324.</w:t>
      </w:r>
      <w:bookmarkEnd w:id="23"/>
    </w:p>
    <w:p w14:paraId="063DD4AE">
      <w:pPr>
        <w:rPr>
          <w:rFonts w:ascii="Times New Roman" w:hAnsi="Times New Roman" w:cs="Times New Roman"/>
          <w:color w:val="auto"/>
          <w:sz w:val="24"/>
        </w:rPr>
      </w:pPr>
      <w:r>
        <w:rPr>
          <w:rFonts w:hint="eastAsia" w:ascii="Times New Roman" w:hAnsi="Times New Roman" w:eastAsia="宋体" w:cs="Times New Roman"/>
          <w:color w:val="auto"/>
          <w:sz w:val="20"/>
        </w:rPr>
        <w:t>27</w:t>
      </w:r>
      <w:r>
        <w:rPr>
          <w:rFonts w:ascii="Times New Roman" w:hAnsi="Times New Roman" w:eastAsia="Times New Roman" w:cs="Times New Roman"/>
          <w:color w:val="auto"/>
          <w:sz w:val="20"/>
        </w:rPr>
        <w:t>.</w:t>
      </w:r>
      <w:r>
        <w:rPr>
          <w:rFonts w:ascii="Times New Roman" w:hAnsi="Times New Roman" w:eastAsia="Times New Roman" w:cs="Times New Roman"/>
          <w:color w:val="auto"/>
          <w:sz w:val="20"/>
        </w:rPr>
        <w:tab/>
      </w:r>
      <w:bookmarkStart w:id="24" w:name="_nebBA2417F7_C2BD_41CF_8A47_B03EB8D6C9BB"/>
      <w:r>
        <w:rPr>
          <w:rFonts w:ascii="Times New Roman" w:hAnsi="Times New Roman" w:eastAsia="Times New Roman" w:cs="Times New Roman"/>
          <w:color w:val="auto"/>
          <w:sz w:val="20"/>
        </w:rPr>
        <w:t>Miao M, Hao Z, Guo Y, Zhang X, Zhang S, Luo J, Zhao X, Zhang C, Liu X, Wu X</w:t>
      </w:r>
      <w:r>
        <w:rPr>
          <w:rFonts w:ascii="Times New Roman" w:hAnsi="Times New Roman" w:eastAsia="Times New Roman" w:cs="Times New Roman"/>
          <w:i/>
          <w:color w:val="auto"/>
          <w:sz w:val="20"/>
        </w:rPr>
        <w:t xml:space="preserve"> et al</w:t>
      </w:r>
      <w:r>
        <w:rPr>
          <w:rFonts w:ascii="Times New Roman" w:hAnsi="Times New Roman" w:eastAsia="Times New Roman" w:cs="Times New Roman"/>
          <w:color w:val="auto"/>
          <w:sz w:val="20"/>
        </w:rPr>
        <w:t xml:space="preserve">: </w:t>
      </w:r>
      <w:r>
        <w:rPr>
          <w:rFonts w:ascii="Times New Roman" w:hAnsi="Times New Roman" w:eastAsia="Times New Roman" w:cs="Times New Roman"/>
          <w:b/>
          <w:color w:val="auto"/>
          <w:sz w:val="20"/>
        </w:rPr>
        <w:t>Short-term and low-dose IL-2 therapy restores the Th17/Treg balance in the  peripheral blood of patients with primary Sjögren's syndrome</w:t>
      </w:r>
      <w:r>
        <w:rPr>
          <w:rFonts w:ascii="Times New Roman" w:hAnsi="Times New Roman" w:eastAsia="Times New Roman" w:cs="Times New Roman"/>
          <w:color w:val="auto"/>
          <w:sz w:val="20"/>
        </w:rPr>
        <w:t xml:space="preserve">. </w:t>
      </w:r>
      <w:r>
        <w:rPr>
          <w:rFonts w:ascii="Times New Roman" w:hAnsi="Times New Roman" w:eastAsia="Times New Roman" w:cs="Times New Roman"/>
          <w:i/>
          <w:color w:val="auto"/>
          <w:sz w:val="20"/>
        </w:rPr>
        <w:t>ANN RHEUM DIS</w:t>
      </w:r>
      <w:r>
        <w:rPr>
          <w:rFonts w:ascii="Times New Roman" w:hAnsi="Times New Roman" w:eastAsia="Times New Roman" w:cs="Times New Roman"/>
          <w:color w:val="auto"/>
          <w:sz w:val="20"/>
        </w:rPr>
        <w:t xml:space="preserve"> 2018, </w:t>
      </w:r>
      <w:r>
        <w:rPr>
          <w:rFonts w:ascii="Times New Roman" w:hAnsi="Times New Roman" w:eastAsia="Times New Roman" w:cs="Times New Roman"/>
          <w:b/>
          <w:color w:val="auto"/>
          <w:sz w:val="20"/>
        </w:rPr>
        <w:t>77</w:t>
      </w:r>
      <w:r>
        <w:rPr>
          <w:rFonts w:ascii="Times New Roman" w:hAnsi="Times New Roman" w:eastAsia="Times New Roman" w:cs="Times New Roman"/>
          <w:color w:val="auto"/>
          <w:sz w:val="20"/>
        </w:rPr>
        <w:t>(12):1838-1840.</w:t>
      </w:r>
      <w:bookmarkEnd w:id="24"/>
    </w:p>
    <w:p w14:paraId="0D14B81C">
      <w:pPr>
        <w:rPr>
          <w:rFonts w:ascii="Times New Roman" w:hAnsi="Times New Roman" w:eastAsia="Times New Roman" w:cs="Times New Roman"/>
          <w:color w:val="auto"/>
          <w:sz w:val="20"/>
        </w:rPr>
      </w:pPr>
      <w:r>
        <w:rPr>
          <w:rFonts w:hint="eastAsia" w:ascii="Times New Roman" w:hAnsi="Times New Roman" w:eastAsia="宋体" w:cs="Times New Roman"/>
          <w:color w:val="auto"/>
          <w:sz w:val="20"/>
        </w:rPr>
        <w:t>28</w:t>
      </w:r>
      <w:r>
        <w:rPr>
          <w:rFonts w:ascii="Times New Roman" w:hAnsi="Times New Roman" w:eastAsia="Times New Roman" w:cs="Times New Roman"/>
          <w:color w:val="auto"/>
          <w:sz w:val="20"/>
        </w:rPr>
        <w:t>.</w:t>
      </w:r>
      <w:r>
        <w:rPr>
          <w:rFonts w:ascii="Times New Roman" w:hAnsi="Times New Roman" w:eastAsia="Times New Roman" w:cs="Times New Roman"/>
          <w:color w:val="auto"/>
          <w:sz w:val="20"/>
        </w:rPr>
        <w:tab/>
      </w:r>
      <w:bookmarkStart w:id="25" w:name="_neb4A82247A_6BEB_4F76_BA98_B0B8D89EE0F6"/>
      <w:r>
        <w:rPr>
          <w:rFonts w:ascii="Times New Roman" w:hAnsi="Times New Roman" w:eastAsia="Times New Roman" w:cs="Times New Roman"/>
          <w:color w:val="auto"/>
          <w:sz w:val="20"/>
        </w:rPr>
        <w:t>Poletti S, Zanardi R, Mandelli A, Aggio V, Finardi A, Lorenzi C, Borsellino G, Carminati M, Manfredi E, Tomasi E</w:t>
      </w:r>
      <w:r>
        <w:rPr>
          <w:rFonts w:ascii="Times New Roman" w:hAnsi="Times New Roman" w:eastAsia="Times New Roman" w:cs="Times New Roman"/>
          <w:i/>
          <w:color w:val="auto"/>
          <w:sz w:val="20"/>
        </w:rPr>
        <w:t xml:space="preserve"> et al</w:t>
      </w:r>
      <w:r>
        <w:rPr>
          <w:rFonts w:ascii="Times New Roman" w:hAnsi="Times New Roman" w:eastAsia="Times New Roman" w:cs="Times New Roman"/>
          <w:color w:val="auto"/>
          <w:sz w:val="20"/>
        </w:rPr>
        <w:t xml:space="preserve">: </w:t>
      </w:r>
      <w:r>
        <w:rPr>
          <w:rFonts w:ascii="Times New Roman" w:hAnsi="Times New Roman" w:eastAsia="Times New Roman" w:cs="Times New Roman"/>
          <w:b/>
          <w:color w:val="auto"/>
          <w:sz w:val="20"/>
        </w:rPr>
        <w:t>Low-dose interleukin 2 antidepressant potentiation in unipolar and bipolar  depression: Safety, efficacy, and immunological biomarkers</w:t>
      </w:r>
      <w:r>
        <w:rPr>
          <w:rFonts w:ascii="Times New Roman" w:hAnsi="Times New Roman" w:eastAsia="Times New Roman" w:cs="Times New Roman"/>
          <w:color w:val="auto"/>
          <w:sz w:val="20"/>
        </w:rPr>
        <w:t xml:space="preserve">. </w:t>
      </w:r>
      <w:r>
        <w:rPr>
          <w:rFonts w:ascii="Times New Roman" w:hAnsi="Times New Roman" w:eastAsia="Times New Roman" w:cs="Times New Roman"/>
          <w:i/>
          <w:color w:val="auto"/>
          <w:sz w:val="20"/>
        </w:rPr>
        <w:t>BRAIN BEHAV IMMUN</w:t>
      </w:r>
      <w:r>
        <w:rPr>
          <w:rFonts w:ascii="Times New Roman" w:hAnsi="Times New Roman" w:eastAsia="Times New Roman" w:cs="Times New Roman"/>
          <w:color w:val="auto"/>
          <w:sz w:val="20"/>
        </w:rPr>
        <w:t xml:space="preserve"> 2024, </w:t>
      </w:r>
      <w:r>
        <w:rPr>
          <w:rFonts w:ascii="Times New Roman" w:hAnsi="Times New Roman" w:eastAsia="Times New Roman" w:cs="Times New Roman"/>
          <w:b/>
          <w:color w:val="auto"/>
          <w:sz w:val="20"/>
        </w:rPr>
        <w:t>118</w:t>
      </w:r>
      <w:r>
        <w:rPr>
          <w:rFonts w:ascii="Times New Roman" w:hAnsi="Times New Roman" w:eastAsia="Times New Roman" w:cs="Times New Roman"/>
          <w:color w:val="auto"/>
          <w:sz w:val="20"/>
        </w:rPr>
        <w:t>:52-68.</w:t>
      </w:r>
      <w:bookmarkEnd w:id="25"/>
    </w:p>
    <w:p w14:paraId="6EE7B3AE">
      <w:pPr>
        <w:rPr>
          <w:rFonts w:ascii="Times New Roman" w:hAnsi="Times New Roman" w:cs="Times New Roman"/>
          <w:color w:val="auto"/>
          <w:sz w:val="24"/>
        </w:rPr>
      </w:pPr>
      <w:r>
        <w:rPr>
          <w:rFonts w:hint="eastAsia" w:ascii="Times New Roman" w:hAnsi="Times New Roman" w:eastAsia="宋体" w:cs="Times New Roman"/>
          <w:color w:val="auto"/>
          <w:sz w:val="20"/>
        </w:rPr>
        <w:t>29</w:t>
      </w:r>
      <w:r>
        <w:rPr>
          <w:rFonts w:ascii="Times New Roman" w:hAnsi="Times New Roman" w:eastAsia="Times New Roman" w:cs="Times New Roman"/>
          <w:color w:val="auto"/>
          <w:sz w:val="20"/>
        </w:rPr>
        <w:t>.</w:t>
      </w:r>
      <w:r>
        <w:rPr>
          <w:rFonts w:ascii="Times New Roman" w:hAnsi="Times New Roman" w:eastAsia="Times New Roman" w:cs="Times New Roman"/>
          <w:color w:val="auto"/>
          <w:sz w:val="20"/>
        </w:rPr>
        <w:tab/>
      </w:r>
      <w:bookmarkStart w:id="26" w:name="_nebAC93DA7C_F8CC_4F83_9630_B769CDE7E4B5"/>
      <w:r>
        <w:rPr>
          <w:rFonts w:ascii="Times New Roman" w:hAnsi="Times New Roman" w:eastAsia="Times New Roman" w:cs="Times New Roman"/>
          <w:color w:val="auto"/>
          <w:sz w:val="20"/>
        </w:rPr>
        <w:t xml:space="preserve">Li X, Chauhan A, Sheikh AM, Patil S, Chauhan V, Li XM, Ji L, Brown T, Malik M: </w:t>
      </w:r>
      <w:r>
        <w:rPr>
          <w:rFonts w:ascii="Times New Roman" w:hAnsi="Times New Roman" w:eastAsia="Times New Roman" w:cs="Times New Roman"/>
          <w:b/>
          <w:color w:val="auto"/>
          <w:sz w:val="20"/>
        </w:rPr>
        <w:t>Elevated immune response in the brain of autistic patients</w:t>
      </w:r>
      <w:r>
        <w:rPr>
          <w:rFonts w:ascii="Times New Roman" w:hAnsi="Times New Roman" w:eastAsia="Times New Roman" w:cs="Times New Roman"/>
          <w:color w:val="auto"/>
          <w:sz w:val="20"/>
        </w:rPr>
        <w:t xml:space="preserve">. </w:t>
      </w:r>
      <w:r>
        <w:rPr>
          <w:rFonts w:ascii="Times New Roman" w:hAnsi="Times New Roman" w:eastAsia="Times New Roman" w:cs="Times New Roman"/>
          <w:i/>
          <w:color w:val="auto"/>
          <w:sz w:val="20"/>
        </w:rPr>
        <w:t>J NEUROIMMUNOL</w:t>
      </w:r>
      <w:r>
        <w:rPr>
          <w:rFonts w:ascii="Times New Roman" w:hAnsi="Times New Roman" w:eastAsia="Times New Roman" w:cs="Times New Roman"/>
          <w:color w:val="auto"/>
          <w:sz w:val="20"/>
        </w:rPr>
        <w:t xml:space="preserve"> 2009, </w:t>
      </w:r>
      <w:r>
        <w:rPr>
          <w:rFonts w:ascii="Times New Roman" w:hAnsi="Times New Roman" w:eastAsia="Times New Roman" w:cs="Times New Roman"/>
          <w:b/>
          <w:color w:val="auto"/>
          <w:sz w:val="20"/>
        </w:rPr>
        <w:t>207</w:t>
      </w:r>
      <w:r>
        <w:rPr>
          <w:rFonts w:ascii="Times New Roman" w:hAnsi="Times New Roman" w:eastAsia="Times New Roman" w:cs="Times New Roman"/>
          <w:color w:val="auto"/>
          <w:sz w:val="20"/>
        </w:rPr>
        <w:t>(1-2):111-116.</w:t>
      </w:r>
      <w:bookmarkEnd w:id="26"/>
    </w:p>
    <w:p w14:paraId="49E50C2D">
      <w:pPr>
        <w:rPr>
          <w:rFonts w:ascii="Times New Roman" w:hAnsi="Times New Roman" w:cs="Times New Roman"/>
          <w:color w:val="auto"/>
          <w:sz w:val="24"/>
        </w:rPr>
      </w:pPr>
      <w:r>
        <w:rPr>
          <w:rFonts w:hint="eastAsia" w:ascii="Times New Roman" w:hAnsi="Times New Roman" w:eastAsia="宋体" w:cs="Times New Roman"/>
          <w:color w:val="auto"/>
          <w:sz w:val="20"/>
        </w:rPr>
        <w:t>30</w:t>
      </w:r>
      <w:r>
        <w:rPr>
          <w:rFonts w:ascii="Times New Roman" w:hAnsi="Times New Roman" w:eastAsia="Times New Roman" w:cs="Times New Roman"/>
          <w:color w:val="auto"/>
          <w:sz w:val="20"/>
        </w:rPr>
        <w:t>.</w:t>
      </w:r>
      <w:r>
        <w:rPr>
          <w:rFonts w:ascii="Times New Roman" w:hAnsi="Times New Roman" w:eastAsia="Times New Roman" w:cs="Times New Roman"/>
          <w:color w:val="auto"/>
          <w:sz w:val="20"/>
        </w:rPr>
        <w:tab/>
      </w:r>
      <w:bookmarkStart w:id="27" w:name="_nebC8589E55_E7D2_4992_9BD5_1EAC76361625"/>
      <w:r>
        <w:rPr>
          <w:rFonts w:ascii="Times New Roman" w:hAnsi="Times New Roman" w:eastAsia="Times New Roman" w:cs="Times New Roman"/>
          <w:color w:val="auto"/>
          <w:sz w:val="20"/>
        </w:rPr>
        <w:t xml:space="preserve">Hylén U, McGlinchey A, Orešič M, Bejerot S, Humble MB, Särndahl E, Hyötyläinen T, Eklund D: </w:t>
      </w:r>
      <w:r>
        <w:rPr>
          <w:rFonts w:ascii="Times New Roman" w:hAnsi="Times New Roman" w:eastAsia="Times New Roman" w:cs="Times New Roman"/>
          <w:b/>
          <w:color w:val="auto"/>
          <w:sz w:val="20"/>
        </w:rPr>
        <w:t>Potential Transdiagnostic Lipid Mediators of Inflammatory Activity in Individuals  With Serious Mental Illness</w:t>
      </w:r>
      <w:r>
        <w:rPr>
          <w:rFonts w:ascii="Times New Roman" w:hAnsi="Times New Roman" w:eastAsia="Times New Roman" w:cs="Times New Roman"/>
          <w:color w:val="auto"/>
          <w:sz w:val="20"/>
        </w:rPr>
        <w:t xml:space="preserve">. </w:t>
      </w:r>
      <w:r>
        <w:rPr>
          <w:rFonts w:ascii="Times New Roman" w:hAnsi="Times New Roman" w:eastAsia="Times New Roman" w:cs="Times New Roman"/>
          <w:i/>
          <w:color w:val="auto"/>
          <w:sz w:val="20"/>
        </w:rPr>
        <w:t>FRONT PSYCHIATRY</w:t>
      </w:r>
      <w:r>
        <w:rPr>
          <w:rFonts w:ascii="Times New Roman" w:hAnsi="Times New Roman" w:eastAsia="Times New Roman" w:cs="Times New Roman"/>
          <w:color w:val="auto"/>
          <w:sz w:val="20"/>
        </w:rPr>
        <w:t xml:space="preserve"> 2021, </w:t>
      </w:r>
      <w:r>
        <w:rPr>
          <w:rFonts w:ascii="Times New Roman" w:hAnsi="Times New Roman" w:eastAsia="Times New Roman" w:cs="Times New Roman"/>
          <w:b/>
          <w:color w:val="auto"/>
          <w:sz w:val="20"/>
        </w:rPr>
        <w:t>12</w:t>
      </w:r>
      <w:r>
        <w:rPr>
          <w:rFonts w:ascii="Times New Roman" w:hAnsi="Times New Roman" w:eastAsia="Times New Roman" w:cs="Times New Roman"/>
          <w:color w:val="auto"/>
          <w:sz w:val="20"/>
        </w:rPr>
        <w:t>:778325.</w:t>
      </w:r>
      <w:bookmarkEnd w:id="27"/>
    </w:p>
    <w:p w14:paraId="7310FED3">
      <w:pPr>
        <w:rPr>
          <w:rFonts w:ascii="Times New Roman" w:hAnsi="Times New Roman" w:cs="Times New Roman"/>
          <w:color w:val="auto"/>
          <w:sz w:val="24"/>
        </w:rPr>
      </w:pPr>
      <w:r>
        <w:rPr>
          <w:rFonts w:hint="eastAsia" w:ascii="Times New Roman" w:hAnsi="Times New Roman" w:eastAsia="宋体" w:cs="Times New Roman"/>
          <w:color w:val="auto"/>
          <w:sz w:val="20"/>
        </w:rPr>
        <w:t>31</w:t>
      </w:r>
      <w:r>
        <w:rPr>
          <w:rFonts w:ascii="Times New Roman" w:hAnsi="Times New Roman" w:eastAsia="Times New Roman" w:cs="Times New Roman"/>
          <w:color w:val="auto"/>
          <w:sz w:val="20"/>
        </w:rPr>
        <w:t>.</w:t>
      </w:r>
      <w:r>
        <w:rPr>
          <w:rFonts w:ascii="Times New Roman" w:hAnsi="Times New Roman" w:eastAsia="Times New Roman" w:cs="Times New Roman"/>
          <w:color w:val="auto"/>
          <w:sz w:val="20"/>
        </w:rPr>
        <w:tab/>
      </w:r>
      <w:bookmarkStart w:id="28" w:name="_nebF465C9AF_9937_4819_839D_96C38426505D"/>
      <w:r>
        <w:rPr>
          <w:rFonts w:ascii="Times New Roman" w:hAnsi="Times New Roman" w:eastAsia="Times New Roman" w:cs="Times New Roman"/>
          <w:color w:val="auto"/>
          <w:sz w:val="20"/>
        </w:rPr>
        <w:t xml:space="preserve">Siniscalco D, Schultz S, Brigida AL, Antonucci N: </w:t>
      </w:r>
      <w:r>
        <w:rPr>
          <w:rFonts w:ascii="Times New Roman" w:hAnsi="Times New Roman" w:eastAsia="Times New Roman" w:cs="Times New Roman"/>
          <w:b/>
          <w:color w:val="auto"/>
          <w:sz w:val="20"/>
        </w:rPr>
        <w:t>Inflammation and Neuro-Immune Dysregulations in Autism Spectrum Disorders</w:t>
      </w:r>
      <w:r>
        <w:rPr>
          <w:rFonts w:ascii="Times New Roman" w:hAnsi="Times New Roman" w:eastAsia="Times New Roman" w:cs="Times New Roman"/>
          <w:color w:val="auto"/>
          <w:sz w:val="20"/>
        </w:rPr>
        <w:t xml:space="preserve">. </w:t>
      </w:r>
      <w:r>
        <w:rPr>
          <w:rFonts w:ascii="Times New Roman" w:hAnsi="Times New Roman" w:eastAsia="Times New Roman" w:cs="Times New Roman"/>
          <w:i/>
          <w:color w:val="auto"/>
          <w:sz w:val="20"/>
        </w:rPr>
        <w:t>PHARMACEUTICALS-BASE</w:t>
      </w:r>
      <w:r>
        <w:rPr>
          <w:rFonts w:ascii="Times New Roman" w:hAnsi="Times New Roman" w:eastAsia="Times New Roman" w:cs="Times New Roman"/>
          <w:color w:val="auto"/>
          <w:sz w:val="20"/>
        </w:rPr>
        <w:t xml:space="preserve"> 2018, </w:t>
      </w:r>
      <w:r>
        <w:rPr>
          <w:rFonts w:ascii="Times New Roman" w:hAnsi="Times New Roman" w:eastAsia="Times New Roman" w:cs="Times New Roman"/>
          <w:b/>
          <w:color w:val="auto"/>
          <w:sz w:val="20"/>
        </w:rPr>
        <w:t>11</w:t>
      </w:r>
      <w:r>
        <w:rPr>
          <w:rFonts w:ascii="Times New Roman" w:hAnsi="Times New Roman" w:eastAsia="Times New Roman" w:cs="Times New Roman"/>
          <w:color w:val="auto"/>
          <w:sz w:val="20"/>
        </w:rPr>
        <w:t>(2).</w:t>
      </w:r>
      <w:bookmarkEnd w:id="28"/>
    </w:p>
    <w:p w14:paraId="6E0CD4BE">
      <w:pPr>
        <w:rPr>
          <w:rFonts w:ascii="Times New Roman" w:hAnsi="Times New Roman" w:cs="Times New Roman"/>
          <w:color w:val="auto"/>
          <w:sz w:val="24"/>
        </w:rPr>
      </w:pPr>
      <w:r>
        <w:rPr>
          <w:rFonts w:hint="eastAsia" w:ascii="Times New Roman" w:hAnsi="Times New Roman" w:eastAsia="宋体" w:cs="Times New Roman"/>
          <w:color w:val="auto"/>
          <w:sz w:val="20"/>
        </w:rPr>
        <w:t>32</w:t>
      </w:r>
      <w:r>
        <w:rPr>
          <w:rFonts w:ascii="Times New Roman" w:hAnsi="Times New Roman" w:eastAsia="Times New Roman" w:cs="Times New Roman"/>
          <w:color w:val="auto"/>
          <w:sz w:val="20"/>
        </w:rPr>
        <w:t>.</w:t>
      </w:r>
      <w:r>
        <w:rPr>
          <w:rFonts w:ascii="Times New Roman" w:hAnsi="Times New Roman" w:eastAsia="Times New Roman" w:cs="Times New Roman"/>
          <w:color w:val="auto"/>
          <w:sz w:val="20"/>
        </w:rPr>
        <w:tab/>
      </w:r>
      <w:bookmarkStart w:id="29" w:name="_neb525DDA11_B93C_4058_8893_33BA2AAECAEB"/>
      <w:r>
        <w:rPr>
          <w:rFonts w:ascii="Times New Roman" w:hAnsi="Times New Roman" w:eastAsia="Times New Roman" w:cs="Times New Roman"/>
          <w:color w:val="auto"/>
          <w:sz w:val="20"/>
        </w:rPr>
        <w:t xml:space="preserve">Ferencova N, Visnovcova Z, Ondrejka I, Hrtanek I, Bujnakova I, Kovacova V, Macejova A, Tonhajzerova I: </w:t>
      </w:r>
      <w:r>
        <w:rPr>
          <w:rFonts w:ascii="Times New Roman" w:hAnsi="Times New Roman" w:eastAsia="Times New Roman" w:cs="Times New Roman"/>
          <w:b/>
          <w:color w:val="auto"/>
          <w:sz w:val="20"/>
        </w:rPr>
        <w:t>Peripheral Inflammatory Markers in Autism Spectrum Disorder and Attention  Deficit/Hyperactivity Disorder at Adolescent Age</w:t>
      </w:r>
      <w:r>
        <w:rPr>
          <w:rFonts w:ascii="Times New Roman" w:hAnsi="Times New Roman" w:eastAsia="Times New Roman" w:cs="Times New Roman"/>
          <w:color w:val="auto"/>
          <w:sz w:val="20"/>
        </w:rPr>
        <w:t xml:space="preserve">. </w:t>
      </w:r>
      <w:r>
        <w:rPr>
          <w:rFonts w:ascii="Times New Roman" w:hAnsi="Times New Roman" w:eastAsia="Times New Roman" w:cs="Times New Roman"/>
          <w:i/>
          <w:color w:val="auto"/>
          <w:sz w:val="20"/>
        </w:rPr>
        <w:t>INT J MOL SCI</w:t>
      </w:r>
      <w:r>
        <w:rPr>
          <w:rFonts w:ascii="Times New Roman" w:hAnsi="Times New Roman" w:eastAsia="Times New Roman" w:cs="Times New Roman"/>
          <w:color w:val="auto"/>
          <w:sz w:val="20"/>
        </w:rPr>
        <w:t xml:space="preserve"> 2023, </w:t>
      </w:r>
      <w:r>
        <w:rPr>
          <w:rFonts w:ascii="Times New Roman" w:hAnsi="Times New Roman" w:eastAsia="Times New Roman" w:cs="Times New Roman"/>
          <w:b/>
          <w:color w:val="auto"/>
          <w:sz w:val="20"/>
        </w:rPr>
        <w:t>24</w:t>
      </w:r>
      <w:r>
        <w:rPr>
          <w:rFonts w:ascii="Times New Roman" w:hAnsi="Times New Roman" w:eastAsia="Times New Roman" w:cs="Times New Roman"/>
          <w:color w:val="auto"/>
          <w:sz w:val="20"/>
        </w:rPr>
        <w:t>(14).</w:t>
      </w:r>
      <w:bookmarkEnd w:id="29"/>
    </w:p>
    <w:p w14:paraId="7D4A7308">
      <w:pPr>
        <w:rPr>
          <w:rFonts w:ascii="Times New Roman" w:hAnsi="Times New Roman" w:cs="Times New Roman"/>
          <w:color w:val="auto"/>
          <w:sz w:val="24"/>
        </w:rPr>
      </w:pPr>
      <w:r>
        <w:rPr>
          <w:rFonts w:hint="eastAsia" w:ascii="Times New Roman" w:hAnsi="Times New Roman" w:eastAsia="宋体" w:cs="Times New Roman"/>
          <w:color w:val="auto"/>
          <w:sz w:val="20"/>
        </w:rPr>
        <w:t>33</w:t>
      </w:r>
      <w:r>
        <w:rPr>
          <w:rFonts w:ascii="Times New Roman" w:hAnsi="Times New Roman" w:eastAsia="Times New Roman" w:cs="Times New Roman"/>
          <w:color w:val="auto"/>
          <w:sz w:val="20"/>
        </w:rPr>
        <w:t>.</w:t>
      </w:r>
      <w:r>
        <w:rPr>
          <w:rFonts w:ascii="Times New Roman" w:hAnsi="Times New Roman" w:eastAsia="Times New Roman" w:cs="Times New Roman"/>
          <w:color w:val="auto"/>
          <w:sz w:val="20"/>
        </w:rPr>
        <w:tab/>
      </w:r>
      <w:bookmarkStart w:id="30" w:name="_nebFADBEEF3_69A9_4C71_9964_49CCB1345671"/>
      <w:r>
        <w:rPr>
          <w:rFonts w:ascii="Times New Roman" w:hAnsi="Times New Roman" w:eastAsia="Times New Roman" w:cs="Times New Roman"/>
          <w:color w:val="auto"/>
          <w:sz w:val="20"/>
        </w:rPr>
        <w:t xml:space="preserve">Capiotto F, Romano CG, Mirlisenna I, Mazza A, Cicinelli G, Lauritano C, Keller R, Dal Monte O: </w:t>
      </w:r>
      <w:r>
        <w:rPr>
          <w:rFonts w:ascii="Times New Roman" w:hAnsi="Times New Roman" w:eastAsia="Times New Roman" w:cs="Times New Roman"/>
          <w:b/>
          <w:color w:val="auto"/>
          <w:sz w:val="20"/>
        </w:rPr>
        <w:t>Autonomic and hedonic response to affective touch in autism spectrum disorder</w:t>
      </w:r>
      <w:r>
        <w:rPr>
          <w:rFonts w:ascii="Times New Roman" w:hAnsi="Times New Roman" w:eastAsia="Times New Roman" w:cs="Times New Roman"/>
          <w:color w:val="auto"/>
          <w:sz w:val="20"/>
        </w:rPr>
        <w:t xml:space="preserve">. </w:t>
      </w:r>
      <w:r>
        <w:rPr>
          <w:rFonts w:ascii="Times New Roman" w:hAnsi="Times New Roman" w:eastAsia="Times New Roman" w:cs="Times New Roman"/>
          <w:i/>
          <w:color w:val="auto"/>
          <w:sz w:val="20"/>
        </w:rPr>
        <w:t>AUTISM RES</w:t>
      </w:r>
      <w:r>
        <w:rPr>
          <w:rFonts w:ascii="Times New Roman" w:hAnsi="Times New Roman" w:eastAsia="Times New Roman" w:cs="Times New Roman"/>
          <w:color w:val="auto"/>
          <w:sz w:val="20"/>
        </w:rPr>
        <w:t xml:space="preserve"> 2024, </w:t>
      </w:r>
      <w:r>
        <w:rPr>
          <w:rFonts w:ascii="Times New Roman" w:hAnsi="Times New Roman" w:eastAsia="Times New Roman" w:cs="Times New Roman"/>
          <w:b/>
          <w:color w:val="auto"/>
          <w:sz w:val="20"/>
        </w:rPr>
        <w:t>17</w:t>
      </w:r>
      <w:r>
        <w:rPr>
          <w:rFonts w:ascii="Times New Roman" w:hAnsi="Times New Roman" w:eastAsia="Times New Roman" w:cs="Times New Roman"/>
          <w:color w:val="auto"/>
          <w:sz w:val="20"/>
        </w:rPr>
        <w:t>(5):923-933.</w:t>
      </w:r>
      <w:bookmarkEnd w:id="30"/>
    </w:p>
    <w:p w14:paraId="2C2BFD68">
      <w:pPr>
        <w:rPr>
          <w:rFonts w:ascii="Times New Roman" w:hAnsi="Times New Roman" w:cs="Times New Roman"/>
          <w:color w:val="auto"/>
          <w:sz w:val="24"/>
        </w:rPr>
      </w:pPr>
      <w:r>
        <w:rPr>
          <w:rFonts w:hint="eastAsia" w:ascii="Times New Roman" w:hAnsi="Times New Roman" w:eastAsia="宋体" w:cs="Times New Roman"/>
          <w:color w:val="auto"/>
          <w:sz w:val="20"/>
        </w:rPr>
        <w:t>34</w:t>
      </w:r>
      <w:r>
        <w:rPr>
          <w:rFonts w:ascii="Times New Roman" w:hAnsi="Times New Roman" w:eastAsia="Times New Roman" w:cs="Times New Roman"/>
          <w:color w:val="auto"/>
          <w:sz w:val="20"/>
        </w:rPr>
        <w:t>.</w:t>
      </w:r>
      <w:r>
        <w:rPr>
          <w:rFonts w:ascii="Times New Roman" w:hAnsi="Times New Roman" w:eastAsia="Times New Roman" w:cs="Times New Roman"/>
          <w:color w:val="auto"/>
          <w:sz w:val="20"/>
        </w:rPr>
        <w:tab/>
      </w:r>
      <w:bookmarkStart w:id="31" w:name="_nebA10FA1F7_92B8_42F1_AF6F_AC74FEE729A7"/>
      <w:r>
        <w:rPr>
          <w:rFonts w:ascii="Times New Roman" w:hAnsi="Times New Roman" w:eastAsia="Times New Roman" w:cs="Times New Roman"/>
          <w:color w:val="auto"/>
          <w:sz w:val="20"/>
        </w:rPr>
        <w:t>Cascio CJ, Foss-Feig JH, Heacock J, Schauder KB, Loring WA, Rogers BP, Pryweller JR, Newsom CR, Cockhren J, Cao A</w:t>
      </w:r>
      <w:r>
        <w:rPr>
          <w:rFonts w:ascii="Times New Roman" w:hAnsi="Times New Roman" w:eastAsia="Times New Roman" w:cs="Times New Roman"/>
          <w:i/>
          <w:color w:val="auto"/>
          <w:sz w:val="20"/>
        </w:rPr>
        <w:t xml:space="preserve"> et al</w:t>
      </w:r>
      <w:r>
        <w:rPr>
          <w:rFonts w:ascii="Times New Roman" w:hAnsi="Times New Roman" w:eastAsia="Times New Roman" w:cs="Times New Roman"/>
          <w:color w:val="auto"/>
          <w:sz w:val="20"/>
        </w:rPr>
        <w:t xml:space="preserve">: </w:t>
      </w:r>
      <w:r>
        <w:rPr>
          <w:rFonts w:ascii="Times New Roman" w:hAnsi="Times New Roman" w:eastAsia="Times New Roman" w:cs="Times New Roman"/>
          <w:b/>
          <w:color w:val="auto"/>
          <w:sz w:val="20"/>
        </w:rPr>
        <w:t>Affective neural response to restricted interests in autism spectrum disorders</w:t>
      </w:r>
      <w:r>
        <w:rPr>
          <w:rFonts w:ascii="Times New Roman" w:hAnsi="Times New Roman" w:eastAsia="Times New Roman" w:cs="Times New Roman"/>
          <w:color w:val="auto"/>
          <w:sz w:val="20"/>
        </w:rPr>
        <w:t xml:space="preserve">. </w:t>
      </w:r>
      <w:r>
        <w:rPr>
          <w:rFonts w:ascii="Times New Roman" w:hAnsi="Times New Roman" w:eastAsia="Times New Roman" w:cs="Times New Roman"/>
          <w:i/>
          <w:color w:val="auto"/>
          <w:sz w:val="20"/>
        </w:rPr>
        <w:t>J CHILD PSYCHOL PSYC</w:t>
      </w:r>
      <w:r>
        <w:rPr>
          <w:rFonts w:ascii="Times New Roman" w:hAnsi="Times New Roman" w:eastAsia="Times New Roman" w:cs="Times New Roman"/>
          <w:color w:val="auto"/>
          <w:sz w:val="20"/>
        </w:rPr>
        <w:t xml:space="preserve"> 2014, </w:t>
      </w:r>
      <w:r>
        <w:rPr>
          <w:rFonts w:ascii="Times New Roman" w:hAnsi="Times New Roman" w:eastAsia="Times New Roman" w:cs="Times New Roman"/>
          <w:b/>
          <w:color w:val="auto"/>
          <w:sz w:val="20"/>
        </w:rPr>
        <w:t>55</w:t>
      </w:r>
      <w:r>
        <w:rPr>
          <w:rFonts w:ascii="Times New Roman" w:hAnsi="Times New Roman" w:eastAsia="Times New Roman" w:cs="Times New Roman"/>
          <w:color w:val="auto"/>
          <w:sz w:val="20"/>
        </w:rPr>
        <w:t>(2):162-171.</w:t>
      </w:r>
      <w:bookmarkEnd w:id="31"/>
    </w:p>
    <w:p w14:paraId="2EA5503B">
      <w:pPr>
        <w:rPr>
          <w:rFonts w:ascii="Times New Roman" w:hAnsi="Times New Roman" w:cs="Times New Roman"/>
          <w:color w:val="auto"/>
          <w:sz w:val="24"/>
        </w:rPr>
      </w:pPr>
      <w:r>
        <w:rPr>
          <w:rFonts w:hint="eastAsia" w:ascii="Times New Roman" w:hAnsi="Times New Roman" w:eastAsia="宋体" w:cs="Times New Roman"/>
          <w:color w:val="auto"/>
          <w:sz w:val="20"/>
        </w:rPr>
        <w:t>35</w:t>
      </w:r>
      <w:r>
        <w:rPr>
          <w:rFonts w:ascii="Times New Roman" w:hAnsi="Times New Roman" w:eastAsia="Times New Roman" w:cs="Times New Roman"/>
          <w:color w:val="auto"/>
          <w:sz w:val="20"/>
        </w:rPr>
        <w:t>.</w:t>
      </w:r>
      <w:r>
        <w:rPr>
          <w:rFonts w:ascii="Times New Roman" w:hAnsi="Times New Roman" w:eastAsia="Times New Roman" w:cs="Times New Roman"/>
          <w:color w:val="auto"/>
          <w:sz w:val="20"/>
        </w:rPr>
        <w:tab/>
      </w:r>
      <w:bookmarkStart w:id="32" w:name="_nebDE725C47_9962_480C_8844_681589348B8F"/>
      <w:r>
        <w:rPr>
          <w:rFonts w:ascii="Times New Roman" w:hAnsi="Times New Roman" w:eastAsia="Times New Roman" w:cs="Times New Roman"/>
          <w:color w:val="auto"/>
          <w:sz w:val="20"/>
        </w:rPr>
        <w:t xml:space="preserve">Mostafa GA, Bjørklund G, Urbina MA, Al-Ayadhi LY: </w:t>
      </w:r>
      <w:r>
        <w:rPr>
          <w:rFonts w:ascii="Times New Roman" w:hAnsi="Times New Roman" w:eastAsia="Times New Roman" w:cs="Times New Roman"/>
          <w:b/>
          <w:color w:val="auto"/>
          <w:sz w:val="20"/>
        </w:rPr>
        <w:t>The levels of blood mercury and inflammatory-related neuropeptides in the serum  are correlated in children with autism spectrum disorder</w:t>
      </w:r>
      <w:r>
        <w:rPr>
          <w:rFonts w:ascii="Times New Roman" w:hAnsi="Times New Roman" w:eastAsia="Times New Roman" w:cs="Times New Roman"/>
          <w:color w:val="auto"/>
          <w:sz w:val="20"/>
        </w:rPr>
        <w:t xml:space="preserve">. </w:t>
      </w:r>
      <w:r>
        <w:rPr>
          <w:rFonts w:ascii="Times New Roman" w:hAnsi="Times New Roman" w:eastAsia="Times New Roman" w:cs="Times New Roman"/>
          <w:i/>
          <w:color w:val="auto"/>
          <w:sz w:val="20"/>
        </w:rPr>
        <w:t>METAB BRAIN DIS</w:t>
      </w:r>
      <w:r>
        <w:rPr>
          <w:rFonts w:ascii="Times New Roman" w:hAnsi="Times New Roman" w:eastAsia="Times New Roman" w:cs="Times New Roman"/>
          <w:color w:val="auto"/>
          <w:sz w:val="20"/>
        </w:rPr>
        <w:t xml:space="preserve"> 2016, </w:t>
      </w:r>
      <w:r>
        <w:rPr>
          <w:rFonts w:ascii="Times New Roman" w:hAnsi="Times New Roman" w:eastAsia="Times New Roman" w:cs="Times New Roman"/>
          <w:b/>
          <w:color w:val="auto"/>
          <w:sz w:val="20"/>
        </w:rPr>
        <w:t>31</w:t>
      </w:r>
      <w:r>
        <w:rPr>
          <w:rFonts w:ascii="Times New Roman" w:hAnsi="Times New Roman" w:eastAsia="Times New Roman" w:cs="Times New Roman"/>
          <w:color w:val="auto"/>
          <w:sz w:val="20"/>
        </w:rPr>
        <w:t>(3):593-599.</w:t>
      </w:r>
      <w:bookmarkEnd w:id="32"/>
    </w:p>
    <w:p w14:paraId="1703ABEC">
      <w:pPr>
        <w:rPr>
          <w:rFonts w:ascii="Times New Roman" w:hAnsi="Times New Roman" w:cs="Times New Roman"/>
          <w:color w:val="auto"/>
          <w:sz w:val="24"/>
        </w:rPr>
      </w:pPr>
      <w:r>
        <w:rPr>
          <w:rFonts w:hint="eastAsia" w:ascii="Times New Roman" w:hAnsi="Times New Roman" w:eastAsia="宋体" w:cs="Times New Roman"/>
          <w:color w:val="auto"/>
          <w:sz w:val="20"/>
        </w:rPr>
        <w:t>36</w:t>
      </w:r>
      <w:r>
        <w:rPr>
          <w:rFonts w:ascii="Times New Roman" w:hAnsi="Times New Roman" w:eastAsia="Times New Roman" w:cs="Times New Roman"/>
          <w:color w:val="auto"/>
          <w:sz w:val="20"/>
        </w:rPr>
        <w:t>.</w:t>
      </w:r>
      <w:r>
        <w:rPr>
          <w:rFonts w:ascii="Times New Roman" w:hAnsi="Times New Roman" w:eastAsia="Times New Roman" w:cs="Times New Roman"/>
          <w:color w:val="auto"/>
          <w:sz w:val="20"/>
        </w:rPr>
        <w:tab/>
      </w:r>
      <w:bookmarkStart w:id="33" w:name="_neb7810A02A_7A16_4E97_88C5_6C46123D9542"/>
      <w:r>
        <w:rPr>
          <w:rFonts w:ascii="Times New Roman" w:hAnsi="Times New Roman" w:eastAsia="Times New Roman" w:cs="Times New Roman"/>
          <w:color w:val="auto"/>
          <w:sz w:val="20"/>
        </w:rPr>
        <w:t xml:space="preserve">Harkins CM, Handen BL, Mazurek MO: </w:t>
      </w:r>
      <w:r>
        <w:rPr>
          <w:rFonts w:ascii="Times New Roman" w:hAnsi="Times New Roman" w:eastAsia="Times New Roman" w:cs="Times New Roman"/>
          <w:b/>
          <w:color w:val="auto"/>
          <w:sz w:val="20"/>
        </w:rPr>
        <w:t>The Impact of the Comorbidity of ASD and ADHD on Social Impairment</w:t>
      </w:r>
      <w:r>
        <w:rPr>
          <w:rFonts w:ascii="Times New Roman" w:hAnsi="Times New Roman" w:eastAsia="Times New Roman" w:cs="Times New Roman"/>
          <w:color w:val="auto"/>
          <w:sz w:val="20"/>
        </w:rPr>
        <w:t xml:space="preserve">. </w:t>
      </w:r>
      <w:r>
        <w:rPr>
          <w:rFonts w:ascii="Times New Roman" w:hAnsi="Times New Roman" w:eastAsia="Times New Roman" w:cs="Times New Roman"/>
          <w:i/>
          <w:color w:val="auto"/>
          <w:sz w:val="20"/>
        </w:rPr>
        <w:t>J AUTISM DEV DISORD</w:t>
      </w:r>
      <w:r>
        <w:rPr>
          <w:rFonts w:ascii="Times New Roman" w:hAnsi="Times New Roman" w:eastAsia="Times New Roman" w:cs="Times New Roman"/>
          <w:color w:val="auto"/>
          <w:sz w:val="20"/>
        </w:rPr>
        <w:t xml:space="preserve"> 2022, </w:t>
      </w:r>
      <w:r>
        <w:rPr>
          <w:rFonts w:ascii="Times New Roman" w:hAnsi="Times New Roman" w:eastAsia="Times New Roman" w:cs="Times New Roman"/>
          <w:b/>
          <w:color w:val="auto"/>
          <w:sz w:val="20"/>
        </w:rPr>
        <w:t>52</w:t>
      </w:r>
      <w:r>
        <w:rPr>
          <w:rFonts w:ascii="Times New Roman" w:hAnsi="Times New Roman" w:eastAsia="Times New Roman" w:cs="Times New Roman"/>
          <w:color w:val="auto"/>
          <w:sz w:val="20"/>
        </w:rPr>
        <w:t>(6):2512-2522.</w:t>
      </w:r>
      <w:bookmarkEnd w:id="33"/>
    </w:p>
    <w:p w14:paraId="02E730F7">
      <w:pPr>
        <w:rPr>
          <w:rFonts w:ascii="Times New Roman" w:hAnsi="Times New Roman" w:cs="Times New Roman"/>
          <w:color w:val="auto"/>
          <w:sz w:val="24"/>
        </w:rPr>
      </w:pPr>
      <w:r>
        <w:rPr>
          <w:rFonts w:hint="eastAsia" w:ascii="Times New Roman" w:hAnsi="Times New Roman" w:eastAsia="宋体" w:cs="Times New Roman"/>
          <w:color w:val="auto"/>
          <w:sz w:val="20"/>
        </w:rPr>
        <w:t>37</w:t>
      </w:r>
      <w:r>
        <w:rPr>
          <w:rFonts w:ascii="Times New Roman" w:hAnsi="Times New Roman" w:eastAsia="Times New Roman" w:cs="Times New Roman"/>
          <w:color w:val="auto"/>
          <w:sz w:val="20"/>
        </w:rPr>
        <w:t>.</w:t>
      </w:r>
      <w:r>
        <w:rPr>
          <w:rFonts w:ascii="Times New Roman" w:hAnsi="Times New Roman" w:eastAsia="Times New Roman" w:cs="Times New Roman"/>
          <w:color w:val="auto"/>
          <w:sz w:val="20"/>
        </w:rPr>
        <w:tab/>
      </w:r>
      <w:bookmarkStart w:id="34" w:name="_neb5354B47F_CDC3_4FDD_8FCF_0EB25A1716A0"/>
      <w:r>
        <w:rPr>
          <w:rFonts w:ascii="Times New Roman" w:hAnsi="Times New Roman" w:eastAsia="Times New Roman" w:cs="Times New Roman"/>
          <w:color w:val="auto"/>
          <w:sz w:val="20"/>
        </w:rPr>
        <w:t xml:space="preserve">Wu YT, Tsao CH, Huang HC, Yang TA, Li YJ: </w:t>
      </w:r>
      <w:r>
        <w:rPr>
          <w:rFonts w:ascii="Times New Roman" w:hAnsi="Times New Roman" w:eastAsia="Times New Roman" w:cs="Times New Roman"/>
          <w:b/>
          <w:color w:val="auto"/>
          <w:sz w:val="20"/>
        </w:rPr>
        <w:t>Relationship Between Motor Skills and Language Abilities in Children With Autism  Spectrum Disorder</w:t>
      </w:r>
      <w:r>
        <w:rPr>
          <w:rFonts w:ascii="Times New Roman" w:hAnsi="Times New Roman" w:eastAsia="Times New Roman" w:cs="Times New Roman"/>
          <w:color w:val="auto"/>
          <w:sz w:val="20"/>
        </w:rPr>
        <w:t xml:space="preserve">. </w:t>
      </w:r>
      <w:r>
        <w:rPr>
          <w:rFonts w:ascii="Times New Roman" w:hAnsi="Times New Roman" w:eastAsia="Times New Roman" w:cs="Times New Roman"/>
          <w:i/>
          <w:color w:val="auto"/>
          <w:sz w:val="20"/>
        </w:rPr>
        <w:t>PHYS THERAPY</w:t>
      </w:r>
      <w:r>
        <w:rPr>
          <w:rFonts w:ascii="Times New Roman" w:hAnsi="Times New Roman" w:eastAsia="Times New Roman" w:cs="Times New Roman"/>
          <w:color w:val="auto"/>
          <w:sz w:val="20"/>
        </w:rPr>
        <w:t xml:space="preserve"> 2021, </w:t>
      </w:r>
      <w:r>
        <w:rPr>
          <w:rFonts w:ascii="Times New Roman" w:hAnsi="Times New Roman" w:eastAsia="Times New Roman" w:cs="Times New Roman"/>
          <w:b/>
          <w:color w:val="auto"/>
          <w:sz w:val="20"/>
        </w:rPr>
        <w:t>101</w:t>
      </w:r>
      <w:r>
        <w:rPr>
          <w:rFonts w:ascii="Times New Roman" w:hAnsi="Times New Roman" w:eastAsia="Times New Roman" w:cs="Times New Roman"/>
          <w:color w:val="auto"/>
          <w:sz w:val="20"/>
        </w:rPr>
        <w:t>(5).</w:t>
      </w:r>
      <w:bookmarkEnd w:id="34"/>
    </w:p>
    <w:p w14:paraId="7A4E17FE">
      <w:pPr>
        <w:rPr>
          <w:rFonts w:ascii="Times New Roman" w:hAnsi="Times New Roman" w:cs="Times New Roman"/>
          <w:color w:val="auto"/>
          <w:sz w:val="24"/>
        </w:rPr>
      </w:pPr>
      <w:r>
        <w:rPr>
          <w:rFonts w:hint="eastAsia" w:ascii="Times New Roman" w:hAnsi="Times New Roman" w:eastAsia="宋体" w:cs="Times New Roman"/>
          <w:color w:val="auto"/>
          <w:sz w:val="20"/>
        </w:rPr>
        <w:t>38</w:t>
      </w:r>
      <w:r>
        <w:rPr>
          <w:rFonts w:ascii="Times New Roman" w:hAnsi="Times New Roman" w:eastAsia="Times New Roman" w:cs="Times New Roman"/>
          <w:color w:val="auto"/>
          <w:sz w:val="20"/>
        </w:rPr>
        <w:t>.</w:t>
      </w:r>
      <w:r>
        <w:rPr>
          <w:rFonts w:ascii="Times New Roman" w:hAnsi="Times New Roman" w:eastAsia="Times New Roman" w:cs="Times New Roman"/>
          <w:color w:val="auto"/>
          <w:sz w:val="20"/>
        </w:rPr>
        <w:tab/>
      </w:r>
      <w:bookmarkStart w:id="35" w:name="_nebB8DC363C_8ACD_471D_BCB6_C52CDFA65D85"/>
      <w:r>
        <w:rPr>
          <w:rFonts w:ascii="Times New Roman" w:hAnsi="Times New Roman" w:eastAsia="Times New Roman" w:cs="Times New Roman"/>
          <w:color w:val="auto"/>
          <w:sz w:val="20"/>
        </w:rPr>
        <w:t xml:space="preserve">Gupta S, Aggarwal S, Rashanravan B, Lee T: </w:t>
      </w:r>
      <w:r>
        <w:rPr>
          <w:rFonts w:ascii="Times New Roman" w:hAnsi="Times New Roman" w:eastAsia="Times New Roman" w:cs="Times New Roman"/>
          <w:b/>
          <w:color w:val="auto"/>
          <w:sz w:val="20"/>
        </w:rPr>
        <w:t>Th1- and Th2-like cytokines in CD4+ and CD8+ T cells in autism</w:t>
      </w:r>
      <w:r>
        <w:rPr>
          <w:rFonts w:ascii="Times New Roman" w:hAnsi="Times New Roman" w:eastAsia="Times New Roman" w:cs="Times New Roman"/>
          <w:color w:val="auto"/>
          <w:sz w:val="20"/>
        </w:rPr>
        <w:t xml:space="preserve">. </w:t>
      </w:r>
      <w:r>
        <w:rPr>
          <w:rFonts w:ascii="Times New Roman" w:hAnsi="Times New Roman" w:eastAsia="Times New Roman" w:cs="Times New Roman"/>
          <w:i/>
          <w:color w:val="auto"/>
          <w:sz w:val="20"/>
        </w:rPr>
        <w:t>J NEUROIMMUNOL</w:t>
      </w:r>
      <w:r>
        <w:rPr>
          <w:rFonts w:ascii="Times New Roman" w:hAnsi="Times New Roman" w:eastAsia="Times New Roman" w:cs="Times New Roman"/>
          <w:color w:val="auto"/>
          <w:sz w:val="20"/>
        </w:rPr>
        <w:t xml:space="preserve"> 1998, </w:t>
      </w:r>
      <w:r>
        <w:rPr>
          <w:rFonts w:ascii="Times New Roman" w:hAnsi="Times New Roman" w:eastAsia="Times New Roman" w:cs="Times New Roman"/>
          <w:b/>
          <w:color w:val="auto"/>
          <w:sz w:val="20"/>
        </w:rPr>
        <w:t>85</w:t>
      </w:r>
      <w:r>
        <w:rPr>
          <w:rFonts w:ascii="Times New Roman" w:hAnsi="Times New Roman" w:eastAsia="Times New Roman" w:cs="Times New Roman"/>
          <w:color w:val="auto"/>
          <w:sz w:val="20"/>
        </w:rPr>
        <w:t>(1):106-109.</w:t>
      </w:r>
      <w:bookmarkEnd w:id="35"/>
    </w:p>
    <w:p w14:paraId="20FB682F">
      <w:pPr>
        <w:rPr>
          <w:rFonts w:ascii="Times New Roman" w:hAnsi="Times New Roman" w:cs="Times New Roman"/>
          <w:color w:val="auto"/>
          <w:sz w:val="24"/>
        </w:rPr>
      </w:pPr>
      <w:r>
        <w:rPr>
          <w:rFonts w:hint="eastAsia" w:ascii="Times New Roman" w:hAnsi="Times New Roman" w:eastAsia="宋体" w:cs="Times New Roman"/>
          <w:color w:val="auto"/>
          <w:sz w:val="20"/>
        </w:rPr>
        <w:t>39</w:t>
      </w:r>
      <w:r>
        <w:rPr>
          <w:rFonts w:ascii="Times New Roman" w:hAnsi="Times New Roman" w:eastAsia="Times New Roman" w:cs="Times New Roman"/>
          <w:color w:val="auto"/>
          <w:sz w:val="20"/>
        </w:rPr>
        <w:t>.</w:t>
      </w:r>
      <w:r>
        <w:rPr>
          <w:rFonts w:ascii="Times New Roman" w:hAnsi="Times New Roman" w:eastAsia="Times New Roman" w:cs="Times New Roman"/>
          <w:color w:val="auto"/>
          <w:sz w:val="20"/>
        </w:rPr>
        <w:tab/>
      </w:r>
      <w:bookmarkStart w:id="36" w:name="_nebA2F8E4E5_4DFC_41FD_A886_F0D0D9B71EF8"/>
      <w:r>
        <w:rPr>
          <w:rFonts w:ascii="Times New Roman" w:hAnsi="Times New Roman" w:eastAsia="Times New Roman" w:cs="Times New Roman"/>
          <w:color w:val="auto"/>
          <w:sz w:val="20"/>
        </w:rPr>
        <w:t xml:space="preserve">Singh S, Yazdani U, Gadad B, Zaman S, Hynan LS, Roatch N, Schutte C, Marti CN, Hewitson L, German DC: </w:t>
      </w:r>
      <w:r>
        <w:rPr>
          <w:rFonts w:ascii="Times New Roman" w:hAnsi="Times New Roman" w:eastAsia="Times New Roman" w:cs="Times New Roman"/>
          <w:b/>
          <w:color w:val="auto"/>
          <w:sz w:val="20"/>
        </w:rPr>
        <w:t>Serum thyroid-stimulating hormone and interleukin-8 levels in boys with autism  spectrum disorder</w:t>
      </w:r>
      <w:r>
        <w:rPr>
          <w:rFonts w:ascii="Times New Roman" w:hAnsi="Times New Roman" w:eastAsia="Times New Roman" w:cs="Times New Roman"/>
          <w:color w:val="auto"/>
          <w:sz w:val="20"/>
        </w:rPr>
        <w:t xml:space="preserve">. </w:t>
      </w:r>
      <w:r>
        <w:rPr>
          <w:rFonts w:ascii="Times New Roman" w:hAnsi="Times New Roman" w:eastAsia="Times New Roman" w:cs="Times New Roman"/>
          <w:i/>
          <w:color w:val="auto"/>
          <w:sz w:val="20"/>
        </w:rPr>
        <w:t>J NEUROINFLAMM</w:t>
      </w:r>
      <w:r>
        <w:rPr>
          <w:rFonts w:ascii="Times New Roman" w:hAnsi="Times New Roman" w:eastAsia="Times New Roman" w:cs="Times New Roman"/>
          <w:color w:val="auto"/>
          <w:sz w:val="20"/>
        </w:rPr>
        <w:t xml:space="preserve"> 2017, </w:t>
      </w:r>
      <w:r>
        <w:rPr>
          <w:rFonts w:ascii="Times New Roman" w:hAnsi="Times New Roman" w:eastAsia="Times New Roman" w:cs="Times New Roman"/>
          <w:b/>
          <w:color w:val="auto"/>
          <w:sz w:val="20"/>
        </w:rPr>
        <w:t>14</w:t>
      </w:r>
      <w:r>
        <w:rPr>
          <w:rFonts w:ascii="Times New Roman" w:hAnsi="Times New Roman" w:eastAsia="Times New Roman" w:cs="Times New Roman"/>
          <w:color w:val="auto"/>
          <w:sz w:val="20"/>
        </w:rPr>
        <w:t>(1):113.</w:t>
      </w:r>
      <w:bookmarkEnd w:id="36"/>
    </w:p>
    <w:p w14:paraId="67D895AF">
      <w:pPr>
        <w:rPr>
          <w:rFonts w:ascii="Times New Roman" w:hAnsi="Times New Roman" w:cs="Times New Roman"/>
          <w:color w:val="auto"/>
          <w:sz w:val="24"/>
        </w:rPr>
      </w:pPr>
      <w:r>
        <w:rPr>
          <w:rFonts w:hint="eastAsia" w:ascii="Times New Roman" w:hAnsi="Times New Roman" w:eastAsia="宋体" w:cs="Times New Roman"/>
          <w:color w:val="auto"/>
          <w:sz w:val="20"/>
        </w:rPr>
        <w:t>40</w:t>
      </w:r>
      <w:r>
        <w:rPr>
          <w:rFonts w:ascii="Times New Roman" w:hAnsi="Times New Roman" w:eastAsia="Times New Roman" w:cs="Times New Roman"/>
          <w:color w:val="auto"/>
          <w:sz w:val="20"/>
        </w:rPr>
        <w:t>.</w:t>
      </w:r>
      <w:r>
        <w:rPr>
          <w:rFonts w:ascii="Times New Roman" w:hAnsi="Times New Roman" w:eastAsia="Times New Roman" w:cs="Times New Roman"/>
          <w:color w:val="auto"/>
          <w:sz w:val="20"/>
        </w:rPr>
        <w:tab/>
      </w:r>
      <w:bookmarkStart w:id="37" w:name="_neb25CD7703_68CC_4536_AF60_A7D61FA4FA25"/>
      <w:r>
        <w:rPr>
          <w:rFonts w:ascii="Times New Roman" w:hAnsi="Times New Roman" w:eastAsia="Times New Roman" w:cs="Times New Roman"/>
          <w:color w:val="auto"/>
          <w:sz w:val="20"/>
        </w:rPr>
        <w:t xml:space="preserve">Shen Y, Li Y, Shi L, Liu M, Wu R, Xia K, Zhang F, Ou J, Zhao J: </w:t>
      </w:r>
      <w:r>
        <w:rPr>
          <w:rFonts w:ascii="Times New Roman" w:hAnsi="Times New Roman" w:eastAsia="Times New Roman" w:cs="Times New Roman"/>
          <w:b/>
          <w:color w:val="auto"/>
          <w:sz w:val="20"/>
        </w:rPr>
        <w:t>Autism spectrum disorder and severe social impairment associated with elevated  plasma interleukin-8</w:t>
      </w:r>
      <w:r>
        <w:rPr>
          <w:rFonts w:ascii="Times New Roman" w:hAnsi="Times New Roman" w:eastAsia="Times New Roman" w:cs="Times New Roman"/>
          <w:color w:val="auto"/>
          <w:sz w:val="20"/>
        </w:rPr>
        <w:t xml:space="preserve">. </w:t>
      </w:r>
      <w:r>
        <w:rPr>
          <w:rFonts w:ascii="Times New Roman" w:hAnsi="Times New Roman" w:eastAsia="Times New Roman" w:cs="Times New Roman"/>
          <w:i/>
          <w:color w:val="auto"/>
          <w:sz w:val="20"/>
        </w:rPr>
        <w:t>PEDIATR RES</w:t>
      </w:r>
      <w:r>
        <w:rPr>
          <w:rFonts w:ascii="Times New Roman" w:hAnsi="Times New Roman" w:eastAsia="Times New Roman" w:cs="Times New Roman"/>
          <w:color w:val="auto"/>
          <w:sz w:val="20"/>
        </w:rPr>
        <w:t xml:space="preserve"> 2021, </w:t>
      </w:r>
      <w:r>
        <w:rPr>
          <w:rFonts w:ascii="Times New Roman" w:hAnsi="Times New Roman" w:eastAsia="Times New Roman" w:cs="Times New Roman"/>
          <w:b/>
          <w:color w:val="auto"/>
          <w:sz w:val="20"/>
        </w:rPr>
        <w:t>89</w:t>
      </w:r>
      <w:r>
        <w:rPr>
          <w:rFonts w:ascii="Times New Roman" w:hAnsi="Times New Roman" w:eastAsia="Times New Roman" w:cs="Times New Roman"/>
          <w:color w:val="auto"/>
          <w:sz w:val="20"/>
        </w:rPr>
        <w:t>(3):591-597.</w:t>
      </w:r>
      <w:bookmarkEnd w:id="37"/>
    </w:p>
    <w:p w14:paraId="0832B80C">
      <w:pPr>
        <w:spacing w:beforeLines="0" w:afterLines="0"/>
        <w:ind w:left="0" w:right="60"/>
        <w:jc w:val="left"/>
        <w:rPr>
          <w:rFonts w:hint="default" w:ascii="Times New Roman" w:hAnsi="Times New Roman" w:eastAsia="Times New Roman"/>
          <w:color w:val="000000"/>
          <w:sz w:val="20"/>
          <w:szCs w:val="20"/>
          <w:lang w:val="zh-CN"/>
        </w:rPr>
      </w:pPr>
      <w:r>
        <w:rPr>
          <w:rFonts w:hint="eastAsia" w:ascii="Times New Roman" w:hAnsi="Times New Roman" w:cs="Times New Roman"/>
          <w:color w:val="auto"/>
          <w:sz w:val="20"/>
          <w:szCs w:val="20"/>
          <w:lang w:val="en-US" w:eastAsia="zh-CN"/>
        </w:rPr>
        <w:t>41.</w:t>
      </w:r>
      <w:r>
        <w:rPr>
          <w:rFonts w:ascii="Times New Roman" w:hAnsi="Times New Roman" w:eastAsia="Times New Roman" w:cs="Times New Roman"/>
          <w:color w:val="auto"/>
          <w:sz w:val="20"/>
        </w:rPr>
        <w:tab/>
      </w:r>
      <w:r>
        <w:rPr>
          <w:rFonts w:hint="default" w:ascii="Times New Roman" w:hAnsi="Times New Roman" w:eastAsia="Times New Roman"/>
          <w:color w:val="000000"/>
          <w:sz w:val="20"/>
          <w:szCs w:val="20"/>
          <w:lang w:val="zh-CN"/>
        </w:rPr>
        <w:t xml:space="preserve">Lee GR: </w:t>
      </w:r>
      <w:r>
        <w:rPr>
          <w:rFonts w:hint="default" w:ascii="Times New Roman" w:hAnsi="Times New Roman" w:eastAsia="Times New Roman"/>
          <w:b/>
          <w:color w:val="000000"/>
          <w:sz w:val="20"/>
          <w:szCs w:val="20"/>
          <w:lang w:val="zh-CN"/>
        </w:rPr>
        <w:t>The Balance of Th17 versus Treg Cells in Autoimmunity</w:t>
      </w:r>
      <w:r>
        <w:rPr>
          <w:rFonts w:hint="default" w:ascii="Times New Roman" w:hAnsi="Times New Roman" w:eastAsia="Times New Roman"/>
          <w:color w:val="000000"/>
          <w:sz w:val="20"/>
          <w:szCs w:val="20"/>
          <w:lang w:val="zh-CN"/>
        </w:rPr>
        <w:t xml:space="preserve">. </w:t>
      </w:r>
      <w:r>
        <w:rPr>
          <w:rFonts w:hint="default" w:ascii="Times New Roman" w:hAnsi="Times New Roman" w:eastAsia="Times New Roman"/>
          <w:i/>
          <w:color w:val="000000"/>
          <w:sz w:val="20"/>
          <w:szCs w:val="20"/>
          <w:lang w:val="zh-CN"/>
        </w:rPr>
        <w:t>INT J MOL SCI</w:t>
      </w:r>
      <w:r>
        <w:rPr>
          <w:rFonts w:hint="default" w:ascii="Times New Roman" w:hAnsi="Times New Roman" w:eastAsia="Times New Roman"/>
          <w:color w:val="000000"/>
          <w:sz w:val="20"/>
          <w:szCs w:val="20"/>
          <w:lang w:val="zh-CN"/>
        </w:rPr>
        <w:t xml:space="preserve"> 2018, </w:t>
      </w:r>
      <w:r>
        <w:rPr>
          <w:rFonts w:hint="default" w:ascii="Times New Roman" w:hAnsi="Times New Roman" w:eastAsia="Times New Roman"/>
          <w:b/>
          <w:color w:val="000000"/>
          <w:sz w:val="20"/>
          <w:szCs w:val="20"/>
          <w:lang w:val="zh-CN"/>
        </w:rPr>
        <w:t>19</w:t>
      </w:r>
      <w:r>
        <w:rPr>
          <w:rFonts w:hint="default" w:ascii="Times New Roman" w:hAnsi="Times New Roman" w:eastAsia="Times New Roman"/>
          <w:color w:val="000000"/>
          <w:sz w:val="20"/>
          <w:szCs w:val="20"/>
          <w:lang w:val="zh-CN"/>
        </w:rPr>
        <w:t>(3).</w:t>
      </w:r>
    </w:p>
    <w:p w14:paraId="30D2DBF1">
      <w:pPr>
        <w:spacing w:beforeLines="0" w:afterLines="0"/>
        <w:ind w:left="0" w:right="60"/>
        <w:jc w:val="left"/>
        <w:rPr>
          <w:rFonts w:hint="default" w:ascii="Times New Roman" w:hAnsi="Times New Roman" w:eastAsia="Times New Roman"/>
          <w:color w:val="000000"/>
          <w:sz w:val="20"/>
          <w:szCs w:val="20"/>
          <w:lang w:val="zh-CN"/>
        </w:rPr>
      </w:pPr>
      <w:r>
        <w:rPr>
          <w:rFonts w:hint="eastAsia" w:ascii="Times New Roman" w:hAnsi="Times New Roman" w:cs="Times New Roman"/>
          <w:color w:val="auto"/>
          <w:sz w:val="20"/>
          <w:szCs w:val="20"/>
          <w:lang w:val="en-US" w:eastAsia="zh-CN"/>
        </w:rPr>
        <w:t xml:space="preserve">42.  </w:t>
      </w:r>
      <w:r>
        <w:rPr>
          <w:rFonts w:hint="default" w:ascii="Times New Roman" w:hAnsi="Times New Roman" w:eastAsia="Times New Roman"/>
          <w:color w:val="000000"/>
          <w:sz w:val="21"/>
          <w:szCs w:val="24"/>
          <w:lang w:val="zh-CN"/>
        </w:rPr>
        <w:t xml:space="preserve">Hughes HK, R JM, Ashwood P: </w:t>
      </w:r>
      <w:r>
        <w:rPr>
          <w:rFonts w:hint="default" w:ascii="Times New Roman" w:hAnsi="Times New Roman" w:eastAsia="Times New Roman"/>
          <w:b/>
          <w:color w:val="000000"/>
          <w:sz w:val="21"/>
          <w:szCs w:val="24"/>
          <w:lang w:val="zh-CN"/>
        </w:rPr>
        <w:t>Innate immune dysfunction and neuroinflammation in autism spectrum disorder  (ASD)</w:t>
      </w:r>
      <w:r>
        <w:rPr>
          <w:rFonts w:hint="default" w:ascii="Times New Roman" w:hAnsi="Times New Roman" w:eastAsia="Times New Roman"/>
          <w:color w:val="000000"/>
          <w:sz w:val="21"/>
          <w:szCs w:val="24"/>
          <w:lang w:val="zh-CN"/>
        </w:rPr>
        <w:t xml:space="preserve">. </w:t>
      </w:r>
      <w:r>
        <w:rPr>
          <w:rFonts w:hint="default" w:ascii="Times New Roman" w:hAnsi="Times New Roman" w:eastAsia="Times New Roman"/>
          <w:i/>
          <w:color w:val="000000"/>
          <w:sz w:val="21"/>
          <w:szCs w:val="24"/>
          <w:lang w:val="zh-CN"/>
        </w:rPr>
        <w:t>BRAIN BEHAV IMMUN</w:t>
      </w:r>
      <w:r>
        <w:rPr>
          <w:rFonts w:hint="default" w:ascii="Times New Roman" w:hAnsi="Times New Roman" w:eastAsia="Times New Roman"/>
          <w:color w:val="000000"/>
          <w:sz w:val="21"/>
          <w:szCs w:val="24"/>
          <w:lang w:val="zh-CN"/>
        </w:rPr>
        <w:t xml:space="preserve"> 2023, </w:t>
      </w:r>
      <w:r>
        <w:rPr>
          <w:rFonts w:hint="default" w:ascii="Times New Roman" w:hAnsi="Times New Roman" w:eastAsia="Times New Roman"/>
          <w:b/>
          <w:color w:val="000000"/>
          <w:sz w:val="21"/>
          <w:szCs w:val="24"/>
          <w:lang w:val="zh-CN"/>
        </w:rPr>
        <w:t>108</w:t>
      </w:r>
      <w:r>
        <w:rPr>
          <w:rFonts w:hint="default" w:ascii="Times New Roman" w:hAnsi="Times New Roman" w:eastAsia="Times New Roman"/>
          <w:color w:val="000000"/>
          <w:sz w:val="21"/>
          <w:szCs w:val="24"/>
          <w:lang w:val="zh-CN"/>
        </w:rPr>
        <w:t>:245-254.</w:t>
      </w:r>
    </w:p>
    <w:p w14:paraId="5D8C061F">
      <w:pPr>
        <w:numPr>
          <w:ilvl w:val="0"/>
          <w:numId w:val="1"/>
        </w:numPr>
        <w:spacing w:beforeLines="0" w:afterLines="0" w:line="240" w:lineRule="auto"/>
        <w:ind w:right="60" w:firstLine="0" w:firstLineChars="0"/>
        <w:jc w:val="left"/>
        <w:rPr>
          <w:rFonts w:hint="default" w:ascii="Times New Roman" w:hAnsi="Times New Roman" w:cs="Times New Roman"/>
          <w:color w:val="auto"/>
          <w:sz w:val="20"/>
          <w:szCs w:val="20"/>
          <w:lang w:val="en-US" w:eastAsia="zh-CN"/>
        </w:rPr>
      </w:pPr>
      <w:r>
        <w:rPr>
          <w:rFonts w:hint="default" w:ascii="Times New Roman" w:hAnsi="Times New Roman" w:eastAsia="Times New Roman"/>
          <w:color w:val="000000"/>
          <w:sz w:val="20"/>
          <w:szCs w:val="20"/>
          <w:lang w:val="zh-CN"/>
        </w:rPr>
        <w:t xml:space="preserve">Yousefi B, Kokhaei P, Mehranfar F, Bahar A, Abdolshahi A, Emadi A, Eslami M: </w:t>
      </w:r>
      <w:r>
        <w:rPr>
          <w:rFonts w:hint="default" w:ascii="Times New Roman" w:hAnsi="Times New Roman" w:eastAsia="Times New Roman"/>
          <w:b/>
          <w:color w:val="000000"/>
          <w:sz w:val="20"/>
          <w:szCs w:val="20"/>
          <w:lang w:val="zh-CN"/>
        </w:rPr>
        <w:t>The role of the host microbiome in autism and neurodegenerative disorders and  effect of epigenetic procedures in the brain functions</w:t>
      </w:r>
      <w:r>
        <w:rPr>
          <w:rFonts w:hint="default" w:ascii="Times New Roman" w:hAnsi="Times New Roman" w:eastAsia="Times New Roman"/>
          <w:color w:val="000000"/>
          <w:sz w:val="20"/>
          <w:szCs w:val="20"/>
          <w:lang w:val="zh-CN"/>
        </w:rPr>
        <w:t xml:space="preserve">. </w:t>
      </w:r>
      <w:r>
        <w:rPr>
          <w:rFonts w:hint="default" w:ascii="Times New Roman" w:hAnsi="Times New Roman" w:eastAsia="Times New Roman"/>
          <w:i/>
          <w:color w:val="000000"/>
          <w:sz w:val="20"/>
          <w:szCs w:val="20"/>
          <w:lang w:val="zh-CN"/>
        </w:rPr>
        <w:t>NEUROSCI BIOBEHAV R</w:t>
      </w:r>
      <w:r>
        <w:rPr>
          <w:rFonts w:hint="default" w:ascii="Times New Roman" w:hAnsi="Times New Roman" w:eastAsia="Times New Roman"/>
          <w:color w:val="000000"/>
          <w:sz w:val="20"/>
          <w:szCs w:val="20"/>
          <w:lang w:val="zh-CN"/>
        </w:rPr>
        <w:t xml:space="preserve"> 2022, </w:t>
      </w:r>
      <w:r>
        <w:rPr>
          <w:rFonts w:hint="default" w:ascii="Times New Roman" w:hAnsi="Times New Roman" w:eastAsia="Times New Roman"/>
          <w:b/>
          <w:color w:val="000000"/>
          <w:sz w:val="20"/>
          <w:szCs w:val="20"/>
          <w:lang w:val="zh-CN"/>
        </w:rPr>
        <w:t>132</w:t>
      </w:r>
      <w:r>
        <w:rPr>
          <w:rFonts w:hint="default" w:ascii="Times New Roman" w:hAnsi="Times New Roman" w:eastAsia="Times New Roman"/>
          <w:color w:val="000000"/>
          <w:sz w:val="20"/>
          <w:szCs w:val="20"/>
          <w:lang w:val="zh-CN"/>
        </w:rPr>
        <w:t>:998-1009.</w:t>
      </w:r>
    </w:p>
    <w:sectPr>
      <w:footerReference r:id="rId3" w:type="default"/>
      <w:pgSz w:w="11906" w:h="16838"/>
      <w:pgMar w:top="1440" w:right="1349" w:bottom="1440" w:left="1349" w:header="851" w:footer="992" w:gutter="0"/>
      <w:lnNumType w:countBy="1" w:restart="continuou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97BD32">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F86C16">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1F86C16">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4BA38B"/>
    <w:multiLevelType w:val="singleLevel"/>
    <w:tmpl w:val="1C4BA38B"/>
    <w:lvl w:ilvl="0" w:tentative="0">
      <w:start w:val="43"/>
      <w:numFmt w:val="decimal"/>
      <w:suff w:val="space"/>
      <w:lvlText w:val="%1."/>
      <w:lvlJc w:val="left"/>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smile">
    <w15:presenceInfo w15:providerId="WPS Office" w15:userId="8835123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NhN2Y4N2VjZTRiNjAwYjJjMzU5Y2JiMzA4OTc4ZDAifQ=="/>
    <w:docVar w:name="NE.Ref{080A8ED3-BF16-4549-8F81-72B2FE0E4363}" w:val=" ADDIN NE.Ref.{080A8ED3-BF16-4549-8F81-72B2FE0E4363}&lt;Citation&gt;&lt;Group&gt;&lt;References&gt;&lt;Item&gt;&lt;ID&gt;6235&lt;/ID&gt;&lt;UID&gt;{3E140C09-96FC-4FB1-80DC-0CAC2D969390}&lt;/UID&gt;&lt;Title&gt;Dysregulation of Th1, Th2, Th17, and T regulatory cell-related transcription  factor signaling in children with autism&lt;/Title&gt;&lt;Template&gt;Journal Article&lt;/Template&gt;&lt;Star&gt;0&lt;/Star&gt;&lt;Tag&gt;0&lt;/Tag&gt;&lt;Author&gt;Ahmad, S F; Zoheir, KMA; Ansari, M A; Nadeem, A; Bakheet, S A; Al-Ayadhi, L Y; Alzahrani, M Z; Al-Shabanah, O A; Al-Harbi, M M; Attia, S M&lt;/Author&gt;&lt;Year&gt;2017&lt;/Year&gt;&lt;Details&gt;&lt;_accession_num&gt;27344332&lt;/_accession_num&gt;&lt;_author_adr&gt;Department of Pharmacology and Toxicology, College of Pharmacy, King Saud  University, Riyadh, Kingdom of Saudi Arabia. s_fayazahmad@yahoo.com.; Department of Pharmacology and Toxicology, College of Pharmacy, King Saud  University, Riyadh, Kingdom of Saudi Arabia.; Department of Cell Biology, National Research Centre, Cairo, Egypt.; Department of Pharmacology and Toxicology, College of Pharmacy, King Saud  University, Riyadh, Kingdom of Saudi Arabia.; Department of Pharmacology and Toxicology, College of Pharmacy, King Saud  University, Riyadh, Kingdom of Saudi Arabia.; Department of Pharmacology and Toxicology, College of Pharmacy, King Saud  University, Riyadh, Kingdom of Saudi Arabia.; Autism Research and Treatment Center, AL-Amodi Autism Research Chair, Department  of Physiology, College of Medicine, King Saud University, Riyadh, Kingdom of  Saudi Arabia.; Department of Pharmacology and Toxicology, College of Pharmacy, King Saud  University, Riyadh, Kingdom of Saudi Arabia.; Department of Pharmacology and Toxicology, College of Pharmacy, King Saud  University, Riyadh, Kingdom of Saudi Arabia.; Department of Pharmacology and Toxicology, College of Pharmacy, King Saud  University, Riyadh, Kingdom of Saudi Arabia.; Department of Pharmacology and Toxicology, College of Pharmacy, King Saud  University, Riyadh, Kingdom of Saudi Arabia.; Department of Pharmacology and Toxicology, College of Pharmacy, Al-Azhar  University, Cairo, Egypt.&lt;/_author_adr&gt;&lt;_date_display&gt;2017 Aug&lt;/_date_display&gt;&lt;_date&gt;2017-08-01&lt;/_date&gt;&lt;_doi&gt;10.1007/s12035-016-9977-0&lt;/_doi&gt;&lt;_isbn&gt;1559-1182 (Electronic); 0893-7648 (Linking)&lt;/_isbn&gt;&lt;_issue&gt;6&lt;/_issue&gt;&lt;_journal&gt;Mol Neurobiol&lt;/_journal&gt;&lt;_keywords&gt;Autism; CD4 T cells; Interleukin; Peripheral blood mononuclear cells; Transcription factor&lt;/_keywords&gt;&lt;_language&gt;eng&lt;/_language&gt;&lt;_pages&gt;4390-4400&lt;/_pages&gt;&lt;_subject_headings&gt;Autistic Disorder/genetics/*immunology; Child; Child, Preschool; Flow Cytometry; Humans; RNA, Messenger/genetics/metabolism; *Signal Transduction; T-Lymphocytes, Regulatory/*immunology; Th1 Cells/*immunology; Th17 Cells/*immunology; Th2 Cells/*immunology; Transcription Factors/genetics/*metabolism&lt;/_subject_headings&gt;&lt;_tertiary_title&gt;Molecular neurobiology&lt;/_tertiary_title&gt;&lt;_type_work&gt;Journal Article; Research Support, Non-U.S. Gov&amp;apos;t&lt;/_type_work&gt;&lt;_url&gt;http://www.ncbi.nlm.nih.gov/entrez/query.fcgi?cmd=Retrieve&amp;amp;db=pubmed&amp;amp;dopt=Abstract&amp;amp;list_uids=27344332&amp;amp;query_hl=1&lt;/_url&gt;&lt;_volume&gt;54&lt;/_volume&gt;&lt;_created&gt;65460957&lt;/_created&gt;&lt;_modified&gt;65460957&lt;/_modified&gt;&lt;_impact_factor&gt;   5.100&lt;/_impact_factor&gt;&lt;_social_category&gt;神经科学(2)&lt;/_social_category&gt;&lt;_collection_scope&gt;SCIE&lt;/_collection_scope&gt;&lt;/Details&gt;&lt;Extra&gt;&lt;DBUID&gt;{F96A950B-833F-4880-A151-76DA2D6A2879}&lt;/DBUID&gt;&lt;/Extra&gt;&lt;/Item&gt;&lt;/References&gt;&lt;/Group&gt;&lt;/Citation&gt;_x000a_"/>
    <w:docVar w:name="NE.Ref{45E39CFF-0A04-4E66-BC23-10C49E853187}" w:val=" ADDIN NE.Ref.{45E39CFF-0A04-4E66-BC23-10C49E853187}&lt;Citation&gt;&lt;Group&gt;&lt;References&gt;&lt;Item&gt;&lt;ID&gt;6241&lt;/ID&gt;&lt;UID&gt;{6D406717-B77F-4D5F-B404-9CF7DAA62986}&lt;/UID&gt;&lt;Title&gt;Stem Cell Therapy in the Treatment of Patients With Autism Spectrum Disorder: a  Systematic Review and Meta-analysis&lt;/Title&gt;&lt;Template&gt;Journal Article&lt;/Template&gt;&lt;Star&gt;0&lt;/Star&gt;&lt;Tag&gt;0&lt;/Tag&gt;&lt;Author&gt;Villarreal-Martínez, L; González-Martínez, G; Sáenz-Flores, M; Bautista-Gómez, A J; González-Martínez, A; Ortiz-Castillo, M; Robles-Sáenz, D A; Garza-López, E&lt;/Author&gt;&lt;Year&gt;2022&lt;/Year&gt;&lt;Details&gt;&lt;_accession_num&gt;34515938&lt;/_accession_num&gt;&lt;_author_adr&gt;Hematology Service, Hospital UniversitariöDr. José Eleuterio González¨,  Universidad Autónoma de Nuevo León, Nuevo León, Monterrey, México.  drlaura.villarrealmtz@gmail.com.; Hematology Service, Hospital UniversitariöDr. José Eleuterio González¨,  Universidad Autónoma de Nuevo León, Nuevo León, Monterrey, México.; Plataforma INVEST Medicina UANL-KER Unit Mayo Clinic (KER Unit Mexico),  Universidad Autónoma de Nuevo León, Monterrey, 64460, México.; Hematology Service, Hospital UniversitariöDr. José Eleuterio González¨,  Universidad Autónoma de Nuevo León, Nuevo León, Monterrey, México.; Hematology Service, Hospital UniversitariöDr. José Eleuterio González¨,  Universidad Autónoma de Nuevo León, Nuevo León, Monterrey, México.; Hematology Service, Hospital UniversitariöDr. José Eleuterio González¨,  Universidad Autónoma de Nuevo León, Nuevo León, Monterrey, México.; Hematology Service, Hospital UniversitariöDr. José Eleuterio González¨,  Universidad Autónoma de Nuevo León, Nuevo León, Monterrey, México.; Plataforma INVEST Medicina UANL-KER Unit Mayo Clinic (KER Unit Mexico),  Universidad Autónoma de Nuevo León, Monterrey, 64460, México.&lt;/_author_adr&gt;&lt;_date_display&gt;2022 Jan&lt;/_date_display&gt;&lt;_date&gt;2022-01-01&lt;/_date&gt;&lt;_doi&gt;10.1007/s12015-021-10257-0&lt;/_doi&gt;&lt;_isbn&gt;2629-3277 (Electronic); 2629-3277 (Linking)&lt;/_isbn&gt;&lt;_issue&gt;1&lt;/_issue&gt;&lt;_journal&gt;Stem Cell Rev Rep&lt;/_journal&gt;&lt;_keywords&gt;Autism; Autistic disorder; Meta-analysis; Stem cell transplantation; Stem cells; Systematic review&lt;/_keywords&gt;&lt;_language&gt;eng&lt;/_language&gt;&lt;_ori_publication&gt;© 2021. The Author(s), under exclusive licence to Springer Science+Business _x000d__x000a_      Media, LLC, part of Springer Nature.&lt;/_ori_publication&gt;&lt;_pages&gt;155-164&lt;/_pages&gt;&lt;_subject_headings&gt;*Autism Spectrum Disorder/therapy; Cell- and Tissue-Based Therapy; Humans&lt;/_subject_headings&gt;&lt;_tertiary_title&gt;Stem cell reviews and reports&lt;/_tertiary_title&gt;&lt;_type_work&gt;Journal Article; Meta-Analysis; Review; Systematic Review&lt;/_type_work&gt;&lt;_url&gt;http://www.ncbi.nlm.nih.gov/entrez/query.fcgi?cmd=Retrieve&amp;amp;db=pubmed&amp;amp;dopt=Abstract&amp;amp;list_uids=34515938&amp;amp;query_hl=1&lt;/_url&gt;&lt;_volume&gt;18&lt;/_volume&gt;&lt;_created&gt;65460966&lt;/_created&gt;&lt;_modified&gt;65460966&lt;/_modified&gt;&lt;_impact_factor&gt;   4.800&lt;/_impact_factor&gt;&lt;_social_category&gt;细胞与组织工程(3) &amp;amp; 细胞生物学(3) &amp;amp; 医学：研究与实验(3)&lt;/_social_category&gt;&lt;_collection_scope&gt;SCIE&lt;/_collection_scope&gt;&lt;/Details&gt;&lt;Extra&gt;&lt;DBUID&gt;{F96A950B-833F-4880-A151-76DA2D6A2879}&lt;/DBUID&gt;&lt;/Extra&gt;&lt;/Item&gt;&lt;/References&gt;&lt;/Group&gt;&lt;/Citation&gt;_x000a_"/>
    <w:docVar w:name="NE.Ref{6EC2A8A3-94FA-411D-8086-BA8FA2FD94BF}" w:val=" ADDIN NE.Ref.{6EC2A8A3-94FA-411D-8086-BA8FA2FD94BF}&lt;Citation&gt;&lt;Group&gt;&lt;References&gt;&lt;Item&gt;&lt;ID&gt;6227&lt;/ID&gt;&lt;UID&gt;{4A82247A-6BEB-4F76-BA98-B0B8D89EE0F6}&lt;/UID&gt;&lt;Title&gt;Low-dose interleukin 2 antidepressant potentiation in unipolar and bipolar  depression: Safety, efficacy, and immunological biomarkers&lt;/Title&gt;&lt;Template&gt;Journal Article&lt;/Template&gt;&lt;Star&gt;0&lt;/Star&gt;&lt;Tag&gt;0&lt;/Tag&gt;&lt;Author&gt;Poletti, S; Zanardi, R; Mandelli, A; Aggio, V; Finardi, A; Lorenzi, C; Borsellino, G; Carminati, M; Manfredi, E; Tomasi, E; Spadini, S; Colombo, C; Drexhage, H A; Furlan, R; Benedetti, F&lt;/Author&gt;&lt;Year&gt;2024&lt;/Year&gt;&lt;Details&gt;&lt;_accession_num&gt;38367846&lt;/_accession_num&gt;&lt;_author_adr&gt;Psychiatry and Clinical Psychobiology, Division of Neuroscience, Scientific  Institute Ospedale San Raffaele, Milano, Italy; Vita-Salute San Raffaele  University, Milano, Italy. Electronic address: poletti.sara@hsr.it.; Vita-Salute San Raffaele University, Milano, Italy; Mood Disorder Unit,  Scientific Institute Ospedale San Raffaele, Milano, Italy.; Clinical Neuroimmunology, Institute of Experimental Neurology, Division of  Neuroscience, Scientific Institute Ospedale San Raffaele, Milano, Italy.; Psychiatry and Clinical Psychobiology, Division of Neuroscience, Scientific  Institute Ospedale San Raffaele, Milano, Italy; Vita-Salute San Raffaele  University, Milano, Italy.; Clinical Neuroimmunology, Institute of Experimental Neurology, Division of  Neuroscience, Scientific Institute Ospedale San Raffaele, Milano, Italy.; Psychiatry and Clinical Psychobiology, Division of Neuroscience, Scientific  Institute Ospedale San Raffaele, Milano, Italy.; Neuroimmunology Unit, IRCCS Santa Lucia Foundation, Rome, Italy.; Vita-Salute San Raffaele University, Milano, Italy; Mood Disorder Unit,  Scientific Institute Ospedale San Raffaele, Milano, Italy.; Vita-Salute San Raffaele University, Milano, Italy; Mood Disorder Unit,  Scientific Institute Ospedale San Raffaele, Milano, Italy.; Hospital Pharmacy, Scientific Institute Ospedale San Raffaele, Milano, Italy.; Psychiatry and Clinical Psychobiology, Division of Neuroscience, Scientific  Institute Ospedale San Raffaele, Milano, Italy.; Vita-Salute San Raffaele University, Milano, Italy; Mood Disorder Unit,  Scientific Institute Ospedale San Raffaele, Milano, Italy.; Coordinator EU consortium MoodStratification, Department of Immunology, Erasmus  University Medical Center, Rotterdam, the Netherlands.; Vita-Salute San Raffaele University, Milano, Italy; Clinical Neuroimmunology,  Institute of Experimental Neurology, Division of Neuroscience, Scientific  Institute Ospedale San Raffaele, Milano, Italy.; Psychiatry and Clinical Psychobiology, Division of Neuroscience, Scientific  Institute Ospedale San Raffaele, Milano, Italy; Vita-Salute San Raffaele  University, Milano, Italy.&lt;/_author_adr&gt;&lt;_date_display&gt;2024 May&lt;/_date_display&gt;&lt;_date&gt;2024-05-01&lt;/_date&gt;&lt;_doi&gt;10.1016/j.bbi.2024.02.019&lt;/_doi&gt;&lt;_isbn&gt;1090-2139 (Electronic); 0889-1591 (Linking)&lt;/_isbn&gt;&lt;_journal&gt;Brain Behav Immun&lt;/_journal&gt;&lt;_keywords&gt;Antidepressant; Bipolar disorder; Immunopsychiatry; Interleukin 2; Major depressive disorder&lt;/_keywords&gt;&lt;_language&gt;eng&lt;/_language&gt;&lt;_ori_publication&gt;Copyright © 2024 The Author(s). Published by Elsevier Inc. All rights reserved.&lt;/_ori_publication&gt;&lt;_pages&gt;52-68&lt;/_pages&gt;&lt;_subject_headings&gt;Humans; *Bipolar Disorder/drug therapy/diagnosis; Interleukin-2; Antidepressive Agents/therapeutic use; Biomarkers; Treatment Outcome&lt;/_subject_headings&gt;&lt;_tertiary_title&gt;Brain, behavior, and immunity&lt;/_tertiary_title&gt;&lt;_type_work&gt;Clinical Trial, Phase II; Journal Article; Randomized Controlled Trial&lt;/_type_work&gt;&lt;_url&gt;http://www.ncbi.nlm.nih.gov/entrez/query.fcgi?cmd=Retrieve&amp;amp;db=pubmed&amp;amp;dopt=Abstract&amp;amp;list_uids=38367846&amp;amp;query_hl=1&lt;/_url&gt;&lt;_volume&gt;118&lt;/_volume&gt;&lt;_created&gt;65460939&lt;/_created&gt;&lt;_modified&gt;65460939&lt;/_modified&gt;&lt;_impact_factor&gt;  15.100&lt;/_impact_factor&gt;&lt;_social_category&gt;免疫学(2) &amp;amp; 神经科学(2) &amp;amp; 精神病学(2)&lt;/_social_category&gt;&lt;_collection_scope&gt;SCIE&lt;/_collection_scope&gt;&lt;/Details&gt;&lt;Extra&gt;&lt;DBUID&gt;{F96A950B-833F-4880-A151-76DA2D6A2879}&lt;/DBUID&gt;&lt;/Extra&gt;&lt;/Item&gt;&lt;/References&gt;&lt;/Group&gt;&lt;/Citation&gt;_x000a_"/>
    <w:docVar w:name="NE.Ref{702FA26E-DDA7-4721-998A-19290D756CB0}" w:val=" ADDIN NE.Ref.{702FA26E-DDA7-4721-998A-19290D756CB0}&lt;Citation&gt;&lt;Group&gt;&lt;References&gt;&lt;Item&gt;&lt;ID&gt;6238&lt;/ID&gt;&lt;UID&gt;{7810A02A-7A16-4E97-88C5-6C46123D9542}&lt;/UID&gt;&lt;Title&gt;The Impact of the Comorbidity of ASD and ADHD on Social Impairment&lt;/Title&gt;&lt;Template&gt;Journal Article&lt;/Template&gt;&lt;Star&gt;0&lt;/Star&gt;&lt;Tag&gt;0&lt;/Tag&gt;&lt;Author&gt;Harkins, C M; Handen, B L; Mazurek, M O&lt;/Author&gt;&lt;Year&gt;2022&lt;/Year&gt;&lt;Details&gt;&lt;_accession_num&gt;34181141&lt;/_accession_num&gt;&lt;_author_adr&gt;Department of Human Services, School of Education and Human Development,  University of Virginia, Charlottesville, VA, 22904, USA. cmh4gd@virginia.edu.; Department of Psychiatry, University of Pittsburgh School of Medicine,  Pittsburgh, PA, USA.; Department of Human Services, School of Education and Human Development,  University of Virginia, Charlottesville, VA, 22904, USA.&lt;/_author_adr&gt;&lt;_date_display&gt;2022 Jun&lt;/_date_display&gt;&lt;_date&gt;2022-06-01&lt;/_date&gt;&lt;_doi&gt;10.1007/s10803-021-05150-1&lt;/_doi&gt;&lt;_isbn&gt;1573-3432 (Electronic); 0162-3257 (Linking)&lt;/_isbn&gt;&lt;_issue&gt;6&lt;/_issue&gt;&lt;_journal&gt;J Autism Dev Disord&lt;/_journal&gt;&lt;_keywords&gt;ADHD; Autism; Autism spectrum disorder; Comorbidity; Social impairment&lt;/_keywords&gt;&lt;_language&gt;eng&lt;/_language&gt;&lt;_ori_publication&gt;© 2021. The Author(s), under exclusive licence to Springer Science+Business _x000d__x000a_      Media, LLC, part of Springer Nature.&lt;/_ori_publication&gt;&lt;_pages&gt;2512-2522&lt;/_pages&gt;&lt;_subject_headings&gt;*Attention Deficit Disorder with Hyperactivity/diagnosis; *Autism Spectrum Disorder/diagnosis; Child; Comorbidity; Humans; Social Adjustment&lt;/_subject_headings&gt;&lt;_tertiary_title&gt;Journal of autism and developmental disorders&lt;/_tertiary_title&gt;&lt;_type_work&gt;Journal Article&lt;/_type_work&gt;&lt;_url&gt;http://www.ncbi.nlm.nih.gov/entrez/query.fcgi?cmd=Retrieve&amp;amp;db=pubmed&amp;amp;dopt=Abstract&amp;amp;list_uids=34181141&amp;amp;query_hl=1&lt;/_url&gt;&lt;_volume&gt;52&lt;/_volume&gt;&lt;_created&gt;65460960&lt;/_created&gt;&lt;_modified&gt;65460960&lt;/_modified&gt;&lt;_impact_factor&gt;   3.900&lt;/_impact_factor&gt;&lt;_social_category&gt;心理学：发育(3)&lt;/_social_category&gt;&lt;_collection_scope&gt;SSCI&lt;/_collection_scope&gt;&lt;/Details&gt;&lt;Extra&gt;&lt;DBUID&gt;{F96A950B-833F-4880-A151-76DA2D6A2879}&lt;/DBUID&gt;&lt;/Extra&gt;&lt;/Item&gt;&lt;/References&gt;&lt;/Group&gt;&lt;/Citation&gt;_x000a_"/>
    <w:docVar w:name="NE.Ref{82621279-7B5B-4C8B-BC67-C235AAEA50F3}" w:val=" ADDIN NE.Ref.{82621279-7B5B-4C8B-BC67-C235AAEA50F3}&lt;Citation&gt;&lt;Group&gt;&lt;References&gt;&lt;Item&gt;&lt;ID&gt;6222&lt;/ID&gt;&lt;UID&gt;{49BC849F-39A7-418A-9351-2AAFBD6104A0}&lt;/UID&gt;&lt;Title&gt;Low-dose IL-2 therapy for autoimmune diseases&lt;/Title&gt;&lt;Template&gt;Journal Article&lt;/Template&gt;&lt;Star&gt;0&lt;/Star&gt;&lt;Tag&gt;0&lt;/Tag&gt;&lt;Author&gt;Collison, J&lt;/Author&gt;&lt;Year&gt;2019&lt;/Year&gt;&lt;Details&gt;&lt;_accession_num&gt;30518787&lt;/_accession_num&gt;&lt;_author_adr&gt;Nature Reviews Rheumatology, . nrrheum@nature.com.&lt;/_author_adr&gt;&lt;_date_display&gt;2019 Jan&lt;/_date_display&gt;&lt;_date&gt;2019-01-01&lt;/_date&gt;&lt;_doi&gt;10.1038/s41584-018-0142-1&lt;/_doi&gt;&lt;_isbn&gt;1759-4804 (Electronic); 1759-4790 (Linking)&lt;/_isbn&gt;&lt;_issue&gt;1&lt;/_issue&gt;&lt;_journal&gt;Nat Rev Rheumatol&lt;/_journal&gt;&lt;_language&gt;eng&lt;/_language&gt;&lt;_pages&gt;2&lt;/_pages&gt;&lt;_tertiary_title&gt;Nature reviews. Rheumatology&lt;/_tertiary_title&gt;&lt;_type_work&gt;Journal Article&lt;/_type_work&gt;&lt;_url&gt;http://www.ncbi.nlm.nih.gov/entrez/query.fcgi?cmd=Retrieve&amp;amp;db=pubmed&amp;amp;dopt=Abstract&amp;amp;list_uids=30518787&amp;amp;query_hl=1&lt;/_url&gt;&lt;_volume&gt;15&lt;/_volume&gt;&lt;_created&gt;65460925&lt;/_created&gt;&lt;_modified&gt;65460925&lt;/_modified&gt;&lt;_impact_factor&gt;  33.700&lt;/_impact_factor&gt;&lt;_social_category&gt;风湿病学(1)&lt;/_social_category&gt;&lt;_collection_scope&gt;SCIE&lt;/_collection_scope&gt;&lt;/Details&gt;&lt;Extra&gt;&lt;DBUID&gt;{F96A950B-833F-4880-A151-76DA2D6A2879}&lt;/DBUID&gt;&lt;/Extra&gt;&lt;/Item&gt;&lt;/References&gt;&lt;/Group&gt;&lt;/Citation&gt;_x000a_"/>
    <w:docVar w:name="NE.Ref{893401A7-411A-4108-AAE1-A4A40C302BCE}" w:val=" ADDIN NE.Ref.{893401A7-411A-4108-AAE1-A4A40C302BCE}&lt;Citation&gt;&lt;Group&gt;&lt;References&gt;&lt;Item&gt;&lt;ID&gt;6235&lt;/ID&gt;&lt;UID&gt;{3E140C09-96FC-4FB1-80DC-0CAC2D969390}&lt;/UID&gt;&lt;Title&gt;Dysregulation of Th1, Th2, Th17, and T regulatory cell-related transcription  factor signaling in children with autism&lt;/Title&gt;&lt;Template&gt;Journal Article&lt;/Template&gt;&lt;Star&gt;0&lt;/Star&gt;&lt;Tag&gt;0&lt;/Tag&gt;&lt;Author&gt;Ahmad, S F; Zoheir, KMA; Ansari, M A; Nadeem, A; Bakheet, S A; Al-Ayadhi, L Y; Alzahrani, M Z; Al-Shabanah, O A; Al-Harbi, M M; Attia, S M&lt;/Author&gt;&lt;Year&gt;2017&lt;/Year&gt;&lt;Details&gt;&lt;_accession_num&gt;27344332&lt;/_accession_num&gt;&lt;_author_adr&gt;Department of Pharmacology and Toxicology, College of Pharmacy, King Saud  University, Riyadh, Kingdom of Saudi Arabia. s_fayazahmad@yahoo.com.; Department of Pharmacology and Toxicology, College of Pharmacy, King Saud  University, Riyadh, Kingdom of Saudi Arabia.; Department of Cell Biology, National Research Centre, Cairo, Egypt.; Department of Pharmacology and Toxicology, College of Pharmacy, King Saud  University, Riyadh, Kingdom of Saudi Arabia.; Department of Pharmacology and Toxicology, College of Pharmacy, King Saud  University, Riyadh, Kingdom of Saudi Arabia.; Department of Pharmacology and Toxicology, College of Pharmacy, King Saud  University, Riyadh, Kingdom of Saudi Arabia.; Autism Research and Treatment Center, AL-Amodi Autism Research Chair, Department  of Physiology, College of Medicine, King Saud University, Riyadh, Kingdom of  Saudi Arabia.; Department of Pharmacology and Toxicology, College of Pharmacy, King Saud  University, Riyadh, Kingdom of Saudi Arabia.; Department of Pharmacology and Toxicology, College of Pharmacy, King Saud  University, Riyadh, Kingdom of Saudi Arabia.; Department of Pharmacology and Toxicology, College of Pharmacy, King Saud  University, Riyadh, Kingdom of Saudi Arabia.; Department of Pharmacology and Toxicology, College of Pharmacy, King Saud  University, Riyadh, Kingdom of Saudi Arabia.; Department of Pharmacology and Toxicology, College of Pharmacy, Al-Azhar  University, Cairo, Egypt.&lt;/_author_adr&gt;&lt;_date_display&gt;2017 Aug&lt;/_date_display&gt;&lt;_date&gt;2017-08-01&lt;/_date&gt;&lt;_doi&gt;10.1007/s12035-016-9977-0&lt;/_doi&gt;&lt;_isbn&gt;1559-1182 (Electronic); 0893-7648 (Linking)&lt;/_isbn&gt;&lt;_issue&gt;6&lt;/_issue&gt;&lt;_journal&gt;Mol Neurobiol&lt;/_journal&gt;&lt;_keywords&gt;Autism; CD4 T cells; Interleukin; Peripheral blood mononuclear cells; Transcription factor&lt;/_keywords&gt;&lt;_language&gt;eng&lt;/_language&gt;&lt;_pages&gt;4390-4400&lt;/_pages&gt;&lt;_subject_headings&gt;Autistic Disorder/genetics/*immunology; Child; Child, Preschool; Flow Cytometry; Humans; RNA, Messenger/genetics/metabolism; *Signal Transduction; T-Lymphocytes, Regulatory/*immunology; Th1 Cells/*immunology; Th17 Cells/*immunology; Th2 Cells/*immunology; Transcription Factors/genetics/*metabolism&lt;/_subject_headings&gt;&lt;_tertiary_title&gt;Molecular neurobiology&lt;/_tertiary_title&gt;&lt;_type_work&gt;Journal Article; Research Support, Non-U.S. Gov&amp;apos;t&lt;/_type_work&gt;&lt;_url&gt;http://www.ncbi.nlm.nih.gov/entrez/query.fcgi?cmd=Retrieve&amp;amp;db=pubmed&amp;amp;dopt=Abstract&amp;amp;list_uids=27344332&amp;amp;query_hl=1&lt;/_url&gt;&lt;_volume&gt;54&lt;/_volume&gt;&lt;_created&gt;65460957&lt;/_created&gt;&lt;_modified&gt;65460957&lt;/_modified&gt;&lt;_impact_factor&gt;   5.100&lt;/_impact_factor&gt;&lt;_social_category&gt;神经科学(2)&lt;/_social_category&gt;&lt;_collection_scope&gt;SCIE&lt;/_collection_scope&gt;&lt;/Details&gt;&lt;Extra&gt;&lt;DBUID&gt;{F96A950B-833F-4880-A151-76DA2D6A2879}&lt;/DBUID&gt;&lt;/Extra&gt;&lt;/Item&gt;&lt;/References&gt;&lt;/Group&gt;&lt;/Citation&gt;_x000a_"/>
    <w:docVar w:name="NE.Ref{9636F4BA-3682-4A83-9565-C9DCD143DEE1}" w:val=" ADDIN NE.Ref.{9636F4BA-3682-4A83-9565-C9DCD143DEE1}&lt;Citation&gt;&lt;Group&gt;&lt;References&gt;&lt;Item&gt;&lt;ID&gt;6230&lt;/ID&gt;&lt;UID&gt;{BA2417F7-C2BD-41CF-8A47-B03EB8D6C9BB}&lt;/UID&gt;&lt;Title&gt;Short-term and low-dose IL-2 therapy restores the Th17/Treg balance in the  peripheral blood of patients with primary Sjögren&amp;apos;s syndrome&lt;/Title&gt;&lt;Template&gt;Journal Article&lt;/Template&gt;&lt;Star&gt;0&lt;/Star&gt;&lt;Tag&gt;0&lt;/Tag&gt;&lt;Author&gt;Miao, M; Hao, Z; Guo, Y; Zhang, X; Zhang, S; Luo, J; Zhao, X; Zhang, C; Liu, X; Wu, X; Xu, D; Zhao, J; Lu, X; Gao, C; Li, X&lt;/Author&gt;&lt;Year&gt;2018&lt;/Year&gt;&lt;Details&gt;&lt;_accession_num&gt;29936436&lt;/_accession_num&gt;&lt;_author_adr&gt;The Second Hospital of Shanxi Medical University, Taiyuan, China.; The Second Hospital of Shanxi Medical University, Taiyuan, China.; The Second Hospital of Shanxi Medical University, Taiyuan, China.; Department of Rheumatology, The Second Hospital of Shanxi Medical University,  Taiyuan, China.; The Second Hospital of Shanxi Medical University, Taiyuan, China.; Department of Rheumatology, The Second Hospital of Shanxi Medical University,  Taiyuan, China.; Department of Rheumatology, The Second Hospital of Shanxi Medical University,  Taiyuan, China.; Department of Rheumatology, The Second Hospital of Shanxi Medical University,  Taiyuan, China.; The Second Hospital of Shanxi Medical University, Taiyuan, China.; Department of Rheumatology, The Second Hospital of Shanxi Medical University,  Taiyuan, China.; The Second Hospital of Shanxi Medical University, Taiyuan, China.; Department of Medical Statistics, Shanxi Medical University, Taiyuan, China.; Department of Geriatric Hematology, Chinese PLA General Hospital, Beijing, China.; Department of Pathology, Brigham and Women&amp;apos;s Hospital, Harvard Medical School,  Boston, Massachusetts, USA.; Department of Rheumatology, The Second Hospital of Shanxi Medical University,  Taiyuan, China.&lt;/_author_adr&gt;&lt;_date_display&gt;2018 Dec&lt;/_date_display&gt;&lt;_date&gt;2018-12-01&lt;/_date&gt;&lt;_doi&gt;10.1136/annrheumdis-2018-213036&lt;/_doi&gt;&lt;_isbn&gt;1468-2060 (Electronic); 0003-4967 (Linking)&lt;/_isbn&gt;&lt;_issue&gt;12&lt;/_issue&gt;&lt;_journal&gt;Ann Rheum Dis&lt;/_journal&gt;&lt;_keywords&gt;Interleukin; Th17 cell; primary sjögren’s syndrome; treg cell&lt;/_keywords&gt;&lt;_language&gt;eng&lt;/_language&gt;&lt;_pages&gt;1838-1840&lt;/_pages&gt;&lt;_subject_headings&gt;Adult; Female; Humans; Immunologic Factors/*therapeutic use; Interleukin-2/*therapeutic use; Male; Middle Aged; Sjogren&amp;apos;s Syndrome/blood/*drug therapy/immunology; T-Lymphocytes, Regulatory/*drug effects/immunology; Th17 Cells/*drug effects/immunology&lt;/_subject_headings&gt;&lt;_tertiary_title&gt;Annals of the rheumatic diseases&lt;/_tertiary_title&gt;&lt;_type_work&gt;Letter&lt;/_type_work&gt;&lt;_url&gt;http://www.ncbi.nlm.nih.gov/entrez/query.fcgi?cmd=Retrieve&amp;amp;db=pubmed&amp;amp;dopt=Abstract&amp;amp;list_uids=29936436&amp;amp;query_hl=1&lt;/_url&gt;&lt;_volume&gt;77&lt;/_volume&gt;&lt;_created&gt;65460944&lt;/_created&gt;&lt;_modified&gt;65460944&lt;/_modified&gt;&lt;_impact_factor&gt;  27.400&lt;/_impact_factor&gt;&lt;_social_category&gt;风湿病学(1)&lt;/_social_category&gt;&lt;_collection_scope&gt;SCIE&lt;/_collection_scope&gt;&lt;/Details&gt;&lt;Extra&gt;&lt;DBUID&gt;{F96A950B-833F-4880-A151-76DA2D6A2879}&lt;/DBUID&gt;&lt;/Extra&gt;&lt;/Item&gt;&lt;/References&gt;&lt;/Group&gt;&lt;/Citation&gt;_x000a_"/>
    <w:docVar w:name="NE.Ref{9B9F6877-D31E-48A4-BFAD-E0C07472C228}" w:val=" ADDIN NE.Ref.{9B9F6877-D31E-48A4-BFAD-E0C07472C228}&lt;Citation&gt;&lt;Group&gt;&lt;References&gt;&lt;Item&gt;&lt;ID&gt;6234&lt;/ID&gt;&lt;UID&gt;{B8DC363C-8ACD-471D-BCB6-C52CDFA65D85}&lt;/UID&gt;&lt;Title&gt;Th1- and Th2-like cytokines in CD4+ and CD8+ T cells in autism&lt;/Title&gt;&lt;Template&gt;Journal Article&lt;/Template&gt;&lt;Star&gt;0&lt;/Star&gt;&lt;Tag&gt;0&lt;/Tag&gt;&lt;Author&gt;Gupta, S; Aggarwal, S; Rashanravan, B; Lee, T&lt;/Author&gt;&lt;Year&gt;1998&lt;/Year&gt;&lt;Details&gt;&lt;_accession_num&gt;9627004&lt;/_accession_num&gt;&lt;_author_adr&gt;Department of Medicine, University of California, Irvine 92697-4075, USA.  sgupta@uci.edu&lt;/_author_adr&gt;&lt;_date_display&gt;1998 May 1&lt;/_date_display&gt;&lt;_date&gt;1998-05-01&lt;/_date&gt;&lt;_doi&gt;10.1016/s0165-5728(98)00021-6&lt;/_doi&gt;&lt;_isbn&gt;0165-5728 (Print); 0165-5728 (Linking)&lt;/_isbn&gt;&lt;_issue&gt;1&lt;/_issue&gt;&lt;_journal&gt;J Neuroimmunol&lt;/_journal&gt;&lt;_language&gt;eng&lt;/_language&gt;&lt;_pages&gt;106-9&lt;/_pages&gt;&lt;_subject_headings&gt;Autistic Disorder/*blood; CD4-Positive T-Lymphocytes/*metabolism; CD8-Positive T-Lymphocytes/*metabolism; Child; Child, Preschool; Cytokines/*metabolism; Female; Humans; Interferon-gamma/metabolism; Interleukin-2/metabolism; Male; Reference Values; Th1 Cells/*metabolism; Th2 Cells/*metabolism&lt;/_subject_headings&gt;&lt;_tertiary_title&gt;Journal of neuroimmunology&lt;/_tertiary_title&gt;&lt;_type_work&gt;Journal Article&lt;/_type_work&gt;&lt;_url&gt;http://www.ncbi.nlm.nih.gov/entrez/query.fcgi?cmd=Retrieve&amp;amp;db=pubmed&amp;amp;dopt=Abstract&amp;amp;list_uids=9627004&amp;amp;query_hl=1&lt;/_url&gt;&lt;_volume&gt;85&lt;/_volume&gt;&lt;_created&gt;65460957&lt;/_created&gt;&lt;_modified&gt;65460957&lt;/_modified&gt;&lt;_impact_factor&gt;   3.300&lt;/_impact_factor&gt;&lt;_social_category&gt;免疫学(4) &amp;amp; 神经科学(4)&lt;/_social_category&gt;&lt;_collection_scope&gt;SCIE&lt;/_collection_scope&gt;&lt;/Details&gt;&lt;Extra&gt;&lt;DBUID&gt;{F96A950B-833F-4880-A151-76DA2D6A2879}&lt;/DBUID&gt;&lt;/Extra&gt;&lt;/Item&gt;&lt;/References&gt;&lt;/Group&gt;&lt;/Citation&gt;_x000a_"/>
    <w:docVar w:name="NE.Ref{A225470E-308A-43E0-930B-F5E1A1971EF9}" w:val=" ADDIN NE.Ref.{A225470E-308A-43E0-930B-F5E1A1971EF9}&lt;Citation&gt;&lt;Group&gt;&lt;References&gt;&lt;Item&gt;&lt;ID&gt;6229&lt;/ID&gt;&lt;UID&gt;{7581B25D-9CEF-4787-BE46-5CA2A0FDA74A}&lt;/UID&gt;&lt;Title&gt;Efficacy and safety of low-dose IL-2 in the treatment of systemic lupus  erythematosus: a randomised, double-blind, placebo-controlled trial&lt;/Title&gt;&lt;Template&gt;Journal Article&lt;/Template&gt;&lt;Star&gt;0&lt;/Star&gt;&lt;Tag&gt;0&lt;/Tag&gt;&lt;Author&gt;He, J; Zhang, R; Shao, M; Zhao, X; Miao, M; Chen, J; Liu, J; Zhang, X; Zhang, X; Jin, Y; Wang, Y; Zhang, S; Zhu, L; Jacob, A; Jia, R; You, X; Li, X; Li, C; Zhou, Y; Yang, Y; Ye, H; Liu, Y; Su, Y; Shen, N; Alexander, J; Guo, J; Ambrus, J; Lin, X; Yu, D; Sun, X; Li, Z&lt;/Author&gt;&lt;Year&gt;2020&lt;/Year&gt;&lt;Details&gt;&lt;_accession_num&gt;31537547&lt;/_accession_num&gt;&lt;_author_adr&gt;Department of Rheumatology and Immunology, Peking University People&amp;apos;s Hospital,  Beijing, China hejing1105@126.com di.yu@anu.edu.au sunxiaolin_sxl@126.com  li99@bjmu.edu.cn.; Beijing Key Laboratory for Rheumatism and Immune Diagnosis (BZ0135), Beijing,  China.; Department of Rheumatology and Immunology, Peking University People&amp;apos;s Hospital,  Beijing, China.; Department of Rheumatology and Immunology, Peking University People&amp;apos;s Hospital,  Beijing, China.; Beijing Key Laboratory for Rheumatism and Immune Diagnosis (BZ0135), Beijing,  China.; Department of Rheumatology and Immunology, Peking University People&amp;apos;s Hospital,  Beijing, China.; Department of Rheumatology and Immunology, Peking University People&amp;apos;s Hospital,  Beijing, China.; Department of Rheumatology and Immunology, Peking University People&amp;apos;s Hospital,  Beijing, China.; Department of Rheumatology and Immunology, Peking University People&amp;apos;s Hospital,  Beijing, China.; Department of Rheumatology and Immunology, Peking University People&amp;apos;s Hospital,  Beijing, China.; Department of Rheumatology and Immunology, Peking University People&amp;apos;s Hospital,  Beijing, China.; Department of Rheumatology and Immunology, Peking University People&amp;apos;s Hospital,  Beijing, China.; Center for Applied Statistics and School of Statistics, Renmin University of  China, Beijing, China.; Department of Basic Medical Sciences, Tsinghua University School of Medicine,  Beijing, China.; Department of Rheumatology and Immunology, Peking University People&amp;apos;s Hospital,  Beijing, China.; Department of Medicine, SUNY at Buffalo School of Medicine, Buffalo, New York,  USA.; Department of Rheumatology and Immunology, Peking University People&amp;apos;s Hospital,  Beijing, China.; Department of Rheumatology and Immunology, Peking University People&amp;apos;s Hospital,  Beijing, China.; Department of Rheumatology and Immunology, Peking University People&amp;apos;s Hospital,  Beijing, China.; Department of Rheumatology and Immunology, Peking University People&amp;apos;s Hospital,  Beijing, China.; Department of Rheumatology and Immunology, Peking University People&amp;apos;s Hospital,  Beijing, China.; Department of Rheumatology and Immunology, Peking University People&amp;apos;s Hospital,  Beijing, China.; Department of Rheumatology and Immunology, Peking University People&amp;apos;s Hospital,  Beijing, China.; Department of Rheumatology and Immunology, Peking University People&amp;apos;s Hospital,  Beijing, China.; Department of Rheumatology and Immunology, Peking University People&amp;apos;s Hospital,  Beijing, China.; Department of Rheumatology and Immunology,China-Australia Centre for Personalised  Immunology, Shanghai Renji Hospital, Shanghai JiaoTong University School of  Medicine, Shanghai, China.; Department of Medicine, SUNY at Buffalo School of Medicine, Buffalo, New York,  USA.; Department of Rheumatology and Immunology, Peking University People&amp;apos;s Hospital,  Beijing, China.; Beijing Key Laboratory for Rheumatism and Immune Diagnosis (BZ0135), Beijing,  China.; Department of Medicine, SUNY at Buffalo School of Medicine, Buffalo, New York,  USA.; Department of Basic Medical Sciences, Tsinghua University School of Medicine,  Beijing, China.; Department of Rheumatology and Immunology,China-Australia Centre for Personalised  Immunology, Shanghai Renji Hospital, Shanghai JiaoTong University School of  Medicine, Shanghai, China hejing1105@126.com di.yu@anu.edu.au  sunxiaolin_sxl@126.com li99@bjmu.edu.cn.; Department of Immunology and Infectious Disease, John Curtin School of Medical  Research, Australian National University, Shanghai, China.; Department of Rheumatology and Immunology, Peking University People&amp;apos;s Hospital,  Beijing, China hejing1105@126.com di.yu@anu.edu.au sunxiaolin_sxl@126.com  li99@bjmu.edu.cn.; Beijing Key Laboratory for Rheumatism and Immune Diagnosis (BZ0135), Beijing,  China.; Department of Rheumatology and Immunology, Peking University People&amp;apos;s Hospital,  Beijing, China hejing1105@126.com di.yu@anu.edu.au sunxiaolin_sxl@126.com  li99@bjmu.edu.cn.; Beijing Key Laboratory for Rheumatism and Immune Diagnosis (BZ0135), Beijing,  China.; State Key Laboratory of Natural and Biomimetic Drugs, Peking University, Beijing,  China.&lt;/_author_adr&gt;&lt;_date_display&gt;2020 Jan&lt;/_date_display&gt;&lt;_date&gt;2020-01-01&lt;/_date&gt;&lt;_doi&gt;10.1136/annrheumdis-2019-215396&lt;/_doi&gt;&lt;_isbn&gt;1468-2060 (Electronic); 0003-4967 (Print); 0003-4967 (Linking)&lt;/_isbn&gt;&lt;_issue&gt;1&lt;/_issue&gt;&lt;_journal&gt;Ann Rheum Dis&lt;/_journal&gt;&lt;_keywords&gt;Autoimmune diseases; cytokines; systemic lupus erythematosus; t cells; treatment&lt;/_keywords&gt;&lt;_language&gt;eng&lt;/_language&gt;&lt;_ori_publication&gt;© Author(s) (or their employer(s)) 2020. Re-use permitted under CC BY-NC. No _x000d__x000a_      commercial re-use. See rights and permissions. Published by BMJ.&lt;/_ori_publication&gt;&lt;_pages&gt;141-149&lt;/_pages&gt;&lt;_subject_headings&gt;Adult; Antirheumatic Agents/*therapeutic use; Double-Blind Method; Female; Humans; Interleukin-2/*administration &amp;amp; dosage/therapeutic use; Lupus Erythematosus, Systemic/*drug therapy; Lupus Nephritis/*drug therapy; Male; Middle Aged; Recombinant Proteins; Treatment Outcome; Young Adult&lt;/_subject_headings&gt;&lt;_tertiary_title&gt;Annals of the rheumatic diseases&lt;/_tertiary_title&gt;&lt;_type_work&gt;Journal Article; Randomized Controlled Trial; Research Support, Non-U.S. Gov&amp;apos;t&lt;/_type_work&gt;&lt;_url&gt;http://www.ncbi.nlm.nih.gov/entrez/query.fcgi?cmd=Retrieve&amp;amp;db=pubmed&amp;amp;dopt=Abstract&amp;amp;list_uids=31537547&amp;amp;query_hl=1&lt;/_url&gt;&lt;_volume&gt;79&lt;/_volume&gt;&lt;_created&gt;65460943&lt;/_created&gt;&lt;_modified&gt;65460943&lt;/_modified&gt;&lt;_impact_factor&gt;  27.400&lt;/_impact_factor&gt;&lt;_social_category&gt;风湿病学(1)&lt;/_social_category&gt;&lt;_collection_scope&gt;SCIE&lt;/_collection_scope&gt;&lt;/Details&gt;&lt;Extra&gt;&lt;DBUID&gt;{F96A950B-833F-4880-A151-76DA2D6A2879}&lt;/DBUID&gt;&lt;/Extra&gt;&lt;/Item&gt;&lt;/References&gt;&lt;/Group&gt;&lt;/Citation&gt;_x000a_"/>
    <w:docVar w:name="NE.Ref{AC6A4306-3253-40C3-BDC9-C24D5E23B3A1}" w:val=" ADDIN NE.Ref.{AC6A4306-3253-40C3-BDC9-C24D5E23B3A1}&lt;Citation&gt;&lt;Group&gt;&lt;References&gt;&lt;Item&gt;&lt;ID&gt;2731&lt;/ID&gt;&lt;UID&gt;{DE725C47-9962-480C-8844-681589348B8F}&lt;/UID&gt;&lt;Title&gt;The levels of blood mercury and inflammatory-related neuropeptides in the serum  are correlated in children with autism spectrum disorder&lt;/Title&gt;&lt;Template&gt;Journal Article&lt;/Template&gt;&lt;Star&gt;0&lt;/Star&gt;&lt;Tag&gt;0&lt;/Tag&gt;&lt;Author&gt;Mostafa, G A; Bjørklund, G; Urbina, M A; Al-Ayadhi, L Y&lt;/Author&gt;&lt;Year&gt;2016&lt;/Year&gt;&lt;Details&gt;&lt;_accession_num&gt;26738726&lt;/_accession_num&gt;&lt;_author_adr&gt;Department of Pediatrics, Faculty of Medicine, Ain Shams University, Cairo,  Egypt. gehan.mostafa2000@yahoo.com.; Autism Research and Treatment Center, AL-Amodi Autism Research Chair, Department  of Physiology, Faculty of Medicine, King Saud University, Riyadh, Saudi Arabia.  gehan.mostafa2000@yahoo.com.; Council for Nutritional and Environmental Medicine, Toften 24, 8610, Mo i Rana,  Norway.; Department of Biosciences, College of Life and Environmental Sciences, University  of Exeter, Exeter, UK.; Departamento de Zoología, Facultad de Ciencias Naturales y Oceanográficas,  Universidad de Concepción, Casilla 160-C, Concepción, Chile.; Autism Research and Treatment Center, AL-Amodi Autism Research Chair, Department  of Physiology, Faculty of Medicine, King Saud University, Riyadh, Saudi Arabia.&lt;/_author_adr&gt;&lt;_collection_scope&gt;SCIE&lt;/_collection_scope&gt;&lt;_created&gt;64583158&lt;/_created&gt;&lt;_date&gt;2016-06-01&lt;/_date&gt;&lt;_date_display&gt;2016 Jun&lt;/_date_display&gt;&lt;_doi&gt;10.1007/s11011-015-9784-8&lt;/_doi&gt;&lt;_impact_factor&gt;   3.600&lt;/_impact_factor&gt;&lt;_isbn&gt;1573-7365 (Electronic); 0885-7490 (Linking)&lt;/_isbn&gt;&lt;_issue&gt;3&lt;/_issue&gt;&lt;_journal&gt;Metab Brain Dis&lt;/_journal&gt;&lt;_keywords&gt;Autism; Mercury; Neuroinflammation; Neurokinin A&lt;/_keywords&gt;&lt;_language&gt;eng&lt;/_language&gt;&lt;_modified&gt;65460952&lt;/_modified&gt;&lt;_pages&gt;593-9&lt;/_pages&gt;&lt;_social_category&gt;医学(3)&lt;/_social_category&gt;&lt;_subject_headings&gt;Autism Spectrum Disorder/*blood/diagnosis; Child; Child, Preschool; Female; Humans; Male; Mercury/*blood; Neurokinin A/*blood; Severity of Illness Index&lt;/_subject_headings&gt;&lt;_tertiary_title&gt;Metabolic brain disease&lt;/_tertiary_title&gt;&lt;_type_work&gt;Journal Article; Research Support, Non-U.S. Gov&amp;apos;t&lt;/_type_work&gt;&lt;_url&gt;http://www.ncbi.nlm.nih.gov/entrez/query.fcgi?cmd=Retrieve&amp;amp;db=pubmed&amp;amp;dopt=Abstract&amp;amp;list_uids=26738726&amp;amp;query_hl=1&lt;/_url&gt;&lt;_volume&gt;31&lt;/_volume&gt;&lt;/Details&gt;&lt;Extra&gt;&lt;DBUID&gt;{F96A950B-833F-4880-A151-76DA2D6A2879}&lt;/DBUID&gt;&lt;/Extra&gt;&lt;/Item&gt;&lt;/References&gt;&lt;/Group&gt;&lt;/Citation&gt;_x000a_"/>
    <w:docVar w:name="NE.Ref{ACB34A2B-682C-4999-AF9C-2A9C976DCB7B}" w:val=" ADDIN NE.Ref.{ACB34A2B-682C-4999-AF9C-2A9C976DCB7B}&lt;Citation&gt;&lt;Group&gt;&lt;References&gt;&lt;Item&gt;&lt;ID&gt;6018&lt;/ID&gt;&lt;UID&gt;{E7CEA9DC-1C1E-4396-B018-E58253C599D8}&lt;/UID&gt;&lt;Title&gt;Autism&lt;/Title&gt;&lt;Template&gt;Journal Article&lt;/Template&gt;&lt;Star&gt;0&lt;/Star&gt;&lt;Tag&gt;0&lt;/Tag&gt;&lt;Author&gt;Lai, M C; Lombardo, M V; Baron-Cohen, S&lt;/Author&gt;&lt;Year&gt;2014&lt;/Year&gt;&lt;Details&gt;&lt;_accession_num&gt;24074734&lt;/_accession_num&gt;&lt;_author_adr&gt;Autism Research Centre, Department of Psychiatry, University of Cambridge,  Cambridge, UK; Department of Psychiatry, College of Medicine, National Taiwan  University, Taipei, Taiwan. Electronic address: mcl45@cam.ac.uk.; Autism Research Centre, Department of Psychiatry, University of Cambridge,  Cambridge, UK; Department of Psychology, University of Cyprus, Nicosia, Cyprus.; Autism Research Centre, Department of Psychiatry, University of Cambridge,  Cambridge, UK; Cambridgeshire and Peterborough NHS Foundation Trust, Cambridge,  UK.&lt;/_author_adr&gt;&lt;_collection_scope&gt;SCIE&lt;/_collection_scope&gt;&lt;_created&gt;65303480&lt;/_created&gt;&lt;_date&gt;2014-03-08&lt;/_date&gt;&lt;_date_display&gt;2014 Mar 8&lt;/_date_display&gt;&lt;_doi&gt;10.1016/S0140-6736(13)61539-1&lt;/_doi&gt;&lt;_impact_factor&gt; 168.900&lt;/_impact_factor&gt;&lt;_isbn&gt;1474-547X (Electronic); 0140-6736 (Linking)&lt;/_isbn&gt;&lt;_issue&gt;9920&lt;/_issue&gt;&lt;_journal&gt;Lancet&lt;/_journal&gt;&lt;_language&gt;eng&lt;/_language&gt;&lt;_modified&gt;65303480&lt;/_modified&gt;&lt;_ori_publication&gt;Copyright © 2014 Elsevier Ltd. All rights reserved.&lt;/_ori_publication&gt;&lt;_pages&gt;896-910&lt;/_pages&gt;&lt;_social_category&gt;医学：内科(1)&lt;/_social_category&gt;&lt;_subject_headings&gt;Autistic Disorder/*diagnosis/epidemiology/genetics/*therapy; Early Diagnosis; Genetic Predisposition to Disease; Humans; Mass Screening/methods; Prevalence; Prognosis; Risk Factors&lt;/_subject_headings&gt;&lt;_tertiary_title&gt;Lancet (London, England)&lt;/_tertiary_title&gt;&lt;_type_work&gt;Journal Article; Research Support, Non-U.S. Gov&amp;apos;t; Review&lt;/_type_work&gt;&lt;_url&gt;http://www.ncbi.nlm.nih.gov/entrez/query.fcgi?cmd=Retrieve&amp;amp;db=pubmed&amp;amp;dopt=Abstract&amp;amp;list_uids=24074734&amp;amp;query_hl=1&lt;/_url&gt;&lt;_volume&gt;383&lt;/_volume&gt;&lt;/Details&gt;&lt;Extra&gt;&lt;DBUID&gt;{F96A950B-833F-4880-A151-76DA2D6A2879}&lt;/DBUID&gt;&lt;/Extra&gt;&lt;/Item&gt;&lt;/References&gt;&lt;/Group&gt;&lt;/Citation&gt;_x000a_"/>
    <w:docVar w:name="NE.Ref{B0DFCD65-ECEA-471B-BB1A-C976C1662470}" w:val=" ADDIN NE.Ref.{B0DFCD65-ECEA-471B-BB1A-C976C1662470}&lt;Citation&gt;&lt;Group&gt;&lt;References&gt;&lt;Item&gt;&lt;ID&gt;6226&lt;/ID&gt;&lt;UID&gt;{D5410057-B13A-4E7A-AE26-FFA02E129A83}&lt;/UID&gt;&lt;Title&gt;TH1/Treg ratio may be a marker of autism in children with immune dysfunction&lt;/Title&gt;&lt;Template&gt;Journal Article&lt;/Template&gt;&lt;Star&gt;0&lt;/Star&gt;&lt;Tag&gt;0&lt;/Tag&gt;&lt;Author&gt;Nie, Zu-Qing; Han, Dong; Zhang, Kun; Li, Meng; Kwon, Ho-Keun; Im, Sin-Hyeog; Xu, Li; Yang, Ji-chun; Li, Zhi-Wei; Huang, Xin-Wei; Wen, Jie; Shu-Jun, Yang; Yin, Fang; Shen, Chen; Ashwood, Paul; Kang, Chuan-Yuan; Cao, Xia&lt;/Author&gt;&lt;Year&gt;2023&lt;/Year&gt;&lt;Details&gt;&lt;_doi&gt;10.1016/j.rasd.2022.102085&lt;/_doi&gt;&lt;_created&gt;65460934&lt;/_created&gt;&lt;_modified&gt;65460934&lt;/_modified&gt;&lt;_url&gt;https://linkinghub.elsevier.com/retrieve/pii/S1750946722001726_x000d__x000a_https://api.elsevier.com/content/article/PII:S1750946722001726?httpAccept=text/xml&lt;/_url&gt;&lt;_journal&gt;Research in Autism Spectrum Disorders&lt;/_journal&gt;&lt;_volume&gt;101&lt;/_volume&gt;&lt;_pages&gt;102085&lt;/_pages&gt;&lt;_tertiary_title&gt;Research in Autism Spectrum Disorders&lt;/_tertiary_title&gt;&lt;_isbn&gt;17509467&lt;/_isbn&gt;&lt;_accessed&gt;65460934&lt;/_accessed&gt;&lt;_db_updated&gt;CrossRef&lt;/_db_updated&gt;&lt;_impact_factor&gt;   2.500&lt;/_impact_factor&gt;&lt;_social_category&gt;特殊教育学(4) &amp;amp; 精神病学(4) &amp;amp; 心理学：发育(4) &amp;amp; 康复医学(3)&lt;/_social_category&gt;&lt;_collection_scope&gt;SSCI&lt;/_collection_scope&gt;&lt;/Details&gt;&lt;Extra&gt;&lt;DBUID&gt;{F96A950B-833F-4880-A151-76DA2D6A2879}&lt;/DBUID&gt;&lt;/Extra&gt;&lt;/Item&gt;&lt;/References&gt;&lt;/Group&gt;&lt;Group&gt;&lt;References&gt;&lt;Item&gt;&lt;ID&gt;2749&lt;/ID&gt;&lt;UID&gt;{AC93DA7C-F8CC-4F83-9630-B769CDE7E4B5}&lt;/UID&gt;&lt;Title&gt;Elevated immune response in the brain of autistic patients&lt;/Title&gt;&lt;Template&gt;Journal Article&lt;/Template&gt;&lt;Star&gt;0&lt;/Star&gt;&lt;Tag&gt;0&lt;/Tag&gt;&lt;Author&gt;Li, X; Chauhan, A; Sheikh, A M; Patil, S; Chauhan, V; Li, X M; Ji, L; Brown, T; Malik, M&lt;/Author&gt;&lt;Year&gt;2009&lt;/Year&gt;&lt;Details&gt;&lt;_accession_num&gt;19157572&lt;/_accession_num&gt;&lt;_author_adr&gt;Department of Neurochemistry, NY State Institute for Basic Research in  Developmental Disabilities, NY 10314, New York, USA. xiaohong.li@mssm.edu&lt;/_author_adr&gt;&lt;_collection_scope&gt;SCIE&lt;/_collection_scope&gt;&lt;_created&gt;64623521&lt;/_created&gt;&lt;_date&gt;2009-02-15&lt;/_date&gt;&lt;_date_display&gt;2009 Feb 15&lt;/_date_display&gt;&lt;_doi&gt;10.1016/j.jneuroim.2008.12.002&lt;/_doi&gt;&lt;_impact_factor&gt;   3.300&lt;/_impact_factor&gt;&lt;_isbn&gt;0165-5728 (Print); 1872-8421 (Electronic); 0165-5728 (Linking)&lt;/_isbn&gt;&lt;_issue&gt;1-2&lt;/_issue&gt;&lt;_journal&gt;J Neuroimmunol&lt;/_journal&gt;&lt;_language&gt;eng&lt;/_language&gt;&lt;_modified&gt;65320819&lt;/_modified&gt;&lt;_pages&gt;111-6&lt;/_pages&gt;&lt;_social_category&gt;医学(3)&lt;/_social_category&gt;&lt;_subject_headings&gt;Adolescent; Adult; Autistic Disorder/*immunology/pathology; Brain/*immunology/pathology; Case-Control Studies; Chemokines/metabolism; Child; Child, Preschool; Cytokines/*metabolism; Female; Humans; Male; Statistics, Nonparametric; Th1 Cells/immunology; Th2 Cells/immunology; Young Adult&lt;/_subject_headings&gt;&lt;_tertiary_title&gt;Journal of neuroimmunology&lt;/_tertiary_title&gt;&lt;_type_work&gt;Journal Article; Research Support, Non-U.S. Gov&amp;apos;t&lt;/_type_work&gt;&lt;_url&gt;http://www.ncbi.nlm.nih.gov/entrez/query.fcgi?cmd=Retrieve&amp;amp;db=pubmed&amp;amp;dopt=Abstract&amp;amp;list_uids=19157572&amp;amp;query_hl=1&lt;/_url&gt;&lt;_volume&gt;207&lt;/_volume&gt;&lt;/Details&gt;&lt;Extra&gt;&lt;DBUID&gt;{F96A950B-833F-4880-A151-76DA2D6A2879}&lt;/DBUID&gt;&lt;/Extra&gt;&lt;/Item&gt;&lt;/References&gt;&lt;/Group&gt;&lt;Group&gt;&lt;References&gt;&lt;Item&gt;&lt;ID&gt;2743&lt;/ID&gt;&lt;UID&gt;{C8589E55-E7D2-4992-9BD5-1EAC76361625}&lt;/UID&gt;&lt;Title&gt;Potential Transdiagnostic Lipid Mediators of Inflammatory Activity in Individuals  With Serious Mental Illness&lt;/Title&gt;&lt;Template&gt;Journal Article&lt;/Template&gt;&lt;Star&gt;0&lt;/Star&gt;&lt;Tag&gt;0&lt;/Tag&gt;&lt;Author&gt;Hylén, U; McGlinchey, A; Orešič, M; Bejerot, S; Humble, M B; Särndahl, E; Hyötyläinen, T; Eklund, D&lt;/Author&gt;&lt;Year&gt;2021&lt;/Year&gt;&lt;Details&gt;&lt;_accession_num&gt;34899431&lt;/_accession_num&gt;&lt;_author_adr&gt;University Health Care Research Center, Faculty of Medicine and Health, Örebro  University, Örebro, Sweden.; School of Medical Sciences, Faculty of Medicine and Health, Örebro University,  Örebro, Sweden.; Inflammatory Response and Infection Susceptibility Centre, Örebro University,  Örebro, Sweden.; School of Medical Sciences, Faculty of Medicine and Health, Örebro University,  Örebro, Sweden.; School of Medical Sciences, Faculty of Medicine and Health, Örebro University,  Örebro, Sweden.; University Health Care Research Center, Faculty of Medicine and Health, Örebro  University, Örebro, Sweden.; School of Medical Sciences, Faculty of Medicine and Health, Örebro University,  Örebro, Sweden.; Inflammatory Response and Infection Susceptibility Centre, Örebro University,  Örebro, Sweden.; School of Medical Sciences, Faculty of Medicine and Health, Örebro University,  Örebro, Sweden.; Inflammatory Response and Infection Susceptibility Centre, Örebro University,  Örebro, Sweden.; School of Medical Sciences, Faculty of Medicine and Health, Örebro University,  Örebro, Sweden.; Inflammatory Response and Infection Susceptibility Centre, Örebro University,  Örebro, Sweden.; Man-Technology-Environment Research Centre, School of Science and Technology,  Örebro University, Örebro, Sweden.; School of Medical Sciences, Faculty of Medicine and Health, Örebro University,  Örebro, Sweden.; Inflammatory Response and Infection Susceptibility Centre, Örebro University,  Örebro, Sweden.&lt;/_author_adr&gt;&lt;_collection_scope&gt;SSCI;SCIE&lt;/_collection_scope&gt;&lt;_created&gt;64621322&lt;/_created&gt;&lt;_date&gt;2021-01-20&lt;/_date&gt;&lt;_date_display&gt;2021&lt;/_date_display&gt;&lt;_doi&gt;10.3389/fpsyt.2021.778325&lt;/_doi&gt;&lt;_impact_factor&gt;   4.700&lt;/_impact_factor&gt;&lt;_isbn&gt;1664-0640 (Print); 1664-0640 (Electronic); 1664-0640 (Linking)&lt;/_isbn&gt;&lt;_journal&gt;Front Psychiatry&lt;/_journal&gt;&lt;_keywords&gt;autism spectrum disorder (ASD); inflammation; lipidomics; mental disorder (disease); obsessive-compulsive disorder; schizophrenia&lt;/_keywords&gt;&lt;_language&gt;eng&lt;/_language&gt;&lt;_modified&gt;65460947&lt;/_modified&gt;&lt;_ori_publication&gt;Copyright © 2021 Hylén, McGlinchey, Orešič, Bejerot, Humble, Särndahl, _x000d__x000a_      Hyötyläinen and Eklund.&lt;/_ori_publication&gt;&lt;_pages&gt;778325&lt;/_pages&gt;&lt;_social_category&gt;医学(3)&lt;/_social_category&gt;&lt;_tertiary_title&gt;Frontiers in psychiatry&lt;/_tertiary_title&gt;&lt;_type_work&gt;Journal Article&lt;/_type_work&gt;&lt;_url&gt;http://www.ncbi.nlm.nih.gov/entrez/query.fcgi?cmd=Retrieve&amp;amp;db=pubmed&amp;amp;dopt=Abstract&amp;amp;list_uids=34899431&amp;amp;query_hl=1&lt;/_url&gt;&lt;_volume&gt;12&lt;/_volume&gt;&lt;/Details&gt;&lt;Extra&gt;&lt;DBUID&gt;{F96A950B-833F-4880-A151-76DA2D6A2879}&lt;/DBUID&gt;&lt;/Extra&gt;&lt;/Item&gt;&lt;/References&gt;&lt;/Group&gt;&lt;Group&gt;&lt;References&gt;&lt;Item&gt;&lt;ID&gt;6025&lt;/ID&gt;&lt;UID&gt;{F465C9AF-9937-4819-839D-96C38426505D}&lt;/UID&gt;&lt;Title&gt;Inflammation and Neuro-Immune Dysregulations in Autism Spectrum Disorders&lt;/Title&gt;&lt;Template&gt;Journal Article&lt;/Template&gt;&lt;Star&gt;0&lt;/Star&gt;&lt;Tag&gt;0&lt;/Tag&gt;&lt;Author&gt;Siniscalco, D; Schultz, S; Brigida, A L; Antonucci, N&lt;/Author&gt;&lt;Year&gt;2018&lt;/Year&gt;&lt;Details&gt;&lt;_accession_num&gt;29867038&lt;/_accession_num&gt;&lt;_author_adr&gt;Department of Experimental Medicine, University of Campania, 80138 Naples, Italy.  dariosin@uab.edu.; Italian Group for Study Autism-GISA, 25018 Brescia, Italy. dariosin@uab.edu.; Centre for Autism-La Forza del Silenzio, 81036 Caserta, Italy. dariosin@uab.edu.; Department of Cellular and Integrative Physiology, School of Medicine, University  of Texas Health Science Center San Antonio, San Antonio, TX 78229, USA.  stevendri0629@gmail.com.; Italian Group for Study Autism-GISA, 25018 Brescia, Italy.  brigida.annalisa@gmail.com.; Biomedical Centre for Autism Research and Treatment, 70124 Bari, Italy.  info@antonucci.eu.&lt;/_author_adr&gt;&lt;_collection_scope&gt;SCIE&lt;/_collection_scope&gt;&lt;_created&gt;65303549&lt;/_created&gt;&lt;_date&gt;2018-06-04&lt;/_date&gt;&lt;_date_display&gt;2018 Jun 4&lt;/_date_display&gt;&lt;_doi&gt;10.3390/ph11020056&lt;/_doi&gt;&lt;_impact_factor&gt;   4.600&lt;/_impact_factor&gt;&lt;_isbn&gt;1424-8247 (Print); 1424-8247 (Electronic); 1424-8247 (Linking)&lt;/_isbn&gt;&lt;_issue&gt;2&lt;/_issue&gt;&lt;_journal&gt;Pharmaceuticals (Basel)&lt;/_journal&gt;&lt;_keywords&gt;autism; inflammation; macrophages; monocytes; neuro-immune system&lt;/_keywords&gt;&lt;_language&gt;eng&lt;/_language&gt;&lt;_modified&gt;65303549&lt;/_modified&gt;&lt;_social_category&gt;药物化学(3) &amp;amp; 药学(3)&lt;/_social_category&gt;&lt;_tertiary_title&gt;Pharmaceuticals (Basel, Switzerland)&lt;/_tertiary_title&gt;&lt;_type_work&gt;Journal Article; Review&lt;/_type_work&gt;&lt;_url&gt;http://www.ncbi.nlm.nih.gov/entrez/query.fcgi?cmd=Retrieve&amp;amp;db=pubmed&amp;amp;dopt=Abstract&amp;amp;list_uids=29867038&amp;amp;query_hl=1&lt;/_url&gt;&lt;_volume&gt;11&lt;/_volume&gt;&lt;/Details&gt;&lt;Extra&gt;&lt;DBUID&gt;{F96A950B-833F-4880-A151-76DA2D6A2879}&lt;/DBUID&gt;&lt;/Extra&gt;&lt;/Item&gt;&lt;/References&gt;&lt;/Group&gt;&lt;Group&gt;&lt;References&gt;&lt;Item&gt;&lt;ID&gt;6026&lt;/ID&gt;&lt;UID&gt;{525DDA11-B93C-4058-8893-33BA2AAECAEB}&lt;/UID&gt;&lt;Title&gt;Peripheral Inflammatory Markers in Autism Spectrum Disorder and Attention  Deficit/Hyperactivity Disorder at Adolescent Age&lt;/Title&gt;&lt;Template&gt;Journal Article&lt;/Template&gt;&lt;Star&gt;0&lt;/Star&gt;&lt;Tag&gt;0&lt;/Tag&gt;&lt;Author&gt;Ferencova, N; Visnovcova, Z; Ondrejka, I; Hrtanek, I; Bujnakova, I; Kovacova, V; Macejova, A; Tonhajzerova, I&lt;/Author&gt;&lt;Year&gt;2023&lt;/Year&gt;&lt;Details&gt;&lt;_accession_num&gt;37511467&lt;/_accession_num&gt;&lt;_author_adr&gt;Biomedical Centre Martin, Jessenius Faculty of Medicine in Martin, Comenius  University in Bratislava, 03601 Martin, Slovakia.; Biomedical Centre Martin, Jessenius Faculty of Medicine in Martin, Comenius  University in Bratislava, 03601 Martin, Slovakia.; Psychiatric Clinic, Jessenius Faculty of Medicine in Martin, Comenius University  in Bratislava, University Hospital Martin, 03601 Martin, Slovakia.; Psychiatric Clinic, Jessenius Faculty of Medicine in Martin, Comenius University  in Bratislava, University Hospital Martin, 03601 Martin, Slovakia.; Society to Help People with Autism (SPOSA-Turiec), 03601 Martin, Slovakia.; Psychiatric Clinic, Jessenius Faculty of Medicine in Martin, Comenius University  in Bratislava, University Hospital Martin, 03601 Martin, Slovakia.; Psychiatric Clinic, Jessenius Faculty of Medicine in Martin, Comenius University  in Bratislava, University Hospital Martin, 03601 Martin, Slovakia.; Department of Physiology, Jessenius Faculty of Medicine in Martin, Comenius  University in Bratislava, 03601 Martin, Slovakia.&lt;/_author_adr&gt;&lt;_collection_scope&gt;SCIE&lt;/_collection_scope&gt;&lt;_created&gt;65303557&lt;/_created&gt;&lt;_date&gt;2023-07-20&lt;/_date&gt;&lt;_date_display&gt;2023 Jul 20&lt;/_date_display&gt;&lt;_doi&gt;10.3390/ijms241411710&lt;/_doi&gt;&lt;_impact_factor&gt;   5.600&lt;/_impact_factor&gt;&lt;_isbn&gt;1422-0067 (Electronic); 1422-0067 (Linking)&lt;/_isbn&gt;&lt;_issue&gt;14&lt;/_issue&gt;&lt;_journal&gt;Int J Mol Sci&lt;/_journal&gt;&lt;_keywords&gt;adolescent age; attention deficit/hyperactivity disorder; autism spectrum disorder; cytokines; receiver-operating characteristic curve analysis&lt;/_keywords&gt;&lt;_language&gt;eng&lt;/_language&gt;&lt;_modified&gt;65303557&lt;/_modified&gt;&lt;_subject_headings&gt;Male; Female; Humans; Adolescent; Child; *Autism Spectrum Disorder; Interleukin-10; *Attention Deficit Disorder with Hyperactivity; Tumor Necrosis Factor-alpha; Interleukin-8; Interleukin-6; Interleukin-2; Interleukin-4&lt;/_subject_headings&gt;&lt;_tertiary_title&gt;International journal of molecular sciences&lt;/_tertiary_title&gt;&lt;_type_work&gt;Journal Article&lt;/_type_work&gt;&lt;_url&gt;http://www.ncbi.nlm.nih.gov/entrez/query.fcgi?cmd=Retrieve&amp;amp;db=pubmed&amp;amp;dopt=Abstract&amp;amp;list_uids=37511467&amp;amp;query_hl=1&lt;/_url&gt;&lt;_volume&gt;24&lt;/_volume&gt;&lt;/Details&gt;&lt;Extra&gt;&lt;DBUID&gt;{F96A950B-833F-4880-A151-76DA2D6A2879}&lt;/DBUID&gt;&lt;/Extra&gt;&lt;/Item&gt;&lt;/References&gt;&lt;/Group&gt;&lt;/Citation&gt;_x000a_"/>
    <w:docVar w:name="NE.Ref{B58123E4-3BF4-438E-9B84-3343E4D7C622}" w:val=" ADDIN NE.Ref.{B58123E4-3BF4-438E-9B84-3343E4D7C622}&lt;Citation&gt;&lt;Group&gt;&lt;References&gt;&lt;Item&gt;&lt;ID&gt;6239&lt;/ID&gt;&lt;UID&gt;{D55BC27A-8BFF-4240-A0FC-36527DD16528}&lt;/UID&gt;&lt;Title&gt;Low-dose IL-2 therapy in autoimmune diseases: An update review&lt;/Title&gt;&lt;Template&gt;Journal Article&lt;/Template&gt;&lt;Star&gt;0&lt;/Star&gt;&lt;Tag&gt;0&lt;/Tag&gt;&lt;Author&gt;Zhang, R; Zhao, Y; Chen, X; Zhuang, Z; Li, X; Shen, E&lt;/Author&gt;&lt;Year&gt;2024&lt;/Year&gt;&lt;Details&gt;&lt;_accession_num&gt;37882232&lt;/_accession_num&gt;&lt;_author_adr&gt;Sino-French Hoffmann Institute, School of Basic Medical Sciences, Guangzhou  Medical University, Guangzhou, China.; Department of Clinical Medicine, The Third Clinical School of Guangzhou Medical  University, Guangzhou, China.; Sino-French Hoffmann Institute, School of Basic Medical Sciences, Guangzhou  Medical University, Guangzhou, China.; The Second Affiliated Hospital of Guangzhou Medical University, State Key  Laboratory of Respiratory Disease, Guangdong Provincial Key Laboratory of Allergy  &amp;amp; Clinical Immunology, Guangzhou Medical University, Guangzhou, China.; Sino-French Hoffmann Institute, School of Basic Medical Sciences, Guangzhou  Medical University, Guangzhou, China.; The Second Affiliated Hospital of Guangzhou Medical University, State Key  Laboratory of Respiratory Disease, Guangdong Provincial Key Laboratory of Allergy  &amp;amp; Clinical Immunology, Guangzhou Medical University, Guangzhou, China.; Department of Clinical Medicine, The Third Clinical School of Guangzhou Medical  University, Guangzhou, China.; Sino-French Hoffmann Institute, School of Basic Medical Sciences, Guangzhou  Medical University, Guangzhou, China.; Sino-French Hoffmann Institute, School of Basic Medical Sciences, Guangzhou  Medical University, Guangzhou, China.; The Second Affiliated Hospital of Guangzhou Medical University, State Key  Laboratory of Respiratory Disease, Guangdong Provincial Key Laboratory of Allergy  &amp;amp; Clinical Immunology, Guangzhou Medical University, Guangzhou, China.; Guangzhou Municipal and Guangdong Provincial Key Laboratory of Protein  Modification and Degradation, School of Basic Medical Sciences, Guangzhou Medical  University, Guangzhou, China.&lt;/_author_adr&gt;&lt;_date_display&gt;2024 May&lt;/_date_display&gt;&lt;_date&gt;2024-05-01&lt;/_date&gt;&lt;_doi&gt;10.1080/08830185.2023.2274574&lt;/_doi&gt;&lt;_isbn&gt;1563-5244 (Electronic); 0883-0185 (Linking)&lt;/_isbn&gt;&lt;_issue&gt;3&lt;/_issue&gt;&lt;_journal&gt;Int Rev Immunol&lt;/_journal&gt;&lt;_keywords&gt;Alopecia areata; autoimmune hepatitis; chronic graft-versus-host-disease; immune thrombocytopenia; interleukin-2; rheumatoid arthritis; systemic lupus erythematosus; type 1 diabetes&lt;/_keywords&gt;&lt;_language&gt;eng&lt;/_language&gt;&lt;_pages&gt;113-137&lt;/_pages&gt;&lt;_subject_headings&gt;Animals; Humans; *Autoimmune Diseases/therapy/immunology; *Interleukin-2/therapeutic use; Receptors, Interleukin-2/metabolism/immunology; *T-Lymphocytes, Regulatory/immunology&lt;/_subject_headings&gt;&lt;_tertiary_title&gt;International reviews of immunology&lt;/_tertiary_title&gt;&lt;_type_work&gt;Journal Article; Research Support, Non-U.S. Gov&amp;apos;t; Review&lt;/_type_work&gt;&lt;_url&gt;http://www.ncbi.nlm.nih.gov/entrez/query.fcgi?cmd=Retrieve&amp;amp;db=pubmed&amp;amp;dopt=Abstract&amp;amp;list_uids=37882232&amp;amp;query_hl=1&lt;/_url&gt;&lt;_volume&gt;43&lt;/_volume&gt;&lt;_created&gt;65460963&lt;/_created&gt;&lt;_modified&gt;65460963&lt;/_modified&gt;&lt;_impact_factor&gt;   5.000&lt;/_impact_factor&gt;&lt;_social_category&gt;免疫学(3)&lt;/_social_category&gt;&lt;_collection_scope&gt;SCIE&lt;/_collection_scope&gt;&lt;/Details&gt;&lt;Extra&gt;&lt;DBUID&gt;{F96A950B-833F-4880-A151-76DA2D6A2879}&lt;/DBUID&gt;&lt;/Extra&gt;&lt;/Item&gt;&lt;/References&gt;&lt;/Group&gt;&lt;/Citation&gt;_x000a_"/>
    <w:docVar w:name="NE.Ref{B87E6B96-F7E0-4CFB-94DC-4F8FE2E231B1}" w:val=" ADDIN NE.Ref.{B87E6B96-F7E0-4CFB-94DC-4F8FE2E231B1}&lt;Citation&gt;&lt;Group&gt;&lt;References&gt;&lt;Item&gt;&lt;ID&gt;6240&lt;/ID&gt;&lt;UID&gt;{AC4D4CA9-B16D-481C-80BD-F12A84F28D59}&lt;/UID&gt;&lt;Title&gt;Mesenchymal Stem Cell Therapy: Hope for Patients With Systemic Lupus  Erythematosus&lt;/Title&gt;&lt;Template&gt;Journal Article&lt;/Template&gt;&lt;Star&gt;0&lt;/Star&gt;&lt;Tag&gt;0&lt;/Tag&gt;&lt;Author&gt;Li, A; Guo, F; Pan, Q; Chen, S; Chen, J; Liu, H F; Pan, Q&lt;/Author&gt;&lt;Year&gt;2021&lt;/Year&gt;&lt;Details&gt;&lt;_accession_num&gt;34659214&lt;/_accession_num&gt;&lt;_author_adr&gt;Key Laboratory of Prevention and Management of Chronic Kidney Disease of  Zhanjiang City, Institute of Nephrology, Affiliated Hospital of Guangdong Medical  University, Zhanjiang, China.; Key Laboratory of Prevention and Management of Chronic Kidney Disease of  Zhanjiang City, Institute of Nephrology, Affiliated Hospital of Guangdong Medical  University, Zhanjiang, China.; Key Laboratory of Prevention and Management of Chronic Kidney Disease of  Zhanjiang City, Institute of Nephrology, Affiliated Hospital of Guangdong Medical  University, Zhanjiang, China.; Key Laboratory of Prevention and Management of Chronic Kidney Disease of  Zhanjiang City, Institute of Nephrology, Affiliated Hospital of Guangdong Medical  University, Zhanjiang, China.; Key Laboratory of Prevention and Management of Chronic Kidney Disease of  Zhanjiang City, Institute of Nephrology, Affiliated Hospital of Guangdong Medical  University, Zhanjiang, China.; Key Laboratory of Prevention and Management of Chronic Kidney Disease of  Zhanjiang City, Institute of Nephrology, Affiliated Hospital of Guangdong Medical  University, Zhanjiang, China.; Key Laboratory of Prevention and Management of Chronic Kidney Disease of  Zhanjiang City, Institute of Nephrology, Affiliated Hospital of Guangdong Medical  University, Zhanjiang, China.&lt;/_author_adr&gt;&lt;_date_display&gt;2021&lt;/_date_display&gt;&lt;_date&gt;2021-01-20&lt;/_date&gt;&lt;_doi&gt;10.3389/fimmu.2021.728190&lt;/_doi&gt;&lt;_isbn&gt;1664-3224 (Electronic); 1664-3224 (Linking)&lt;/_isbn&gt;&lt;_journal&gt;Front Immunol&lt;/_journal&gt;&lt;_keywords&gt;immunomodulation; inefficacy; mesenchymal stem cells; modification; systemic lupus erythematosus; transplantation&lt;/_keywords&gt;&lt;_language&gt;eng&lt;/_language&gt;&lt;_ori_publication&gt;Copyright © 2021 Li, Guo, Pan, Chen, Chen, Liu and Pan.&lt;/_ori_publication&gt;&lt;_pages&gt;728190&lt;/_pages&gt;&lt;_subject_headings&gt;Adaptive Immunity; Animals; Cellular Microenvironment; Humans; Immune Tolerance; Immunity, Innate; Lupus Erythematosus, Systemic/immunology/metabolism/*surgery; *Mesenchymal Stem Cell Transplantation/adverse effects; *Mesenchymal Stem Cells/immunology/metabolism; Phenotype; Treatment Outcome&lt;/_subject_headings&gt;&lt;_tertiary_title&gt;Frontiers in immunology&lt;/_tertiary_title&gt;&lt;_type_work&gt;Journal Article; Research Support, Non-U.S. Gov&amp;apos;t; Review&lt;/_type_work&gt;&lt;_url&gt;http://www.ncbi.nlm.nih.gov/entrez/query.fcgi?cmd=Retrieve&amp;amp;db=pubmed&amp;amp;dopt=Abstract&amp;amp;list_uids=34659214&amp;amp;query_hl=1&lt;/_url&gt;&lt;_volume&gt;12&lt;/_volume&gt;&lt;_created&gt;65460964&lt;/_created&gt;&lt;_modified&gt;65460964&lt;/_modified&gt;&lt;_impact_factor&gt;   7.300&lt;/_impact_factor&gt;&lt;_social_category&gt;免疫学(2)&lt;/_social_category&gt;&lt;_collection_scope&gt;SCIE&lt;/_collection_scope&gt;&lt;/Details&gt;&lt;Extra&gt;&lt;DBUID&gt;{F96A950B-833F-4880-A151-76DA2D6A2879}&lt;/DBUID&gt;&lt;/Extra&gt;&lt;/Item&gt;&lt;/References&gt;&lt;/Group&gt;&lt;/Citation&gt;_x000a_"/>
    <w:docVar w:name="NE.Ref{BF2739F2-D318-446A-B425-0D2065B467E5}" w:val=" ADDIN NE.Ref.{BF2739F2-D318-446A-B425-0D2065B467E5}&lt;Citation&gt;&lt;Group&gt;&lt;References&gt;&lt;Item&gt;&lt;ID&gt;6069&lt;/ID&gt;&lt;UID&gt;{4B43E752-5A32-4947-807F-050A18877271}&lt;/UID&gt;&lt;Title&gt;Interleukin-2 receptor signaling: at the interface between tolerance and  immunity&lt;/Title&gt;&lt;Template&gt;Journal Article&lt;/Template&gt;&lt;Star&gt;0&lt;/Star&gt;&lt;Tag&gt;0&lt;/Tag&gt;&lt;Author&gt;Malek, T R; Castro, I&lt;/Author&gt;&lt;Year&gt;2010&lt;/Year&gt;&lt;Details&gt;&lt;_accession_num&gt;20732639&lt;/_accession_num&gt;&lt;_author_adr&gt;Department of Microbiology and Immunology, Miller School of Medicine, University  of Miami, PO Box 01960, Miami, FL 33101, USA. tmalek@med.miami.edu&lt;/_author_adr&gt;&lt;_collection_scope&gt;SCIE&lt;/_collection_scope&gt;&lt;_created&gt;65315118&lt;/_created&gt;&lt;_date&gt;2010-08-27&lt;/_date&gt;&lt;_date_display&gt;2010 Aug 27&lt;/_date_display&gt;&lt;_doi&gt;10.1016/j.immuni.2010.08.004&lt;/_doi&gt;&lt;_impact_factor&gt;  32.400&lt;/_impact_factor&gt;&lt;_isbn&gt;1097-4180 (Electronic); 1074-7613 (Print); 1074-7613 (Linking)&lt;/_isbn&gt;&lt;_issue&gt;2&lt;/_issue&gt;&lt;_journal&gt;Immunity&lt;/_journal&gt;&lt;_language&gt;eng&lt;/_language&gt;&lt;_modified&gt;65315118&lt;/_modified&gt;&lt;_ori_publication&gt;Copyright 2010 Elsevier Inc. All rights reserved.&lt;/_ori_publication&gt;&lt;_pages&gt;153-65&lt;/_pages&gt;&lt;_social_category&gt;免疫学(1)&lt;/_social_category&gt;&lt;_subject_headings&gt;Animals; Humans; *Immune Tolerance; *Immunity; Immunologic Memory; Receptors, Interleukin-2/*immunology/metabolism; *Signal Transduction; T-Lymphocytes/cytology/immunology&lt;/_subject_headings&gt;&lt;_tertiary_title&gt;Immunity&lt;/_tertiary_title&gt;&lt;_type_work&gt;Journal Article; Research Support, N.I.H., Extramural; Review&lt;/_type_work&gt;&lt;_url&gt;http://www.ncbi.nlm.nih.gov/entrez/query.fcgi?cmd=Retrieve&amp;amp;db=pubmed&amp;amp;dopt=Abstract&amp;amp;list_uids=20732639&amp;amp;query_hl=1&lt;/_url&gt;&lt;_volume&gt;33&lt;/_volume&gt;&lt;/Details&gt;&lt;Extra&gt;&lt;DBUID&gt;{F96A950B-833F-4880-A151-76DA2D6A2879}&lt;/DBUID&gt;&lt;/Extra&gt;&lt;/Item&gt;&lt;/References&gt;&lt;/Group&gt;&lt;Group&gt;&lt;References&gt;&lt;Item&gt;&lt;ID&gt;6221&lt;/ID&gt;&lt;UID&gt;{7399D0F7-19FD-46E6-B50C-40E601F5C3A5}&lt;/UID&gt;&lt;Title&gt;Revisiting IL-2: Biology and therapeutic prospects&lt;/Title&gt;&lt;Template&gt;Journal Article&lt;/Template&gt;&lt;Star&gt;0&lt;/Star&gt;&lt;Tag&gt;0&lt;/Tag&gt;&lt;Author&gt;Abbas, A K; Trotta, E; R, Simeonov D; Marson, A; Bluestone, J A&lt;/Author&gt;&lt;Year&gt;2018&lt;/Year&gt;&lt;Details&gt;&lt;_accession_num&gt;29980618&lt;/_accession_num&gt;&lt;_author_adr&gt;Department of Pathology, University of California, San Francisco, San Francisco,  CA, USA. abul.abbas@ucsf.edu jeff.bluestone@ucsf.edu.; Diabetes Center, University of California, San Francisco, San Francisco, CA, USA.; Diabetes Center, University of California, San Francisco, San Francisco, CA, USA.; Department of Microbiology and Immunology, University of California, San  Francisco, San Francisco, CA 94143, USA.; Diabetes Center, University of California, San Francisco, San Francisco, CA, USA.; Department of Microbiology and Immunology, University of California, San  Francisco, San Francisco, CA 94143, USA.; Diabetes Center, University of California, San Francisco, San Francisco, CA, USA.  abul.abbas@ucsf.edu jeff.bluestone@ucsf.edu.&lt;/_author_adr&gt;&lt;_date_display&gt;2018 Jul 6&lt;/_date_display&gt;&lt;_date&gt;2018-07-06&lt;/_date&gt;&lt;_doi&gt;10.1126/sciimmunol.aat1482&lt;/_doi&gt;&lt;_isbn&gt;2470-9468 (Electronic); 2470-9468 (Linking)&lt;/_isbn&gt;&lt;_issue&gt;25&lt;/_issue&gt;&lt;_journal&gt;Sci Immunol&lt;/_journal&gt;&lt;_language&gt;eng&lt;/_language&gt;&lt;_ori_publication&gt;Copyright © 2018 The Authors, some rights reserved; exclusive licensee American _x000d__x000a_      Association for the Advancement of Science. No claim to original U.S. Government _x000d__x000a_      Works.&lt;/_ori_publication&gt;&lt;_subject_headings&gt;Animals; Humans; *Interleukin-2/chemistry/genetics/immunology/therapeutic use; Receptors, Interleukin-2/immunology; T-Lymphocytes, Regulatory/immunology&lt;/_subject_headings&gt;&lt;_tertiary_title&gt;Science immunology&lt;/_tertiary_title&gt;&lt;_type_work&gt;Journal Article; Research Support, N.I.H., Extramural; Research Support, Non-U.S. Gov&amp;apos;t; Review&lt;/_type_work&gt;&lt;_url&gt;http://www.ncbi.nlm.nih.gov/entrez/query.fcgi?cmd=Retrieve&amp;amp;db=pubmed&amp;amp;dopt=Abstract&amp;amp;list_uids=29980618&amp;amp;query_hl=1&lt;/_url&gt;&lt;_volume&gt;3&lt;/_volume&gt;&lt;_created&gt;65460916&lt;/_created&gt;&lt;_modified&gt;65460916&lt;/_modified&gt;&lt;_impact_factor&gt;  24.800&lt;/_impact_factor&gt;&lt;_social_category&gt;免疫学(1)&lt;/_social_category&gt;&lt;_collection_scope&gt;SCIE&lt;/_collection_scope&gt;&lt;/Details&gt;&lt;Extra&gt;&lt;DBUID&gt;{F96A950B-833F-4880-A151-76DA2D6A2879}&lt;/DBUID&gt;&lt;/Extra&gt;&lt;/Item&gt;&lt;/References&gt;&lt;/Group&gt;&lt;/Citation&gt;_x000a_"/>
    <w:docVar w:name="NE.Ref{C10B879E-A0B2-4450-B7B7-E19FD8185CC2}" w:val=" ADDIN NE.Ref.{C10B879E-A0B2-4450-B7B7-E19FD8185CC2}&lt;Citation&gt;&lt;Group&gt;&lt;References&gt;&lt;Item&gt;&lt;ID&gt;6236&lt;/ID&gt;&lt;UID&gt;{A2F8E4E5-4DFC-41FD-A886-F0D0D9B71EF8}&lt;/UID&gt;&lt;Title&gt;Serum thyroid-stimulating hormone and interleukin-8 levels in boys with autism  spectrum disorder&lt;/Title&gt;&lt;Template&gt;Journal Article&lt;/Template&gt;&lt;Star&gt;0&lt;/Star&gt;&lt;Tag&gt;0&lt;/Tag&gt;&lt;Author&gt;Singh, S; Yazdani, U; Gadad, B; Zaman, S; Hynan, L S; Roatch, N; Schutte, C; Marti, C N; Hewitson, L; German, D C&lt;/Author&gt;&lt;Year&gt;2017&lt;/Year&gt;&lt;Details&gt;&lt;_accession_num&gt;28577577&lt;/_accession_num&gt;&lt;_author_adr&gt;Department of Psychiatry, University of Texas Southwestern Medical Center, 5323  Harry Hines Blvd., Dallas, TX, 75390-9070, USA.; Present Address: Toxicology Division, CSIR-CDRI, Lucknow, 226021, Uttar Pradesh,  India.; Department of Psychiatry, University of Texas Southwestern Medical Center, 5323  Harry Hines Blvd., Dallas, TX, 75390-9070, USA.; Department of Psychiatry, University of Texas Southwestern Medical Center, 5323  Harry Hines Blvd., Dallas, TX, 75390-9070, USA.; Department of Psychiatry, University of Texas Southwestern Medical Center, 5323  Harry Hines Blvd., Dallas, TX, 75390-9070, USA.; Department of Psychiatry, University of Texas Southwestern Medical Center, 5323  Harry Hines Blvd., Dallas, TX, 75390-9070, USA.; Department of Clinical Sciences, University of Texas Southwestern Medical Center,  5323 Harry Hines Blvd., Dallas, TX, 75390, USA.; The Johnson Center for Child Health and Development, 1700 Rio Grande St., Austin,  TX, 78701, USA.; The Johnson Center for Child Health and Development, 1700 Rio Grande St., Austin,  TX, 78701, USA.; Abacist Analytics, LLC, Austin, TX, 78701, USA.; The Johnson Center for Child Health and Development, 1700 Rio Grande St., Austin,  TX, 78701, USA.; Department of Psychiatry, University of Texas Southwestern Medical Center, 5323  Harry Hines Blvd., Dallas, TX, 75390-9070, USA. dwight.german@utsouthwestern.edu.&lt;/_author_adr&gt;&lt;_date_display&gt;2017 Jun 2&lt;/_date_display&gt;&lt;_date&gt;2017-06-02&lt;/_date&gt;&lt;_doi&gt;10.1186/s12974-017-0888-4&lt;/_doi&gt;&lt;_isbn&gt;1742-2094 (Electronic); 1742-2094 (Linking)&lt;/_isbn&gt;&lt;_issue&gt;1&lt;/_issue&gt;&lt;_journal&gt;J Neuroinflammation&lt;/_journal&gt;&lt;_keywords&gt;Autism; Biomarker; Serum proteins&lt;/_keywords&gt;&lt;_language&gt;eng&lt;/_language&gt;&lt;_pages&gt;113&lt;/_pages&gt;&lt;_subject_headings&gt;Autism Spectrum Disorder/*blood; Child; Child, Preschool; Humans; Interleukin-8/*blood; Luminescent Measurements; Male; ROC Curve; Regression Analysis; Severity of Illness Index; Thyrotropin/*blood&lt;/_subject_headings&gt;&lt;_tertiary_title&gt;Journal of neuroinflammation&lt;/_tertiary_title&gt;&lt;_type_work&gt;Journal Article; Research Support, Non-U.S. Gov&amp;apos;t&lt;/_type_work&gt;&lt;_url&gt;http://www.ncbi.nlm.nih.gov/entrez/query.fcgi?cmd=Retrieve&amp;amp;db=pubmed&amp;amp;dopt=Abstract&amp;amp;list_uids=28577577&amp;amp;query_hl=1&lt;/_url&gt;&lt;_volume&gt;14&lt;/_volume&gt;&lt;_created&gt;65460958&lt;/_created&gt;&lt;_modified&gt;65460958&lt;/_modified&gt;&lt;_impact_factor&gt;   9.300&lt;/_impact_factor&gt;&lt;_social_category&gt;免疫学(1) &amp;amp; 神经科学(1)&lt;/_social_category&gt;&lt;_collection_scope&gt;SCIE&lt;/_collection_scope&gt;&lt;/Details&gt;&lt;Extra&gt;&lt;DBUID&gt;{F96A950B-833F-4880-A151-76DA2D6A2879}&lt;/DBUID&gt;&lt;/Extra&gt;&lt;/Item&gt;&lt;/References&gt;&lt;/Group&gt;&lt;Group&gt;&lt;References&gt;&lt;Item&gt;&lt;ID&gt;6237&lt;/ID&gt;&lt;UID&gt;{25CD7703-68CC-4536-AF60-A7D61FA4FA25}&lt;/UID&gt;&lt;Title&gt;Autism spectrum disorder and severe social impairment associated with elevated  plasma interleukin-8&lt;/Title&gt;&lt;Template&gt;Journal Article&lt;/Template&gt;&lt;Star&gt;0&lt;/Star&gt;&lt;Tag&gt;0&lt;/Tag&gt;&lt;Author&gt;Shen, Y; Li, Y; Shi, L; Liu, M; Wu, R; Xia, K; Zhang, F; Ou, J; Zhao, J&lt;/Author&gt;&lt;Year&gt;2021&lt;/Year&gt;&lt;Details&gt;&lt;_accession_num&gt;32330928&lt;/_accession_num&gt;&lt;_author_adr&gt;Department of Psychiatry and Mental Health Institute of the Second Xiangya  Hospital, Central South University, The China National Clinical Research Center  for Mental Health Disorders, National Technology Institute of Psychiatry, Key  Laboratory of Psychiatry and Mental Health of Hunan Province, Changsha, Hunan,  410011, China.; Clinical Nursing Teaching and Research Section, The Second Xiangya Hospital,  Central South University, Changsha, Hunan, 410011, China.; School of Education, Hunan University of Science and Technology, Xiangtan, Hunan,  411100, China.; First Affiliated Hospital of Kunming Medical University, Kunming, 650000, China.; Department of Psychiatry and Mental Health Institute of the Second Xiangya  Hospital, Central South University, The China National Clinical Research Center  for Mental Health Disorders, National Technology Institute of Psychiatry, Key  Laboratory of Psychiatry and Mental Health of Hunan Province, Changsha, Hunan,  410011, China.; Center for Medical Genetics and School of Life Sciences, Central South  University, Changsha, Hunan, 410078, China.; Department of Psychiatry and Mental Health Institute of the Second Xiangya  Hospital, Central South University, The China National Clinical Research Center  for Mental Health Disorders, National Technology Institute of Psychiatry, Key  Laboratory of Psychiatry and Mental Health of Hunan Province, Changsha, Hunan,  410011, China.; The Global Clinical and Translational Research Institute, Bethesda, MD, 20814,  USA.; Huilongguan Clinical Medical School, Beijing Huilongguan Hospital and Peking  University, Changping District, Beijing, 100096, China.; Department of Psychiatry and Mental Health Institute of the Second Xiangya  Hospital, Central South University, The China National Clinical Research Center  for Mental Health Disorders, National Technology Institute of Psychiatry, Key  Laboratory of Psychiatry and Mental Health of Hunan Province, Changsha, Hunan,  410011, China. Oujianjun@csu.edu.cn.; Center for Medical Genetics and School of Life Sciences, Central South  University, Changsha, Hunan, 410078, China. Oujianjun@csu.edu.cn.; The Global Clinical and Translational Research Institute, Bethesda, MD, 20814,  USA. Oujianjun@csu.edu.cn.; Department of Psychiatry and Mental Health Institute of the Second Xiangya  Hospital, Central South University, The China National Clinical Research Center  for Mental Health Disorders, National Technology Institute of Psychiatry, Key  Laboratory of Psychiatry and Mental Health of Hunan Province, Changsha, Hunan,  410011, China.&lt;/_author_adr&gt;&lt;_date_display&gt;2021 Feb&lt;/_date_display&gt;&lt;_date&gt;2021-02-01&lt;/_date&gt;&lt;_doi&gt;10.1038/s41390-020-0910-x&lt;/_doi&gt;&lt;_isbn&gt;1530-0447 (Electronic); 0031-3998 (Linking)&lt;/_isbn&gt;&lt;_issue&gt;3&lt;/_issue&gt;&lt;_journal&gt;Pediatr Res&lt;/_journal&gt;&lt;_language&gt;eng&lt;/_language&gt;&lt;_pages&gt;591-597&lt;/_pages&gt;&lt;_subject_headings&gt;Area Under Curve; Autism Spectrum Disorder/*physiopathology/*psychology; Biomarkers/blood; Case-Control Studies; Child; Child, Preschool; China/epidemiology; Cross-Sectional Studies; Family Health; Female; Humans; Interferon-alpha/blood; Interferon-gamma/blood; Interleukin-7/blood; Interleukin-8/*blood; Male; Regression Analysis; Reproducibility of Results; Sensitivity and Specificity; Social Behavior Disorders/*physiopathology/*psychology&lt;/_subject_headings&gt;&lt;_tertiary_title&gt;Pediatric research&lt;/_tertiary_title&gt;&lt;_type_work&gt;Journal Article; Research Support, Non-U.S. Gov&amp;apos;t&lt;/_type_work&gt;&lt;_url&gt;http://www.ncbi.nlm.nih.gov/entrez/query.fcgi?cmd=Retrieve&amp;amp;db=pubmed&amp;amp;dopt=Abstract&amp;amp;list_uids=32330928&amp;amp;query_hl=1&lt;/_url&gt;&lt;_volume&gt;89&lt;/_volume&gt;&lt;_created&gt;65460958&lt;/_created&gt;&lt;_modified&gt;65460958&lt;/_modified&gt;&lt;_impact_factor&gt;   3.600&lt;/_impact_factor&gt;&lt;_social_category&gt;儿科(2)&lt;/_social_category&gt;&lt;_collection_scope&gt;SCIE&lt;/_collection_scope&gt;&lt;/Details&gt;&lt;Extra&gt;&lt;DBUID&gt;{F96A950B-833F-4880-A151-76DA2D6A2879}&lt;/DBUID&gt;&lt;/Extra&gt;&lt;/Item&gt;&lt;/References&gt;&lt;/Group&gt;&lt;/Citation&gt;_x000a_"/>
    <w:docVar w:name="NE.Ref{CCABC6DD-76A5-4D92-8A3D-A6FC22F5497D}" w:val=" ADDIN NE.Ref.{CCABC6DD-76A5-4D92-8A3D-A6FC22F5497D}&lt;Citation&gt;&lt;Group&gt;&lt;References&gt;&lt;Item&gt;&lt;ID&gt;6243&lt;/ID&gt;&lt;UID&gt;{2EF95C92-A856-4BB5-83F1-30AA2332294A}&lt;/UID&gt;&lt;Title&gt;Autism Spectrum Disorder: A Review&lt;/Title&gt;&lt;Template&gt;Journal Article&lt;/Template&gt;&lt;Star&gt;0&lt;/Star&gt;&lt;Tag&gt;0&lt;/Tag&gt;&lt;Author&gt;Hirota, T; King, B H&lt;/Author&gt;&lt;Year&gt;2023&lt;/Year&gt;&lt;Details&gt;&lt;_accession_num&gt;36625807&lt;/_accession_num&gt;&lt;_author_adr&gt;Department of Psychiatry and Behavioral Sciences, UCSF Weill Institute for  Neurosciences, University of California, San Francisco.; Department of Psychiatry and Behavioral Sciences, UCSF Weill Institute for  Neurosciences, University of California, San Francisco.&lt;/_author_adr&gt;&lt;_date_display&gt;2023 Jan 10&lt;/_date_display&gt;&lt;_date&gt;2023-01-10&lt;/_date&gt;&lt;_doi&gt;10.1001/jama.2022.23661&lt;/_doi&gt;&lt;_isbn&gt;1538-3598 (Electronic); 0098-7484 (Linking)&lt;/_isbn&gt;&lt;_issue&gt;2&lt;/_issue&gt;&lt;_journal&gt;JAMA&lt;/_journal&gt;&lt;_language&gt;eng&lt;/_language&gt;&lt;_pages&gt;157-168&lt;/_pages&gt;&lt;_subject_headings&gt;Adult; Child; Humans; Attention Deficit Disorder with Hyperactivity/complications/drug therapy; *Autism Spectrum Disorder/complications/diagnosis/epidemiology/therapy; Central Nervous System Stimulants/therapeutic use; Irritable Mood; United States/epidemiology&lt;/_subject_headings&gt;&lt;_tertiary_title&gt;JAMA&lt;/_tertiary_title&gt;&lt;_type_work&gt;Journal Article; Review&lt;/_type_work&gt;&lt;_url&gt;http://www.ncbi.nlm.nih.gov/entrez/query.fcgi?cmd=Retrieve&amp;amp;db=pubmed&amp;amp;dopt=Abstract&amp;amp;list_uids=36625807&amp;amp;query_hl=1&lt;/_url&gt;&lt;_volume&gt;329&lt;/_volume&gt;&lt;_created&gt;65460974&lt;/_created&gt;&lt;_modified&gt;65460974&lt;/_modified&gt;&lt;_impact_factor&gt; 120.700&lt;/_impact_factor&gt;&lt;_social_category&gt;医学：内科(1)&lt;/_social_category&gt;&lt;_collection_scope&gt;SCIE&lt;/_collection_scope&gt;&lt;/Details&gt;&lt;Extra&gt;&lt;DBUID&gt;{F96A950B-833F-4880-A151-76DA2D6A2879}&lt;/DBUID&gt;&lt;/Extra&gt;&lt;/Item&gt;&lt;/References&gt;&lt;/Group&gt;&lt;/Citation&gt;_x000a_"/>
    <w:docVar w:name="NE.Ref{CEB5B38B-A03F-4545-A1E3-B5051F5FB2C1}" w:val=" ADDIN NE.Ref.{CEB5B38B-A03F-4545-A1E3-B5051F5FB2C1}&lt;Citation&gt;&lt;Group&gt;&lt;References&gt;&lt;Item&gt;&lt;ID&gt;6228&lt;/ID&gt;&lt;UID&gt;{2160A1F2-273A-4099-B4FE-C9673FB3A9D7}&lt;/UID&gt;&lt;Title&gt;Low-dose IL-2 reduces IL-21(+) T cell frequency and induces anti-inflammatory  gene expression in type 1 diabetes&lt;/Title&gt;&lt;Template&gt;Journal Article&lt;/Template&gt;&lt;Star&gt;0&lt;/Star&gt;&lt;Tag&gt;0&lt;/Tag&gt;&lt;Author&gt;Zhang, J Y; Hamey, F; Trzupek, D; Mickunas, M; Lee, M; Godfrey, L; Yang, JHM; Pekalski, M L; Kennet, J; Waldron-Lynch, F; Evans, M L; Tree, TIM; Wicker, L S; Todd, J A; Ferreira, R C&lt;/Author&gt;&lt;Year&gt;2022&lt;/Year&gt;&lt;Details&gt;&lt;_accession_num&gt;36443294&lt;/_accession_num&gt;&lt;_author_adr&gt;JDRF/Wellcome Diabetes and Inflammation Laboratory, Wellcome Centre for Human  Genetics, Nuffield Department of Medicine, NIHR Oxford Biomedical Research  Centre, University of Oxford, Oxford, UK.; JDRF/Wellcome Diabetes and Inflammation Laboratory, Wellcome Centre for Human  Genetics, Nuffield Department of Medicine, NIHR Oxford Biomedical Research  Centre, University of Oxford, Oxford, UK.; JDRF/Wellcome Diabetes and Inflammation Laboratory, Wellcome Centre for Human  Genetics, Nuffield Department of Medicine, NIHR Oxford Biomedical Research  Centre, University of Oxford, Oxford, UK.; Department of Immunobiology, King&amp;apos;s College London, School of Immunology and  Microbial Sciences, London, UK.; JDRF/Wellcome Diabetes and Inflammation Laboratory, Wellcome Centre for Human  Genetics, Nuffield Department of Medicine, NIHR Oxford Biomedical Research  Centre, University of Oxford, Oxford, UK.; JDRF/Wellcome Diabetes and Inflammation Laboratory, Wellcome Centre for Human  Genetics, Nuffield Department of Medicine, NIHR Oxford Biomedical Research  Centre, University of Oxford, Oxford, UK.; Department of Immunobiology, King&amp;apos;s College London, School of Immunology and  Microbial Sciences, London, UK.; JDRF/Wellcome Diabetes and Inflammation Laboratory, Wellcome Centre for Human  Genetics, Nuffield Department of Medicine, NIHR Oxford Biomedical Research  Centre, University of Oxford, Oxford, UK.; Wellcome-MRC Institute of Metabolic Science, Metabolic Research Laboratories,  University of Cambridge, Cambridge, UK.; National Institute for Health Research Cambridge Biomedical Research Centre,  Addenbrooke&amp;apos;s Biomedical Campus, Cambridge, UK.; Vertex Pharmaceuticals, Vertex Cell &amp;amp; Gene Therapies, Boston, MA, USA.; Wellcome-MRC Institute of Metabolic Science, Metabolic Research Laboratories,  University of Cambridge, Cambridge, UK.; National Institute for Health Research Cambridge Biomedical Research Centre,  Addenbrooke&amp;apos;s Biomedical Campus, Cambridge, UK.; Department of Immunobiology, King&amp;apos;s College London, School of Immunology and  Microbial Sciences, London, UK.; JDRF/Wellcome Diabetes and Inflammation Laboratory, Wellcome Centre for Human  Genetics, Nuffield Department of Medicine, NIHR Oxford Biomedical Research  Centre, University of Oxford, Oxford, UK.; JDRF/Wellcome Diabetes and Inflammation Laboratory, Wellcome Centre for Human  Genetics, Nuffield Department of Medicine, NIHR Oxford Biomedical Research  Centre, University of Oxford, Oxford, UK. john.todd@well.ox.ac.uk.; JDRF/Wellcome Diabetes and Inflammation Laboratory, Wellcome Centre for Human  Genetics, Nuffield Department of Medicine, NIHR Oxford Biomedical Research  Centre, University of Oxford, Oxford, UK. ricardo.ferreira@well.ox.ac.uk.&lt;/_author_adr&gt;&lt;_date_display&gt;2022 Nov 28&lt;/_date_display&gt;&lt;_date&gt;2022-11-28&lt;/_date&gt;&lt;_doi&gt;10.1038/s41467-022-34162-3&lt;/_doi&gt;&lt;_isbn&gt;2041-1723 (Electronic); 2041-1723 (Linking)&lt;/_isbn&gt;&lt;_issue&gt;1&lt;/_issue&gt;&lt;_journal&gt;Nat Commun&lt;/_journal&gt;&lt;_language&gt;eng&lt;/_language&gt;&lt;_ori_publication&gt;© 2022. The Author(s).&lt;/_ori_publication&gt;&lt;_pages&gt;7324&lt;/_pages&gt;&lt;_subject_headings&gt;Humans; Anti-Inflammatory Agents; *Diabetes Mellitus, Type 1/drug therapy/genetics; Gene Expression; *Interleukin-2/genetics; *T-Lymphocytes/immunology&lt;/_subject_headings&gt;&lt;_tertiary_title&gt;Nature communications&lt;/_tertiary_title&gt;&lt;_type_work&gt;Journal Article&lt;/_type_work&gt;&lt;_url&gt;http://www.ncbi.nlm.nih.gov/entrez/query.fcgi?cmd=Retrieve&amp;amp;db=pubmed&amp;amp;dopt=Abstract&amp;amp;list_uids=36443294&amp;amp;query_hl=1&lt;/_url&gt;&lt;_volume&gt;13&lt;/_volume&gt;&lt;_created&gt;65460941&lt;/_created&gt;&lt;_modified&gt;65460941&lt;/_modified&gt;&lt;_impact_factor&gt;  16.600&lt;/_impact_factor&gt;&lt;_social_category&gt;综合性期刊(1)&lt;/_social_category&gt;&lt;_collection_scope&gt;SCIE&lt;/_collection_scope&gt;&lt;/Details&gt;&lt;Extra&gt;&lt;DBUID&gt;{F96A950B-833F-4880-A151-76DA2D6A2879}&lt;/DBUID&gt;&lt;/Extra&gt;&lt;/Item&gt;&lt;/References&gt;&lt;/Group&gt;&lt;/Citation&gt;_x000a_"/>
    <w:docVar w:name="NE.Ref{CF3E8F02-09AD-4279-8346-370B286C8001}" w:val=" ADDIN NE.Ref.{CF3E8F02-09AD-4279-8346-370B286C8001}&lt;Citation&gt;&lt;Group&gt;&lt;References&gt;&lt;Item&gt;&lt;ID&gt;6016&lt;/ID&gt;&lt;UID&gt;{CA533FC6-7F36-41FB-B0E2-CBF20E3D2839}&lt;/UID&gt;&lt;Title&gt;From Kanner to DSM-5: autism as an evolving diagnostic concept&lt;/Title&gt;&lt;Template&gt;Journal Article&lt;/Template&gt;&lt;Star&gt;0&lt;/Star&gt;&lt;Tag&gt;0&lt;/Tag&gt;&lt;Author&gt;Volkmar, F R; McPartland, J C&lt;/Author&gt;&lt;Year&gt;2014&lt;/Year&gt;&lt;Details&gt;&lt;_accession_num&gt;24329180&lt;/_accession_num&gt;&lt;_author_adr&gt;Child Study Center, Yale University, New Haven, Connecticut 06520; email:  fred.volkmar@yale.edu , james.mcpartland@yale.edu.&lt;/_author_adr&gt;&lt;_collection_scope&gt;SSCI;SCIE&lt;/_collection_scope&gt;&lt;_created&gt;65303468&lt;/_created&gt;&lt;_date&gt;2014-01-20&lt;/_date&gt;&lt;_date_display&gt;2014&lt;/_date_display&gt;&lt;_doi&gt;10.1146/annurev-clinpsy-032813-153710&lt;/_doi&gt;&lt;_impact_factor&gt;  18.400&lt;/_impact_factor&gt;&lt;_isbn&gt;1548-5951 (Electronic); 1548-5943 (Linking)&lt;/_isbn&gt;&lt;_journal&gt;Annu Rev Clin Psychol&lt;/_journal&gt;&lt;_language&gt;eng&lt;/_language&gt;&lt;_modified&gt;65303468&lt;/_modified&gt;&lt;_pages&gt;193-212&lt;/_pages&gt;&lt;_social_category&gt;心理学(1) &amp;amp; 心理学：临床(1)&lt;/_social_category&gt;&lt;_subject_headings&gt;Asperger Syndrome/*diagnosis/history; Autistic Disorder/*diagnosis/history; Child; Child Development Disorders, Pervasive/diagnosis/history; Child Psychiatry/history; Diagnostic and Statistical Manual of Mental Disorders; History, 20th Century; History, 21st Century; Humans&lt;/_subject_headings&gt;&lt;_tertiary_title&gt;Annual review of clinical psychology&lt;/_tertiary_title&gt;&lt;_type_work&gt;Historical Article; Journal Article; Review&lt;/_type_work&gt;&lt;_url&gt;http://www.ncbi.nlm.nih.gov/entrez/query.fcgi?cmd=Retrieve&amp;amp;db=pubmed&amp;amp;dopt=Abstract&amp;amp;list_uids=24329180&amp;amp;query_hl=1&lt;/_url&gt;&lt;_volume&gt;10&lt;/_volume&gt;&lt;/Details&gt;&lt;Extra&gt;&lt;DBUID&gt;{F96A950B-833F-4880-A151-76DA2D6A2879}&lt;/DBUID&gt;&lt;/Extra&gt;&lt;/Item&gt;&lt;/References&gt;&lt;/Group&gt;&lt;/Citation&gt;_x000a_"/>
    <w:docVar w:name="NE.Ref{D6FA40D2-A57E-4372-83D6-2904E2777136}" w:val=" ADDIN NE.Ref.{D6FA40D2-A57E-4372-83D6-2904E2777136}&lt;Citation&gt;&lt;Group&gt;&lt;References&gt;&lt;Item&gt;&lt;ID&gt;6223&lt;/ID&gt;&lt;UID&gt;{AA77B87B-4875-4CC2-8891-ECB1081C82FE}&lt;/UID&gt;&lt;Title&gt;Human Inducible Pluripotent Stem Cells and Autism Spectrum Disorder: Emerging  Technologies&lt;/Title&gt;&lt;Template&gt;Journal Article&lt;/Template&gt;&lt;Star&gt;0&lt;/Star&gt;&lt;Tag&gt;0&lt;/Tag&gt;&lt;Author&gt;Nestor, M W; Phillips, A W; Artimovich, E; Nestor, J E; Hussman, J P; Blatt, G J&lt;/Author&gt;&lt;Year&gt;2016&lt;/Year&gt;&lt;Details&gt;&lt;_accession_num&gt;26426199&lt;/_accession_num&gt;&lt;_author_adr&gt;The Hussman Institute for Autism, 801 W. Baltimore St., Suite 301, Baltimore,  Maryland, 21201.; The Hussman Institute for Autism, 801 W. Baltimore St., Suite 301, Baltimore,  Maryland, 21201.; The Hussman Institute for Autism, 801 W. Baltimore St., Suite 301, Baltimore,  Maryland, 21201.; The Hussman Institute for Autism, 801 W. Baltimore St., Suite 301, Baltimore,  Maryland, 21201.; The Hussman Institute for Autism, 801 W. Baltimore St., Suite 301, Baltimore,  Maryland, 21201.; The Hussman Institute for Autism, 801 W. Baltimore St., Suite 301, Baltimore,  Maryland, 21201.&lt;/_author_adr&gt;&lt;_date_display&gt;2016 May&lt;/_date_display&gt;&lt;_date&gt;2016-05-01&lt;/_date&gt;&lt;_doi&gt;10.1002/aur.1570&lt;/_doi&gt;&lt;_isbn&gt;1939-3806 (Electronic); 1939-3806 (Linking)&lt;/_isbn&gt;&lt;_issue&gt;5&lt;/_issue&gt;&lt;_journal&gt;Autism Res&lt;/_journal&gt;&lt;_keywords&gt;CRISPR; autism; drug-screening; high-throughput; human stem cells; inducible pluripotent stem cells; optogenetics; organoids&lt;/_keywords&gt;&lt;_language&gt;eng&lt;/_language&gt;&lt;_ori_publication&gt;© 2015 International Society for Autism Research, Wiley Periodicals, Inc.&lt;/_ori_publication&gt;&lt;_pages&gt;513-35&lt;/_pages&gt;&lt;_subject_headings&gt;Animals; Autism Spectrum Disorder/*genetics/*physiopathology/therapy; Genomics/*methods; Humans; *Induced Pluripotent Stem Cells; Models, Biological&lt;/_subject_headings&gt;&lt;_tertiary_title&gt;Autism research : official journal of the International Society for Autism _x000d__x000a_      Research&lt;/_tertiary_title&gt;&lt;_type_work&gt;Journal Article; Review&lt;/_type_work&gt;&lt;_url&gt;http://www.ncbi.nlm.nih.gov/entrez/query.fcgi?cmd=Retrieve&amp;amp;db=pubmed&amp;amp;dopt=Abstract&amp;amp;list_uids=26426199&amp;amp;query_hl=1&lt;/_url&gt;&lt;_volume&gt;9&lt;/_volume&gt;&lt;_created&gt;65460930&lt;/_created&gt;&lt;_modified&gt;65460930&lt;/_modified&gt;&lt;_impact_factor&gt;   4.700&lt;/_impact_factor&gt;&lt;_social_category&gt;行为科学(1) &amp;amp; 心理学：发育(3)&lt;/_social_category&gt;&lt;_collection_scope&gt;SSCI;SCIE&lt;/_collection_scope&gt;&lt;/Details&gt;&lt;Extra&gt;&lt;DBUID&gt;{F96A950B-833F-4880-A151-76DA2D6A2879}&lt;/DBUID&gt;&lt;/Extra&gt;&lt;/Item&gt;&lt;/References&gt;&lt;/Group&gt;&lt;Group&gt;&lt;References&gt;&lt;Item&gt;&lt;ID&gt;6224&lt;/ID&gt;&lt;UID&gt;{8D503E96-AA8D-4D30-9926-8BD367E2C3FC}&lt;/UID&gt;&lt;Title&gt;A pilot study of high-dose intravenous immunoglobulin 5% for autism: Impact on  autism spectrum and markers of neuroinflammation&lt;/Title&gt;&lt;Template&gt;Journal Article&lt;/Template&gt;&lt;Star&gt;0&lt;/Star&gt;&lt;Tag&gt;0&lt;/Tag&gt;&lt;Author&gt;Melamed, I R; Heffron, M; Testori, A; Lipe, K&lt;/Author&gt;&lt;Year&gt;2018&lt;/Year&gt;&lt;Details&gt;&lt;_accession_num&gt;29427532&lt;/_accession_num&gt;&lt;_author_adr&gt;IMMUNOe Research Centers, Centennial, Colorado.; IMMUNOe Research Centers, Centennial, Colorado.; IMMUNOe Research Centers, Centennial, Colorado.; IMMUNOe Research Centers, Centennial, Colorado.&lt;/_author_adr&gt;&lt;_date_display&gt;2018 Mar&lt;/_date_display&gt;&lt;_date&gt;2018-03-01&lt;/_date&gt;&lt;_doi&gt;10.1002/aur.1906&lt;/_doi&gt;&lt;_isbn&gt;1939-3806 (Electronic); 1939-3806 (Linking)&lt;/_isbn&gt;&lt;_issue&gt;3&lt;/_issue&gt;&lt;_journal&gt;Autism Res&lt;/_journal&gt;&lt;_keywords&gt;autism spectrum disorder; epigenetic; innate immunity; intravenous immunoglobulin; neuroinflammation&lt;/_keywords&gt;&lt;_language&gt;eng&lt;/_language&gt;&lt;_ori_publication&gt;© 2018 International Society for Autism Research, Wiley Periodicals, Inc.&lt;/_ori_publication&gt;&lt;_pages&gt;421-433&lt;/_pages&gt;&lt;_subject_headings&gt;Adolescent; Autism Spectrum Disorder/blood/*complications; B-Lymphocytes/drug effects/metabolism; Biomarkers/blood; CD40 Ligand/blood/drug effects; Child; Child, Preschool; Female; Forkhead Transcription Factors/blood/drug effects; Humans; Immune System Diseases/blood/*complications/*drug therapy; Immunoglobulins, Intravenous/blood/*therapeutic use; Inflammation/blood/*drug therapy/prevention &amp;amp; control; Lymphocytes/drug effects/metabolism; Male; Neuroprotective Agents/blood/*therapeutic use; Pilot Projects; Toll-Like Receptor 4/blood/drug effects&lt;/_subject_headings&gt;&lt;_tertiary_title&gt;Autism research : official journal of the International Society for Autism _x000d__x000a_      Research&lt;/_tertiary_title&gt;&lt;_type_work&gt;Clinical Trial, Phase IV; Journal Article; Research Support, Non-U.S. Gov&amp;apos;t&lt;/_type_work&gt;&lt;_url&gt;http://www.ncbi.nlm.nih.gov/entrez/query.fcgi?cmd=Retrieve&amp;amp;db=pubmed&amp;amp;dopt=Abstract&amp;amp;list_uids=29427532&amp;amp;query_hl=1&lt;/_url&gt;&lt;_volume&gt;11&lt;/_volume&gt;&lt;_created&gt;65460932&lt;/_created&gt;&lt;_modified&gt;65460932&lt;/_modified&gt;&lt;_impact_factor&gt;   4.700&lt;/_impact_factor&gt;&lt;_social_category&gt;行为科学(1) &amp;amp; 心理学：发育(3)&lt;/_social_category&gt;&lt;_collection_scope&gt;SSCI;SCIE&lt;/_collection_scope&gt;&lt;/Details&gt;&lt;Extra&gt;&lt;DBUID&gt;{F96A950B-833F-4880-A151-76DA2D6A2879}&lt;/DBUID&gt;&lt;/Extra&gt;&lt;/Item&gt;&lt;/References&gt;&lt;/Group&gt;&lt;Group&gt;&lt;References&gt;&lt;Item&gt;&lt;ID&gt;6225&lt;/ID&gt;&lt;UID&gt;{36AAC99C-D925-4407-BD4B-2BDF44DF8DC8}&lt;/UID&gt;&lt;Title&gt;Kawasaki disease in childhood and psychiatric disorders: A population-based  case-control prospective study in Taiwan&lt;/Title&gt;&lt;Template&gt;Journal Article&lt;/Template&gt;&lt;Star&gt;0&lt;/Star&gt;&lt;Tag&gt;0&lt;/Tag&gt;&lt;Author&gt;Chen, D T; Chang, J P; Cheng, S W; Chang, H C; Hsu, J H; Chang, H H; Chiu, W C; Su, K P&lt;/Author&gt;&lt;Year&gt;2022&lt;/Year&gt;&lt;Details&gt;&lt;_accession_num&gt;34848339&lt;/_accession_num&gt;&lt;_author_adr&gt;School of Chinese Medicine, College of Chinese Medicine, China Medical  University, Taichung, Taiwan; Department of Psychiatry and Mind-Body Interface  Laboratory (MBI-Lab), China Medical University Hospital, Taichung, Taiwan;  Graduate Institute of Biomedicine, College of Medicine, China Medical University,  Taichung, Taiwan.; Department of Psychiatry and Mind-Body Interface Laboratory (MBI-Lab), China  Medical University Hospital, Taichung, Taiwan; Graduate Institute of Biomedicine,  College of Medicine, China Medical University, Taichung, Taiwan; School of  Medicine, College of Medicine, China Medical University, Taichung, Taiwan.; Department of Psychiatry and Mind-Body Interface Laboratory (MBI-Lab), China  Medical University Hospital, Taichung, Taiwan; School of Medicine, College of  Medicine, China Medical University, Taichung, Taiwan.; Department of Psychiatry and Mind-Body Interface Laboratory (MBI-Lab), China  Medical University Hospital, Taichung, Taiwan.; Department of Pediatrics, Kaohsiung Medical University Hospital, Kaohsiung  Medical University, Kaohsiung, Taiwan.; Graduate Institute of Integrated Medicine, College of Chinese Medicine, and  Chinese Medicine Research Center, China Medical University, Taiwan; Department of  Chinese Medicine, China Medical University Hospital, Taichung, Taiwan.; School of Medicine, Fu Jen Catholic University, Taipei, Taiwan; Department of  Psychiatry, Cathay General Hospital, Taipei, Taiwan. Electronic address:  ppk11642@gmail.com.; Department of Psychiatry and Mind-Body Interface Laboratory (MBI-Lab), China  Medical University Hospital, Taichung, Taiwan; Graduate Institute of Biomedicine,  College of Medicine, China Medical University, Taichung, Taiwan; School of  Medicine, College of Medicine, China Medical University, Taichung, Taiwan; An-Nan  Hospital, China Medical University, Tainan, Taiwan. Electronic address:  cobolsu@gmail.com.&lt;/_author_adr&gt;&lt;_date_display&gt;2022 Feb&lt;/_date_display&gt;&lt;_date&gt;2022-02-01&lt;/_date&gt;&lt;_doi&gt;10.1016/j.bbi.2021.11.017&lt;/_doi&gt;&lt;_isbn&gt;1090-2139 (Electronic); 0889-1591 (Linking)&lt;/_isbn&gt;&lt;_journal&gt;Brain Behav Immun&lt;/_journal&gt;&lt;_keywords&gt;Inflammation; Intravenous immunoglobulin (IVIG); Kawasaki disease; National Health Insurance Research Database (NHIRD); Psychiatric disorders&lt;/_keywords&gt;&lt;_language&gt;eng&lt;/_language&gt;&lt;_ori_publication&gt;Copyright © 2021 Elsevier Inc. All rights reserved.&lt;/_ori_publication&gt;&lt;_pages&gt;105-111&lt;/_pages&gt;&lt;_subject_headings&gt;*Attention Deficit Disorder with Hyperactivity/complications/epidemiology; Case-Control Studies; Humans; *Mucocutaneous Lymph Node Syndrome/complications/epidemiology; Prospective Studies; Taiwan/epidemiology&lt;/_subject_headings&gt;&lt;_tertiary_title&gt;Brain, behavior, and immunity&lt;/_tertiary_title&gt;&lt;_type_work&gt;Journal Article; Research Support, Non-U.S. Gov&amp;apos;t&lt;/_type_work&gt;&lt;_url&gt;http://www.ncbi.nlm.nih.gov/entrez/query.fcgi?cmd=Retrieve&amp;amp;db=pubmed&amp;amp;dopt=Abstract&amp;amp;list_uids=34848339&amp;amp;query_hl=1&lt;/_url&gt;&lt;_volume&gt;100&lt;/_volume&gt;&lt;_created&gt;65460932&lt;/_created&gt;&lt;_modified&gt;65460932&lt;/_modified&gt;&lt;_impact_factor&gt;  15.100&lt;/_impact_factor&gt;&lt;_social_category&gt;免疫学(2) &amp;amp; 神经科学(2) &amp;amp; 精神病学(2)&lt;/_social_category&gt;&lt;_collection_scope&gt;SCIE&lt;/_collection_scope&gt;&lt;/Details&gt;&lt;Extra&gt;&lt;DBUID&gt;{F96A950B-833F-4880-A151-76DA2D6A2879}&lt;/DBUID&gt;&lt;/Extra&gt;&lt;/Item&gt;&lt;/References&gt;&lt;/Group&gt;&lt;/Citation&gt;_x000a_"/>
    <w:docVar w:name="NE.Ref{DCDE99D5-D2B2-4674-A4CF-4FB8039B5FCF}" w:val=" ADDIN NE.Ref.{DCDE99D5-D2B2-4674-A4CF-4FB8039B5FCF}&lt;Citation&gt;&lt;Group&gt;&lt;References&gt;&lt;Item&gt;&lt;ID&gt;6226&lt;/ID&gt;&lt;UID&gt;{D5410057-B13A-4E7A-AE26-FFA02E129A83}&lt;/UID&gt;&lt;Title&gt;TH1/Treg ratio may be a marker of autism in children with immune dysfunction&lt;/Title&gt;&lt;Template&gt;Journal Article&lt;/Template&gt;&lt;Star&gt;0&lt;/Star&gt;&lt;Tag&gt;0&lt;/Tag&gt;&lt;Author&gt;Nie, Zu-Qing; Han, Dong; Zhang, Kun; Li, Meng; Kwon, Ho-Keun; Im, Sin-Hyeog; Xu, Li; Yang, Ji-chun; Li, Zhi-Wei; Huang, Xin-Wei; Wen, Jie; Shu-Jun, Yang; Yin, Fang; Shen, Chen; Ashwood, Paul; Kang, Chuan-Yuan; Cao, Xia&lt;/Author&gt;&lt;Year&gt;2023&lt;/Year&gt;&lt;Details&gt;&lt;_doi&gt;10.1016/j.rasd.2022.102085&lt;/_doi&gt;&lt;_created&gt;65460934&lt;/_created&gt;&lt;_modified&gt;65460934&lt;/_modified&gt;&lt;_url&gt;https://linkinghub.elsevier.com/retrieve/pii/S1750946722001726_x000d__x000a_https://api.elsevier.com/content/article/PII:S1750946722001726?httpAccept=text/xml&lt;/_url&gt;&lt;_journal&gt;Research in Autism Spectrum Disorders&lt;/_journal&gt;&lt;_volume&gt;101&lt;/_volume&gt;&lt;_pages&gt;102085&lt;/_pages&gt;&lt;_tertiary_title&gt;Research in Autism Spectrum Disorders&lt;/_tertiary_title&gt;&lt;_isbn&gt;17509467&lt;/_isbn&gt;&lt;_accessed&gt;65460934&lt;/_accessed&gt;&lt;_db_updated&gt;CrossRef&lt;/_db_updated&gt;&lt;_impact_factor&gt;   2.500&lt;/_impact_factor&gt;&lt;_social_category&gt;特殊教育学(4) &amp;amp; 精神病学(4) &amp;amp; 心理学：发育(4) &amp;amp; 康复医学(3)&lt;/_social_category&gt;&lt;_collection_scope&gt;SSCI&lt;/_collection_scope&gt;&lt;/Details&gt;&lt;Extra&gt;&lt;DBUID&gt;{F96A950B-833F-4880-A151-76DA2D6A2879}&lt;/DBUID&gt;&lt;/Extra&gt;&lt;/Item&gt;&lt;/References&gt;&lt;/Group&gt;&lt;/Citation&gt;_x000a_"/>
    <w:docVar w:name="NE.Ref{E435D030-A997-48CF-90DB-E29D3072B667}" w:val=" ADDIN NE.Ref.{E435D030-A997-48CF-90DB-E29D3072B667}&lt;Citation&gt;&lt;Group&gt;&lt;References&gt;&lt;Item&gt;&lt;ID&gt;5828&lt;/ID&gt;&lt;UID&gt;{B95F6502-660B-4BBA-8FFF-1E143C2A8F89}&lt;/UID&gt;&lt;Title&gt;Prevalence and Characteristics of Autism Spectrum Disorder Among Children Aged 8  Years - Autism and Developmental Disabilities Monitoring Network, 11 Sites,  United States, 2020&lt;/Title&gt;&lt;Template&gt;Journal Article&lt;/Template&gt;&lt;Star&gt;0&lt;/Star&gt;&lt;Tag&gt;0&lt;/Tag&gt;&lt;Author&gt;Maenner, M J; Warren, Z; Williams, A R; Amoakohene, E; Bakian, A V; Bilder, D A; Durkin, M S; Fitzgerald, R T; Furnier, S M; Hughes, M M; Ladd-Acosta, C M; McArthur, D; Pas, E T; Salinas, A; Vehorn, A; Williams, S; Esler, A; Grzybowski, A; Hall-Lande, J; Nguyen, RHN; Pierce, K; Zahorodny, W; Hudson, A; Hallas, L; Mancilla, K C; Patrick, M; Shenouda, J; Sidwell, K; DiRienzo, M; Gutierrez, J; Spivey, M H; Lopez, M; Pettygrove, S; Schwenk, Y D; Washington, A; Shaw, K A&lt;/Author&gt;&lt;Year&gt;2023&lt;/Year&gt;&lt;Details&gt;&lt;_accession_num&gt;36952288&lt;/_accession_num&gt;&lt;_collection_scope&gt;SCIE&lt;/_collection_scope&gt;&lt;_created&gt;64855333&lt;/_created&gt;&lt;_date&gt;2023-03-24&lt;/_date&gt;&lt;_date_display&gt;2023 Mar 24&lt;/_date_display&gt;&lt;_doi&gt;10.15585/mmwr.ss7202a1&lt;/_doi&gt;&lt;_impact_factor&gt;  24.900&lt;/_impact_factor&gt;&lt;_isbn&gt;1545-8636 (Electronic); 1546-0738 (Print); 1545-8636 (Linking)&lt;/_isbn&gt;&lt;_issue&gt;2&lt;/_issue&gt;&lt;_journal&gt;MMWR Surveill Summ&lt;/_journal&gt;&lt;_language&gt;eng&lt;/_language&gt;&lt;_modified&gt;65162241&lt;/_modified&gt;&lt;_pages&gt;1-14&lt;/_pages&gt;&lt;_social_category&gt;医学(1)&lt;/_social_category&gt;&lt;_subject_headings&gt;Male; Female; Humans; Child; United States/epidemiology; Child, Preschool; *Autism Spectrum Disorder/epidemiology; *Autistic Disorder/diagnosis/epidemiology; Prevalence; *Intellectual Disability; Developmental Disabilities; Population Surveillance; Maryland&lt;/_subject_headings&gt;&lt;_tertiary_title&gt;Morbidity and mortality weekly report. Surveillance summaries (Washington, D.C. : _x000d__x000a_      2002)&lt;/_tertiary_title&gt;&lt;_type_work&gt;Journal Article&lt;/_type_work&gt;&lt;_url&gt;http://www.ncbi.nlm.nih.gov/entrez/query.fcgi?cmd=Retrieve&amp;amp;db=pubmed&amp;amp;dopt=Abstract&amp;amp;list_uids=36952288&amp;amp;query_hl=1&lt;/_url&gt;&lt;_volume&gt;72&lt;/_volume&gt;&lt;/Details&gt;&lt;Extra&gt;&lt;DBUID&gt;{F96A950B-833F-4880-A151-76DA2D6A2879}&lt;/DBUID&gt;&lt;/Extra&gt;&lt;/Item&gt;&lt;/References&gt;&lt;/Group&gt;&lt;/Citation&gt;_x000a_"/>
    <w:docVar w:name="NE.Ref{F868B38A-C264-4995-ADA4-2CB1854CCCBD}" w:val=" ADDIN NE.Ref.{F868B38A-C264-4995-ADA4-2CB1854CCCBD}&lt;Citation&gt;&lt;Group&gt;&lt;References&gt;&lt;Item&gt;&lt;ID&gt;6231&lt;/ID&gt;&lt;UID&gt;{FADBEEF3-69A9-4C71-9964-49CCB1345671}&lt;/UID&gt;&lt;Title&gt;Autonomic and hedonic response to affective touch in autism spectrum disorder&lt;/Title&gt;&lt;Template&gt;Journal Article&lt;/Template&gt;&lt;Star&gt;0&lt;/Star&gt;&lt;Tag&gt;0&lt;/Tag&gt;&lt;Author&gt;Capiotto, F; Romano, Cappi G; Mirlisenna, I; Mazza, A; Cicinelli, G; Lauritano, C; Keller, R; Dal Monte, O&lt;/Author&gt;&lt;Year&gt;2024&lt;/Year&gt;&lt;Details&gt;&lt;_accession_num&gt;38685201&lt;/_accession_num&gt;&lt;_author_adr&gt;Department of Psychology, University of Turin, Turin, Italy.; Department of Psychology, University of Turin, Turin, Italy.; Department of Psychology, University of Turin, Turin, Italy.; Department of Psychology, University of Turin, Turin, Italy.; Adult Autism Center, Mental Health Department, Local Health Unit ASL Città di  Torino, Turin, Italy.; Adult Autism Center, Mental Health Department, Local Health Unit ASL Città di  Torino, Turin, Italy.; Adult Autism Center, Mental Health Department, Local Health Unit ASL Città di  Torino, Turin, Italy.; Department of Psychology, University of Turin, Turin, Italy.; Department of Psychology, Yale University, New Haven, Connecticut, USA.&lt;/_author_adr&gt;&lt;_date_display&gt;2024 May&lt;/_date_display&gt;&lt;_date&gt;2024-05-01&lt;/_date&gt;&lt;_doi&gt;10.1002/aur.3143&lt;/_doi&gt;&lt;_isbn&gt;1939-3806 (Electronic); 1939-3806 (Linking)&lt;/_isbn&gt;&lt;_issue&gt;5&lt;/_issue&gt;&lt;_journal&gt;Autism Res&lt;/_journal&gt;&lt;_keywords&gt;affective touch; autism spectrum disorder; autonomic response; explicit processing; hedonic response; implicit processing; skin conductance response&lt;/_keywords&gt;&lt;_language&gt;eng&lt;/_language&gt;&lt;_ori_publication&gt;© 2024 International Society for Autism Research and Wiley Periodicals LLC.&lt;/_ori_publication&gt;&lt;_pages&gt;923-933&lt;/_pages&gt;&lt;_subject_headings&gt;Humans; *Autism Spectrum Disorder/physiopathology/psychology; Male; Adult; Female; *Galvanic Skin Response/physiology; *Autonomic Nervous System/physiopathology; Young Adult; *Touch/physiology; *Affect/physiology; Touch Perception/physiology; Adolescent&lt;/_subject_headings&gt;&lt;_tertiary_title&gt;Autism research : official journal of the International Society for Autism _x000d__x000a_      Research&lt;/_tertiary_title&gt;&lt;_type_work&gt;Journal Article&lt;/_type_work&gt;&lt;_url&gt;http://www.ncbi.nlm.nih.gov/entrez/query.fcgi?cmd=Retrieve&amp;amp;db=pubmed&amp;amp;dopt=Abstract&amp;amp;list_uids=38685201&amp;amp;query_hl=1&lt;/_url&gt;&lt;_volume&gt;17&lt;/_volume&gt;&lt;_created&gt;65460949&lt;/_created&gt;&lt;_modified&gt;65460949&lt;/_modified&gt;&lt;_impact_factor&gt;   4.700&lt;/_impact_factor&gt;&lt;_social_category&gt;行为科学(1) &amp;amp; 心理学：发育(3)&lt;/_social_category&gt;&lt;_collection_scope&gt;SSCI;SCIE&lt;/_collection_scope&gt;&lt;/Details&gt;&lt;Extra&gt;&lt;DBUID&gt;{F96A950B-833F-4880-A151-76DA2D6A2879}&lt;/DBUID&gt;&lt;/Extra&gt;&lt;/Item&gt;&lt;/References&gt;&lt;/Group&gt;&lt;Group&gt;&lt;References&gt;&lt;Item&gt;&lt;ID&gt;6232&lt;/ID&gt;&lt;UID&gt;{A10FA1F7-92B8-42F1-AF6F-AC74FEE729A7}&lt;/UID&gt;&lt;Title&gt;Affective neural response to restricted interests in autism spectrum disorders&lt;/Title&gt;&lt;Template&gt;Journal Article&lt;/Template&gt;&lt;Star&gt;0&lt;/Star&gt;&lt;Tag&gt;0&lt;/Tag&gt;&lt;Author&gt;Cascio, C J; Foss-Feig, J H; Heacock, J; Schauder, K B; Loring, W A; Rogers, B P; Pryweller, J R; Newsom, C R; Cockhren, J; Cao, A; Bolton, S&lt;/Author&gt;&lt;Year&gt;2014&lt;/Year&gt;&lt;Details&gt;&lt;_accession_num&gt;24117668&lt;/_accession_num&gt;&lt;_author_adr&gt;Vanderbilt University Department of Psychiatry, Nashville, TN, USA; Vanderbilt  Kennedy Center, Nashville, TN, USA; Vanderbilt University Department of  Pediatrics, Nashville, TN, USA.&lt;/_author_adr&gt;&lt;_date_display&gt;2014&lt;/_date_display&gt;&lt;_date&gt;2014-01-20&lt;/_date&gt;&lt;_doi&gt;10.1111/jcpp.12147&lt;/_doi&gt;&lt;_isbn&gt;1469-7610 (Electronic); 0021-9630 (Print); 0021-9630 (Linking)&lt;/_isbn&gt;&lt;_issue&gt;2&lt;/_issue&gt;&lt;_journal&gt;J Child Psychol Psychiatry&lt;/_journal&gt;&lt;_keywords&gt;Autism; fMRI; insula; repetitive behavior; restricted interests; reward; salience&lt;/_keywords&gt;&lt;_language&gt;eng&lt;/_language&gt;&lt;_ori_publication&gt;© 2013 The Authors. Journal of Child Psychology and Psychiatry © 2013 Association _x000d__x000a_      for Child and Adolescent Mental Health.&lt;/_ori_publication&gt;&lt;_pages&gt;162-71&lt;/_pages&gt;&lt;_subject_headings&gt;Adolescent; Affect/*physiology; Cerebral Cortex/*physiopathology; Child; Child Development Disorders, Pervasive/*physiopathology; Gyrus Cinguli/physiopathology; Hobbies/*psychology; Humans; Male; Nerve Net/physiopathology&lt;/_subject_headings&gt;&lt;_tertiary_title&gt;Journal of child psychology and psychiatry, and allied disciplines&lt;/_tertiary_title&gt;&lt;_type_work&gt;Journal Article; Research Support, N.I.H., Extramural&lt;/_type_work&gt;&lt;_url&gt;http://www.ncbi.nlm.nih.gov/entrez/query.fcgi?cmd=Retrieve&amp;amp;db=pubmed&amp;amp;dopt=Abstract&amp;amp;list_uids=24117668&amp;amp;query_hl=1&lt;/_url&gt;&lt;_volume&gt;55&lt;/_volume&gt;&lt;_created&gt;65460950&lt;/_created&gt;&lt;_modified&gt;65460950&lt;/_modified&gt;&lt;_impact_factor&gt;   7.600&lt;/_impact_factor&gt;&lt;_social_category&gt;精神病学(1) &amp;amp; 心理学(1) &amp;amp; 心理学：发育(1)&lt;/_social_category&gt;&lt;_collection_scope&gt;SSCI;SCIE&lt;/_collection_scope&gt;&lt;/Details&gt;&lt;Extra&gt;&lt;DBUID&gt;{F96A950B-833F-4880-A151-76DA2D6A2879}&lt;/DBUID&gt;&lt;/Extra&gt;&lt;/Item&gt;&lt;/References&gt;&lt;/Group&gt;&lt;/Citation&gt;_x000a_"/>
    <w:docVar w:name="NE.Ref{FA4DDDA5-8961-4760-AD72-31F71849FAB9}" w:val=" ADDIN NE.Ref.{FA4DDDA5-8961-4760-AD72-31F71849FAB9}&lt;Citation&gt;&lt;Group&gt;&lt;References&gt;&lt;Item&gt;&lt;ID&gt;6233&lt;/ID&gt;&lt;UID&gt;{5354B47F-CDC3-4FDD-8FCF-0EB25A1716A0}&lt;/UID&gt;&lt;Title&gt;Relationship Between Motor Skills and Language Abilities in Children With Autism  Spectrum Disorder&lt;/Title&gt;&lt;Template&gt;Journal Article&lt;/Template&gt;&lt;Star&gt;0&lt;/Star&gt;&lt;Tag&gt;0&lt;/Tag&gt;&lt;Author&gt;Wu, Y T; Tsao, C H; Huang, H C; Yang, T A; Li, Y J&lt;/Author&gt;&lt;Year&gt;2021&lt;/Year&gt;&lt;Details&gt;&lt;_accession_num&gt;33522583&lt;/_accession_num&gt;&lt;_author_adr&gt;School and Graduate Institute of Physical Therapy, College of Medicine, National  Taiwan University, Taipei, Taiwan.; Department of Physical Medicine and Rehabilitation, National Taiwan University  Hospital, Taipei, Taiwan.; Department of Foreign Languages and Literatures, National Taiwan University,  Taipei, Taiwan.; Department of Psychology, National Taiwan University, Taipei, Taiwan.; Department of Psychology, National Taiwan University, Taipei, Taiwan.; Department of Guidance and Counseling, National Changhua University of Education,  Chunghua, Taiwan.; Insititute of Epidemiology and Prevention Medicine, National Taiwan University,  Taipei, Taiwan.&lt;/_author_adr&gt;&lt;_date_display&gt;2021 May 4&lt;/_date_display&gt;&lt;_date&gt;2021-05-04&lt;/_date&gt;&lt;_doi&gt;10.1093/ptj/pzab033&lt;/_doi&gt;&lt;_isbn&gt;1538-6724 (Electronic); 0031-9023 (Linking)&lt;/_isbn&gt;&lt;_issue&gt;5&lt;/_issue&gt;&lt;_journal&gt;Phys Ther&lt;/_journal&gt;&lt;_keywords&gt;ASD; Development; Language; Motor; Toddler&lt;/_keywords&gt;&lt;_language&gt;eng&lt;/_language&gt;&lt;_ori_publication&gt;© The Author(s) 2021. Published by Oxford University Press on behalf of the _x000d__x000a_      American Physical Therapy Association. All rights reserved. For permissions, _x000d__x000a_      please email: journals.permissions@oup.com.&lt;/_ori_publication&gt;&lt;_subject_headings&gt;Autism Spectrum Disorder/*physiopathology; Child, Preschool; Female; Humans; *Language Development; Language Disorders/*physiopathology; Male; Motor Skills/*physiology&lt;/_subject_headings&gt;&lt;_tertiary_title&gt;Physical therapy&lt;/_tertiary_title&gt;&lt;_type_work&gt;Comparative Study; Journal Article&lt;/_type_work&gt;&lt;_url&gt;http://www.ncbi.nlm.nih.gov/entrez/query.fcgi?cmd=Retrieve&amp;amp;db=pubmed&amp;amp;dopt=Abstract&amp;amp;list_uids=33522583&amp;amp;query_hl=1&lt;/_url&gt;&lt;_volume&gt;101&lt;/_volume&gt;&lt;_created&gt;65460955&lt;/_created&gt;&lt;_modified&gt;65460955&lt;/_modified&gt;&lt;_impact_factor&gt;   3.200&lt;/_impact_factor&gt;&lt;_social_category&gt;骨科(3) &amp;amp; 康复医学(3)&lt;/_social_category&gt;&lt;_collection_scope&gt;SCIE&lt;/_collection_scope&gt;&lt;/Details&gt;&lt;Extra&gt;&lt;DBUID&gt;{F96A950B-833F-4880-A151-76DA2D6A2879}&lt;/DBUID&gt;&lt;/Extra&gt;&lt;/Item&gt;&lt;/References&gt;&lt;/Group&gt;&lt;/Citation&gt;_x000a_"/>
    <w:docVar w:name="NE.Ref{FEA0511D-A185-41E4-8988-1FE47AF29486}" w:val=" ADDIN NE.Ref.{FEA0511D-A185-41E4-8988-1FE47AF29486}&lt;Citation&gt;&lt;Group&gt;&lt;References&gt;&lt;Item&gt;&lt;ID&gt;6242&lt;/ID&gt;&lt;UID&gt;{9B24C868-CEA8-4620-AB22-2CE066B40554}&lt;/UID&gt;&lt;Title&gt;Intravenous immunoglobulin for the treatment of autoimmune encephalopathy in  children with autism&lt;/Title&gt;&lt;Template&gt;Journal Article&lt;/Template&gt;&lt;Star&gt;0&lt;/Star&gt;&lt;Tag&gt;0&lt;/Tag&gt;&lt;Author&gt;Connery, K; Tippett, M; Delhey, L M; Rose, S; Slattery, J C; Kahler, S G; Hahn, J; Kruger, U; Cunningham, M W; Shimasaki, C; Frye, R E&lt;/Author&gt;&lt;Year&gt;2018&lt;/Year&gt;&lt;Details&gt;&lt;_accession_num&gt;30097568&lt;/_accession_num&gt;&lt;_author_adr&gt;University of Arkansas for Medical Sciences, Little Rock, AR, 77205, USA.; University of Arkansas for Medical Sciences, Little Rock, AR, 77205, USA.; University of Arkansas for Medical Sciences, Little Rock, AR, 77205, USA.; University of Arkansas for Medical Sciences, Little Rock, AR, 77205, USA.; BioROSA Technologies Inc, San Francisco, CA, 94103, USA.; University of Arkansas for Medical Sciences, Little Rock, AR, 77205, USA.; Department of Biomedical Engineering, Rensselaer Polytechnic Institute, Troy, NY,  12180, USA.; Center for Biotechnology &amp;amp; Interdisciplinary Studies, Rensselaer Polytechnic  Institute, Troy, NY, 12180, USA.; Department of Biomedical Engineering, Rensselaer Polytechnic Institute, Troy, NY,  12180, USA.; Department of Microbiology and Immunology, University of Oklahoma Health Sciences  Center, Oklahoma City, OK, 73104, USA.; Moleculera Labs, Inc, Oklahoma City, OK, USA.; Barrow Neurological Institute at Phoenix Children&amp;apos;s Hospital, Phoenix, AZ, USA.  rfrye@phoenixchildrens.com.; Department of Child Health, University of Arizona College of Medicine - Phoenix,  Phoenix, AZ, USA. rfrye@phoenixchildrens.com.&lt;/_author_adr&gt;&lt;_date_display&gt;2018 Aug 10&lt;/_date_display&gt;&lt;_date&gt;2018-08-10&lt;/_date&gt;&lt;_doi&gt;10.1038/s41398-018-0214-7&lt;/_doi&gt;&lt;_isbn&gt;2158-3188 (Electronic); 2158-3188 (Linking)&lt;/_isbn&gt;&lt;_issue&gt;1&lt;/_issue&gt;&lt;_journal&gt;Transl Psychiatry&lt;/_journal&gt;&lt;_language&gt;eng&lt;/_language&gt;&lt;_pages&gt;148&lt;/_pages&gt;&lt;_subject_headings&gt;Administration, Intravenous; Adolescent; Ambulatory Care Facilities; Arkansas; Autism Spectrum Disorder/*complications; Case-Control Studies; Child; Child, Preschool; Encephalitis/*drug therapy; Female; Hashimoto Disease/*drug therapy; Humans; Immunoglobulins, Intravenous/*administration &amp;amp; dosage; Male; Receptors, Dopamine D1/*drug effects&lt;/_subject_headings&gt;&lt;_tertiary_title&gt;Translational psychiatry&lt;/_tertiary_title&gt;&lt;_type_work&gt;Journal Article; Observational Study; Research Support, Non-U.S. Gov&amp;apos;t&lt;/_type_work&gt;&lt;_url&gt;http://www.ncbi.nlm.nih.gov/entrez/query.fcgi?cmd=Retrieve&amp;amp;db=pubmed&amp;amp;dopt=Abstract&amp;amp;list_uids=30097568&amp;amp;query_hl=1&lt;/_url&gt;&lt;_volume&gt;8&lt;/_volume&gt;&lt;_created&gt;65460967&lt;/_created&gt;&lt;_modified&gt;65460967&lt;/_modified&gt;&lt;_impact_factor&gt;   6.800&lt;/_impact_factor&gt;&lt;_social_category&gt;精神病学(2)&lt;/_social_category&gt;&lt;_collection_scope&gt;SCIE&lt;/_collection_scope&gt;&lt;/Details&gt;&lt;Extra&gt;&lt;DBUID&gt;{F96A950B-833F-4880-A151-76DA2D6A2879}&lt;/DBUID&gt;&lt;/Extra&gt;&lt;/Item&gt;&lt;/References&gt;&lt;/Group&gt;&lt;/Citation&gt;_x000a_"/>
    <w:docVar w:name="ne_docsoft" w:val="MSWord"/>
    <w:docVar w:name="ne_docversion" w:val="NoteExpress 2.0"/>
    <w:docVar w:name="ne_stylename" w:val="BMC Psychiatry"/>
  </w:docVars>
  <w:rsids>
    <w:rsidRoot w:val="00172A27"/>
    <w:rsid w:val="00003D78"/>
    <w:rsid w:val="000442B6"/>
    <w:rsid w:val="00065E27"/>
    <w:rsid w:val="00075D97"/>
    <w:rsid w:val="000C7F1C"/>
    <w:rsid w:val="00172A27"/>
    <w:rsid w:val="0021079E"/>
    <w:rsid w:val="003204FF"/>
    <w:rsid w:val="00337586"/>
    <w:rsid w:val="00394D8A"/>
    <w:rsid w:val="004A5788"/>
    <w:rsid w:val="005C3359"/>
    <w:rsid w:val="00627B0F"/>
    <w:rsid w:val="00730BA2"/>
    <w:rsid w:val="00767ED3"/>
    <w:rsid w:val="007D6A53"/>
    <w:rsid w:val="00800B12"/>
    <w:rsid w:val="008322BB"/>
    <w:rsid w:val="0084564C"/>
    <w:rsid w:val="0087070A"/>
    <w:rsid w:val="00905758"/>
    <w:rsid w:val="00991F93"/>
    <w:rsid w:val="009C282B"/>
    <w:rsid w:val="009D0EA3"/>
    <w:rsid w:val="009F6682"/>
    <w:rsid w:val="00A804C9"/>
    <w:rsid w:val="00A81D22"/>
    <w:rsid w:val="00B561ED"/>
    <w:rsid w:val="00B83025"/>
    <w:rsid w:val="00C21F85"/>
    <w:rsid w:val="00D94BD9"/>
    <w:rsid w:val="00E8667B"/>
    <w:rsid w:val="00EC3352"/>
    <w:rsid w:val="00F036C9"/>
    <w:rsid w:val="00F51EB7"/>
    <w:rsid w:val="010B405F"/>
    <w:rsid w:val="011E3D92"/>
    <w:rsid w:val="01265258"/>
    <w:rsid w:val="012A3712"/>
    <w:rsid w:val="01316BAB"/>
    <w:rsid w:val="015E4AD6"/>
    <w:rsid w:val="016A5229"/>
    <w:rsid w:val="016B772C"/>
    <w:rsid w:val="01724389"/>
    <w:rsid w:val="01810D13"/>
    <w:rsid w:val="018C1643"/>
    <w:rsid w:val="019E4ED3"/>
    <w:rsid w:val="01BF37C7"/>
    <w:rsid w:val="01EE7C08"/>
    <w:rsid w:val="01F55B88"/>
    <w:rsid w:val="01FB40D3"/>
    <w:rsid w:val="01FF3BC3"/>
    <w:rsid w:val="02014BE1"/>
    <w:rsid w:val="02014C35"/>
    <w:rsid w:val="020513CF"/>
    <w:rsid w:val="020B790C"/>
    <w:rsid w:val="02280608"/>
    <w:rsid w:val="022B2969"/>
    <w:rsid w:val="022B3A92"/>
    <w:rsid w:val="02352754"/>
    <w:rsid w:val="023A4BFB"/>
    <w:rsid w:val="024D3E2B"/>
    <w:rsid w:val="026314A3"/>
    <w:rsid w:val="02693733"/>
    <w:rsid w:val="02704AC1"/>
    <w:rsid w:val="02757725"/>
    <w:rsid w:val="02882A90"/>
    <w:rsid w:val="029D518A"/>
    <w:rsid w:val="02AD1871"/>
    <w:rsid w:val="02AE4BE1"/>
    <w:rsid w:val="02BA3F18"/>
    <w:rsid w:val="02CA1633"/>
    <w:rsid w:val="02D34F0E"/>
    <w:rsid w:val="02E132C9"/>
    <w:rsid w:val="02FA2630"/>
    <w:rsid w:val="032338E1"/>
    <w:rsid w:val="032A1114"/>
    <w:rsid w:val="033D5165"/>
    <w:rsid w:val="03465822"/>
    <w:rsid w:val="034E3CB1"/>
    <w:rsid w:val="03511AD9"/>
    <w:rsid w:val="036D1000"/>
    <w:rsid w:val="036D7252"/>
    <w:rsid w:val="03A04F32"/>
    <w:rsid w:val="03B9070D"/>
    <w:rsid w:val="03D1333D"/>
    <w:rsid w:val="03D53812"/>
    <w:rsid w:val="03D63DFF"/>
    <w:rsid w:val="03DB0660"/>
    <w:rsid w:val="03E312C3"/>
    <w:rsid w:val="03E5328D"/>
    <w:rsid w:val="03FD4132"/>
    <w:rsid w:val="04035DFA"/>
    <w:rsid w:val="043871D9"/>
    <w:rsid w:val="043D4E77"/>
    <w:rsid w:val="044201B1"/>
    <w:rsid w:val="049250F9"/>
    <w:rsid w:val="049A4077"/>
    <w:rsid w:val="04A10F62"/>
    <w:rsid w:val="04BA2023"/>
    <w:rsid w:val="04D50BA6"/>
    <w:rsid w:val="04E048CF"/>
    <w:rsid w:val="04E83035"/>
    <w:rsid w:val="04FC088E"/>
    <w:rsid w:val="04FC263C"/>
    <w:rsid w:val="05031C1C"/>
    <w:rsid w:val="05066F9C"/>
    <w:rsid w:val="052D0A47"/>
    <w:rsid w:val="05393890"/>
    <w:rsid w:val="054364BD"/>
    <w:rsid w:val="05452235"/>
    <w:rsid w:val="05465FAD"/>
    <w:rsid w:val="054B35C3"/>
    <w:rsid w:val="05502988"/>
    <w:rsid w:val="055E50A5"/>
    <w:rsid w:val="05662D56"/>
    <w:rsid w:val="056C2377"/>
    <w:rsid w:val="05713CDF"/>
    <w:rsid w:val="05721777"/>
    <w:rsid w:val="05A97484"/>
    <w:rsid w:val="05B521A7"/>
    <w:rsid w:val="05D2339D"/>
    <w:rsid w:val="05E25CD6"/>
    <w:rsid w:val="06122203"/>
    <w:rsid w:val="063302DF"/>
    <w:rsid w:val="063F6C84"/>
    <w:rsid w:val="06470B2E"/>
    <w:rsid w:val="06473D8B"/>
    <w:rsid w:val="064E7743"/>
    <w:rsid w:val="064F2C3F"/>
    <w:rsid w:val="06640499"/>
    <w:rsid w:val="06693D01"/>
    <w:rsid w:val="066C559F"/>
    <w:rsid w:val="067C7320"/>
    <w:rsid w:val="069848F4"/>
    <w:rsid w:val="069A13F9"/>
    <w:rsid w:val="069F6A6C"/>
    <w:rsid w:val="06A47E9A"/>
    <w:rsid w:val="06BD404D"/>
    <w:rsid w:val="06C82E86"/>
    <w:rsid w:val="06D373CC"/>
    <w:rsid w:val="06D4768D"/>
    <w:rsid w:val="06D87D83"/>
    <w:rsid w:val="06FE6B3F"/>
    <w:rsid w:val="07043A2A"/>
    <w:rsid w:val="07074BF1"/>
    <w:rsid w:val="07104A12"/>
    <w:rsid w:val="0717375D"/>
    <w:rsid w:val="07177C01"/>
    <w:rsid w:val="071F0864"/>
    <w:rsid w:val="073B09C2"/>
    <w:rsid w:val="075C6D5E"/>
    <w:rsid w:val="0763164E"/>
    <w:rsid w:val="077010BF"/>
    <w:rsid w:val="07750484"/>
    <w:rsid w:val="07906EC7"/>
    <w:rsid w:val="07C136C9"/>
    <w:rsid w:val="07CD206E"/>
    <w:rsid w:val="07DD7C89"/>
    <w:rsid w:val="07F25F78"/>
    <w:rsid w:val="07FD7DA2"/>
    <w:rsid w:val="07FF06CC"/>
    <w:rsid w:val="08033CE1"/>
    <w:rsid w:val="0808579C"/>
    <w:rsid w:val="080A32C2"/>
    <w:rsid w:val="08154C98"/>
    <w:rsid w:val="08194CFA"/>
    <w:rsid w:val="08195761"/>
    <w:rsid w:val="083640B7"/>
    <w:rsid w:val="083A658E"/>
    <w:rsid w:val="08420378"/>
    <w:rsid w:val="085409E1"/>
    <w:rsid w:val="08601134"/>
    <w:rsid w:val="087D1CE6"/>
    <w:rsid w:val="08852948"/>
    <w:rsid w:val="08872B64"/>
    <w:rsid w:val="08907C6B"/>
    <w:rsid w:val="08AC6127"/>
    <w:rsid w:val="08B038D2"/>
    <w:rsid w:val="08B642C2"/>
    <w:rsid w:val="08C339E6"/>
    <w:rsid w:val="08C81ADA"/>
    <w:rsid w:val="08D17E86"/>
    <w:rsid w:val="08DE7D47"/>
    <w:rsid w:val="08FD4BD5"/>
    <w:rsid w:val="09110E74"/>
    <w:rsid w:val="0913264A"/>
    <w:rsid w:val="091C32AD"/>
    <w:rsid w:val="09240883"/>
    <w:rsid w:val="092959CA"/>
    <w:rsid w:val="093323A4"/>
    <w:rsid w:val="0935611C"/>
    <w:rsid w:val="093C7563"/>
    <w:rsid w:val="095F2B82"/>
    <w:rsid w:val="09935272"/>
    <w:rsid w:val="09AE17EA"/>
    <w:rsid w:val="09D92F4C"/>
    <w:rsid w:val="09DA6CC4"/>
    <w:rsid w:val="09EC3042"/>
    <w:rsid w:val="09F204B1"/>
    <w:rsid w:val="09F559B3"/>
    <w:rsid w:val="09FF61F8"/>
    <w:rsid w:val="0A00497C"/>
    <w:rsid w:val="0A0A1C65"/>
    <w:rsid w:val="0A110938"/>
    <w:rsid w:val="0A2319CD"/>
    <w:rsid w:val="0A27015B"/>
    <w:rsid w:val="0A3B3C06"/>
    <w:rsid w:val="0A442A3C"/>
    <w:rsid w:val="0A516F86"/>
    <w:rsid w:val="0A7F4FD9"/>
    <w:rsid w:val="0A824F92"/>
    <w:rsid w:val="0A841E0C"/>
    <w:rsid w:val="0A8C7F06"/>
    <w:rsid w:val="0A972903"/>
    <w:rsid w:val="0A9B43A5"/>
    <w:rsid w:val="0AA90116"/>
    <w:rsid w:val="0AC91212"/>
    <w:rsid w:val="0ACE3055"/>
    <w:rsid w:val="0ACF6988"/>
    <w:rsid w:val="0AD04782"/>
    <w:rsid w:val="0AD26E3F"/>
    <w:rsid w:val="0ADE3108"/>
    <w:rsid w:val="0AE14EF2"/>
    <w:rsid w:val="0AF64ACD"/>
    <w:rsid w:val="0B136931"/>
    <w:rsid w:val="0B2233A6"/>
    <w:rsid w:val="0B2E5519"/>
    <w:rsid w:val="0B3C6DA8"/>
    <w:rsid w:val="0B3F3282"/>
    <w:rsid w:val="0B6E3868"/>
    <w:rsid w:val="0B70168E"/>
    <w:rsid w:val="0B9A0B1D"/>
    <w:rsid w:val="0B9C06D5"/>
    <w:rsid w:val="0BB2614A"/>
    <w:rsid w:val="0BD75BB1"/>
    <w:rsid w:val="0BE1306D"/>
    <w:rsid w:val="0BF202F5"/>
    <w:rsid w:val="0BF437D3"/>
    <w:rsid w:val="0C040772"/>
    <w:rsid w:val="0C1069CD"/>
    <w:rsid w:val="0C134F7E"/>
    <w:rsid w:val="0C1C5898"/>
    <w:rsid w:val="0C2564FD"/>
    <w:rsid w:val="0C2661F0"/>
    <w:rsid w:val="0C311318"/>
    <w:rsid w:val="0C564D28"/>
    <w:rsid w:val="0C7D22B4"/>
    <w:rsid w:val="0CA37841"/>
    <w:rsid w:val="0CAC4948"/>
    <w:rsid w:val="0CB3468F"/>
    <w:rsid w:val="0CB622F8"/>
    <w:rsid w:val="0CC066D9"/>
    <w:rsid w:val="0CC06F69"/>
    <w:rsid w:val="0CC47EE3"/>
    <w:rsid w:val="0CDA7707"/>
    <w:rsid w:val="0CEB64A2"/>
    <w:rsid w:val="0CF234DA"/>
    <w:rsid w:val="0CF574C1"/>
    <w:rsid w:val="0CFB767D"/>
    <w:rsid w:val="0D01202C"/>
    <w:rsid w:val="0D1D0D04"/>
    <w:rsid w:val="0D200E92"/>
    <w:rsid w:val="0D2A2BE9"/>
    <w:rsid w:val="0D585083"/>
    <w:rsid w:val="0D643474"/>
    <w:rsid w:val="0D670240"/>
    <w:rsid w:val="0D6B4803"/>
    <w:rsid w:val="0D7C256C"/>
    <w:rsid w:val="0D8D29CB"/>
    <w:rsid w:val="0D9143F9"/>
    <w:rsid w:val="0D9851B7"/>
    <w:rsid w:val="0D9915B4"/>
    <w:rsid w:val="0D9F44AC"/>
    <w:rsid w:val="0DA675E9"/>
    <w:rsid w:val="0DB717F6"/>
    <w:rsid w:val="0DB75DFF"/>
    <w:rsid w:val="0DC43F13"/>
    <w:rsid w:val="0DC63D20"/>
    <w:rsid w:val="0DD4298B"/>
    <w:rsid w:val="0DD71E98"/>
    <w:rsid w:val="0DD95C10"/>
    <w:rsid w:val="0DF76096"/>
    <w:rsid w:val="0E172295"/>
    <w:rsid w:val="0E264506"/>
    <w:rsid w:val="0E282053"/>
    <w:rsid w:val="0E2C4F71"/>
    <w:rsid w:val="0E390BD1"/>
    <w:rsid w:val="0E3A5F83"/>
    <w:rsid w:val="0E410875"/>
    <w:rsid w:val="0E4868F2"/>
    <w:rsid w:val="0E511C4A"/>
    <w:rsid w:val="0E5F3D69"/>
    <w:rsid w:val="0E6A7DF0"/>
    <w:rsid w:val="0E717750"/>
    <w:rsid w:val="0E764F74"/>
    <w:rsid w:val="0E772D33"/>
    <w:rsid w:val="0E7B0A75"/>
    <w:rsid w:val="0E8F37B9"/>
    <w:rsid w:val="0E9B2EC6"/>
    <w:rsid w:val="0E9C5715"/>
    <w:rsid w:val="0EA24254"/>
    <w:rsid w:val="0EC1061B"/>
    <w:rsid w:val="0EE303C9"/>
    <w:rsid w:val="0EEE4140"/>
    <w:rsid w:val="0EF05B84"/>
    <w:rsid w:val="0F1D38DB"/>
    <w:rsid w:val="0F242EBB"/>
    <w:rsid w:val="0F492922"/>
    <w:rsid w:val="0F4C0664"/>
    <w:rsid w:val="0F4C2412"/>
    <w:rsid w:val="0F572263"/>
    <w:rsid w:val="0F5B2BE7"/>
    <w:rsid w:val="0F5C0264"/>
    <w:rsid w:val="0F655282"/>
    <w:rsid w:val="0F682278"/>
    <w:rsid w:val="0F784FB5"/>
    <w:rsid w:val="0F7F2136"/>
    <w:rsid w:val="0F977B31"/>
    <w:rsid w:val="0F9C11FA"/>
    <w:rsid w:val="0FA128EC"/>
    <w:rsid w:val="0FA61182"/>
    <w:rsid w:val="0FB155F1"/>
    <w:rsid w:val="0FC06C53"/>
    <w:rsid w:val="0FE12B5A"/>
    <w:rsid w:val="0FE268D2"/>
    <w:rsid w:val="0FF07241"/>
    <w:rsid w:val="0FF50BB3"/>
    <w:rsid w:val="10022423"/>
    <w:rsid w:val="101B0184"/>
    <w:rsid w:val="103233B6"/>
    <w:rsid w:val="10466E61"/>
    <w:rsid w:val="10525806"/>
    <w:rsid w:val="10596B94"/>
    <w:rsid w:val="10611EED"/>
    <w:rsid w:val="10685029"/>
    <w:rsid w:val="107439CE"/>
    <w:rsid w:val="107C0A85"/>
    <w:rsid w:val="108300B5"/>
    <w:rsid w:val="109B71AD"/>
    <w:rsid w:val="10A06571"/>
    <w:rsid w:val="10A51CE2"/>
    <w:rsid w:val="10A933EE"/>
    <w:rsid w:val="10B06CFF"/>
    <w:rsid w:val="10BB33AB"/>
    <w:rsid w:val="10C2298C"/>
    <w:rsid w:val="10C81F6C"/>
    <w:rsid w:val="10D13D2F"/>
    <w:rsid w:val="10D40911"/>
    <w:rsid w:val="10DB02EB"/>
    <w:rsid w:val="10DE52EC"/>
    <w:rsid w:val="10EC3BBD"/>
    <w:rsid w:val="11002D49"/>
    <w:rsid w:val="11233E57"/>
    <w:rsid w:val="112E6273"/>
    <w:rsid w:val="11381354"/>
    <w:rsid w:val="114157CD"/>
    <w:rsid w:val="114B3960"/>
    <w:rsid w:val="115A0E16"/>
    <w:rsid w:val="115A7068"/>
    <w:rsid w:val="115B4B8E"/>
    <w:rsid w:val="116137EE"/>
    <w:rsid w:val="1166233A"/>
    <w:rsid w:val="116752E1"/>
    <w:rsid w:val="117F6AA9"/>
    <w:rsid w:val="11A233E5"/>
    <w:rsid w:val="11BC2F27"/>
    <w:rsid w:val="11BF5650"/>
    <w:rsid w:val="11C03A11"/>
    <w:rsid w:val="11C444E1"/>
    <w:rsid w:val="11DA3D05"/>
    <w:rsid w:val="11F052D6"/>
    <w:rsid w:val="120D40DA"/>
    <w:rsid w:val="121264AE"/>
    <w:rsid w:val="12463148"/>
    <w:rsid w:val="12524C6B"/>
    <w:rsid w:val="125D51BA"/>
    <w:rsid w:val="125E743C"/>
    <w:rsid w:val="12687563"/>
    <w:rsid w:val="126A32DB"/>
    <w:rsid w:val="12800674"/>
    <w:rsid w:val="128526CB"/>
    <w:rsid w:val="128D18BF"/>
    <w:rsid w:val="12A52565"/>
    <w:rsid w:val="12AB56A1"/>
    <w:rsid w:val="12AE3419"/>
    <w:rsid w:val="12B40364"/>
    <w:rsid w:val="12B529F7"/>
    <w:rsid w:val="12BE1711"/>
    <w:rsid w:val="12C2355F"/>
    <w:rsid w:val="12C31B2A"/>
    <w:rsid w:val="12C72395"/>
    <w:rsid w:val="12CF1390"/>
    <w:rsid w:val="12D92FCE"/>
    <w:rsid w:val="12E34E3B"/>
    <w:rsid w:val="12E36BE9"/>
    <w:rsid w:val="12F26E2C"/>
    <w:rsid w:val="12F31522"/>
    <w:rsid w:val="133332B6"/>
    <w:rsid w:val="133E02C4"/>
    <w:rsid w:val="134C29E0"/>
    <w:rsid w:val="13767A5D"/>
    <w:rsid w:val="13813E51"/>
    <w:rsid w:val="138C54D3"/>
    <w:rsid w:val="13904FC3"/>
    <w:rsid w:val="13A33429"/>
    <w:rsid w:val="13A44910"/>
    <w:rsid w:val="13BF12D2"/>
    <w:rsid w:val="13C22CA3"/>
    <w:rsid w:val="13CA2228"/>
    <w:rsid w:val="13D80718"/>
    <w:rsid w:val="13E1581F"/>
    <w:rsid w:val="13F35552"/>
    <w:rsid w:val="13FD4739"/>
    <w:rsid w:val="14270D58"/>
    <w:rsid w:val="142B66F1"/>
    <w:rsid w:val="142E5135"/>
    <w:rsid w:val="14376624"/>
    <w:rsid w:val="143D057B"/>
    <w:rsid w:val="144846AF"/>
    <w:rsid w:val="144C07BE"/>
    <w:rsid w:val="146C76CF"/>
    <w:rsid w:val="147E306D"/>
    <w:rsid w:val="147F2942"/>
    <w:rsid w:val="148B7538"/>
    <w:rsid w:val="14B70B0D"/>
    <w:rsid w:val="14C50C9C"/>
    <w:rsid w:val="14CD7B51"/>
    <w:rsid w:val="14D91A36"/>
    <w:rsid w:val="14F328A7"/>
    <w:rsid w:val="150C5D02"/>
    <w:rsid w:val="15311E8E"/>
    <w:rsid w:val="153C2B8E"/>
    <w:rsid w:val="154020D1"/>
    <w:rsid w:val="15481122"/>
    <w:rsid w:val="15610299"/>
    <w:rsid w:val="15763D45"/>
    <w:rsid w:val="157D3088"/>
    <w:rsid w:val="157D33DD"/>
    <w:rsid w:val="15836462"/>
    <w:rsid w:val="15913C53"/>
    <w:rsid w:val="15923122"/>
    <w:rsid w:val="15AE34DE"/>
    <w:rsid w:val="15D55902"/>
    <w:rsid w:val="15D767BC"/>
    <w:rsid w:val="15F07F9B"/>
    <w:rsid w:val="15F85DC0"/>
    <w:rsid w:val="160550C9"/>
    <w:rsid w:val="160B6B83"/>
    <w:rsid w:val="160C46A9"/>
    <w:rsid w:val="161C423B"/>
    <w:rsid w:val="162D61BE"/>
    <w:rsid w:val="1655522D"/>
    <w:rsid w:val="16603A3D"/>
    <w:rsid w:val="166511C4"/>
    <w:rsid w:val="166938A9"/>
    <w:rsid w:val="167674A1"/>
    <w:rsid w:val="167D7355"/>
    <w:rsid w:val="169C77DB"/>
    <w:rsid w:val="16A62408"/>
    <w:rsid w:val="16A9661E"/>
    <w:rsid w:val="16B724BB"/>
    <w:rsid w:val="16C86822"/>
    <w:rsid w:val="16D108B7"/>
    <w:rsid w:val="16E82A20"/>
    <w:rsid w:val="170830C2"/>
    <w:rsid w:val="170D2487"/>
    <w:rsid w:val="170D5489"/>
    <w:rsid w:val="170D62BA"/>
    <w:rsid w:val="17197D26"/>
    <w:rsid w:val="1726179A"/>
    <w:rsid w:val="174528CC"/>
    <w:rsid w:val="17514B5B"/>
    <w:rsid w:val="17563E2E"/>
    <w:rsid w:val="17681DB3"/>
    <w:rsid w:val="176B7E7E"/>
    <w:rsid w:val="17780248"/>
    <w:rsid w:val="17864105"/>
    <w:rsid w:val="17920BDE"/>
    <w:rsid w:val="179520FC"/>
    <w:rsid w:val="17AC6144"/>
    <w:rsid w:val="17B82B7A"/>
    <w:rsid w:val="17BE7C25"/>
    <w:rsid w:val="17D82A95"/>
    <w:rsid w:val="17F51899"/>
    <w:rsid w:val="18434FB0"/>
    <w:rsid w:val="18610CDC"/>
    <w:rsid w:val="186500E4"/>
    <w:rsid w:val="18685C8D"/>
    <w:rsid w:val="1881498A"/>
    <w:rsid w:val="18910E95"/>
    <w:rsid w:val="18B06D45"/>
    <w:rsid w:val="18B74DA0"/>
    <w:rsid w:val="18C36C8F"/>
    <w:rsid w:val="18DA0A8E"/>
    <w:rsid w:val="18ED07C2"/>
    <w:rsid w:val="191029F1"/>
    <w:rsid w:val="1910625E"/>
    <w:rsid w:val="19121FD6"/>
    <w:rsid w:val="191342CD"/>
    <w:rsid w:val="193B1418"/>
    <w:rsid w:val="194A79C2"/>
    <w:rsid w:val="19526877"/>
    <w:rsid w:val="19591682"/>
    <w:rsid w:val="196C7761"/>
    <w:rsid w:val="197607B7"/>
    <w:rsid w:val="1979776D"/>
    <w:rsid w:val="197E0240"/>
    <w:rsid w:val="19BE21E6"/>
    <w:rsid w:val="19C01A32"/>
    <w:rsid w:val="19C26C21"/>
    <w:rsid w:val="19C83E58"/>
    <w:rsid w:val="19CA0B03"/>
    <w:rsid w:val="19CE23A9"/>
    <w:rsid w:val="19CE5A8A"/>
    <w:rsid w:val="19D13C3F"/>
    <w:rsid w:val="19D242E0"/>
    <w:rsid w:val="19D35A3A"/>
    <w:rsid w:val="19D35C0A"/>
    <w:rsid w:val="19DB061A"/>
    <w:rsid w:val="1A0758B3"/>
    <w:rsid w:val="1A09162B"/>
    <w:rsid w:val="1A0F1779"/>
    <w:rsid w:val="1A146788"/>
    <w:rsid w:val="1A530AF8"/>
    <w:rsid w:val="1A5F749D"/>
    <w:rsid w:val="1A676352"/>
    <w:rsid w:val="1A6920CA"/>
    <w:rsid w:val="1A805E8F"/>
    <w:rsid w:val="1A830E32"/>
    <w:rsid w:val="1A8A3DEE"/>
    <w:rsid w:val="1A9B6445"/>
    <w:rsid w:val="1AA11864"/>
    <w:rsid w:val="1AB534FD"/>
    <w:rsid w:val="1AB82A4F"/>
    <w:rsid w:val="1AB86BAD"/>
    <w:rsid w:val="1ABC3562"/>
    <w:rsid w:val="1AC46021"/>
    <w:rsid w:val="1AD02149"/>
    <w:rsid w:val="1B067DF6"/>
    <w:rsid w:val="1B155DAE"/>
    <w:rsid w:val="1B222279"/>
    <w:rsid w:val="1B2D759B"/>
    <w:rsid w:val="1B382664"/>
    <w:rsid w:val="1B4B17D0"/>
    <w:rsid w:val="1B4D3D39"/>
    <w:rsid w:val="1B55264E"/>
    <w:rsid w:val="1B562590"/>
    <w:rsid w:val="1B6A4E2B"/>
    <w:rsid w:val="1B6D0631"/>
    <w:rsid w:val="1B83540D"/>
    <w:rsid w:val="1B965141"/>
    <w:rsid w:val="1BA22955"/>
    <w:rsid w:val="1BA64C58"/>
    <w:rsid w:val="1BAC061C"/>
    <w:rsid w:val="1BBA674E"/>
    <w:rsid w:val="1BBE47DE"/>
    <w:rsid w:val="1BC10BDD"/>
    <w:rsid w:val="1BD9502D"/>
    <w:rsid w:val="1BE20386"/>
    <w:rsid w:val="1BE65E90"/>
    <w:rsid w:val="1BF41E67"/>
    <w:rsid w:val="1BF9712D"/>
    <w:rsid w:val="1C0235A7"/>
    <w:rsid w:val="1C163691"/>
    <w:rsid w:val="1C190628"/>
    <w:rsid w:val="1C2A3ADB"/>
    <w:rsid w:val="1C330BE1"/>
    <w:rsid w:val="1C33473D"/>
    <w:rsid w:val="1C362480"/>
    <w:rsid w:val="1C451DEE"/>
    <w:rsid w:val="1C556DAA"/>
    <w:rsid w:val="1C5841A4"/>
    <w:rsid w:val="1C626DD1"/>
    <w:rsid w:val="1C651DCF"/>
    <w:rsid w:val="1C785994"/>
    <w:rsid w:val="1C8A485F"/>
    <w:rsid w:val="1C8B2516"/>
    <w:rsid w:val="1C8B5645"/>
    <w:rsid w:val="1C8C6544"/>
    <w:rsid w:val="1CA37CDF"/>
    <w:rsid w:val="1CA63028"/>
    <w:rsid w:val="1CB3587E"/>
    <w:rsid w:val="1CD37CCF"/>
    <w:rsid w:val="1CE343B6"/>
    <w:rsid w:val="1CE41EDC"/>
    <w:rsid w:val="1CE713D9"/>
    <w:rsid w:val="1D036806"/>
    <w:rsid w:val="1D081432"/>
    <w:rsid w:val="1D152871"/>
    <w:rsid w:val="1D1F1166"/>
    <w:rsid w:val="1D2220FF"/>
    <w:rsid w:val="1D2A43F7"/>
    <w:rsid w:val="1D48246B"/>
    <w:rsid w:val="1D660B43"/>
    <w:rsid w:val="1D7274E7"/>
    <w:rsid w:val="1D781FC2"/>
    <w:rsid w:val="1D813348"/>
    <w:rsid w:val="1D817EA8"/>
    <w:rsid w:val="1D8B67FB"/>
    <w:rsid w:val="1D927B8A"/>
    <w:rsid w:val="1DAF1020"/>
    <w:rsid w:val="1DB607D2"/>
    <w:rsid w:val="1DB7314C"/>
    <w:rsid w:val="1DC55869"/>
    <w:rsid w:val="1DE4348B"/>
    <w:rsid w:val="1DE57613"/>
    <w:rsid w:val="1DF8240C"/>
    <w:rsid w:val="1DFB74DD"/>
    <w:rsid w:val="1E153894"/>
    <w:rsid w:val="1E181101"/>
    <w:rsid w:val="1E1D38F7"/>
    <w:rsid w:val="1E3E1D98"/>
    <w:rsid w:val="1E445796"/>
    <w:rsid w:val="1E5A4531"/>
    <w:rsid w:val="1E5F61BF"/>
    <w:rsid w:val="1E617901"/>
    <w:rsid w:val="1E672DC4"/>
    <w:rsid w:val="1E6C03DB"/>
    <w:rsid w:val="1E911BEF"/>
    <w:rsid w:val="1EB55245"/>
    <w:rsid w:val="1EC21DA9"/>
    <w:rsid w:val="1ECF746C"/>
    <w:rsid w:val="1EDC2DED"/>
    <w:rsid w:val="1EDD4D32"/>
    <w:rsid w:val="1EDD6BE3"/>
    <w:rsid w:val="1EEA026B"/>
    <w:rsid w:val="1EEB068F"/>
    <w:rsid w:val="1EFA7794"/>
    <w:rsid w:val="1F212F73"/>
    <w:rsid w:val="1F2E38E2"/>
    <w:rsid w:val="1F322B94"/>
    <w:rsid w:val="1F372797"/>
    <w:rsid w:val="1F43738D"/>
    <w:rsid w:val="1F4D1FBA"/>
    <w:rsid w:val="1F7218EA"/>
    <w:rsid w:val="1F8B663F"/>
    <w:rsid w:val="1F8D685B"/>
    <w:rsid w:val="1F9D6B49"/>
    <w:rsid w:val="1FA92D3B"/>
    <w:rsid w:val="1FBD78B3"/>
    <w:rsid w:val="1FC63B1B"/>
    <w:rsid w:val="1FE371D3"/>
    <w:rsid w:val="200744F8"/>
    <w:rsid w:val="20257725"/>
    <w:rsid w:val="2059498F"/>
    <w:rsid w:val="20746E28"/>
    <w:rsid w:val="2088074D"/>
    <w:rsid w:val="209409C6"/>
    <w:rsid w:val="20A02648"/>
    <w:rsid w:val="20AA6F98"/>
    <w:rsid w:val="20AC0F62"/>
    <w:rsid w:val="20B755B2"/>
    <w:rsid w:val="20C13DDC"/>
    <w:rsid w:val="20C22534"/>
    <w:rsid w:val="20C938C2"/>
    <w:rsid w:val="20D02EA3"/>
    <w:rsid w:val="20D2673F"/>
    <w:rsid w:val="20DD2ECA"/>
    <w:rsid w:val="20DF30E6"/>
    <w:rsid w:val="20DF4E94"/>
    <w:rsid w:val="20E26732"/>
    <w:rsid w:val="20F36B91"/>
    <w:rsid w:val="20F6042F"/>
    <w:rsid w:val="210466A8"/>
    <w:rsid w:val="21052421"/>
    <w:rsid w:val="211B1C44"/>
    <w:rsid w:val="214408A9"/>
    <w:rsid w:val="21557C3C"/>
    <w:rsid w:val="21721AE5"/>
    <w:rsid w:val="21787096"/>
    <w:rsid w:val="217952E8"/>
    <w:rsid w:val="218B6DCA"/>
    <w:rsid w:val="21933ED0"/>
    <w:rsid w:val="21A826C6"/>
    <w:rsid w:val="21B346A3"/>
    <w:rsid w:val="21B42B82"/>
    <w:rsid w:val="21BF7011"/>
    <w:rsid w:val="21D06A21"/>
    <w:rsid w:val="21D4635A"/>
    <w:rsid w:val="21D544E9"/>
    <w:rsid w:val="21ED1832"/>
    <w:rsid w:val="22401BEC"/>
    <w:rsid w:val="228A52D3"/>
    <w:rsid w:val="228F4698"/>
    <w:rsid w:val="22A31EF1"/>
    <w:rsid w:val="22A55C69"/>
    <w:rsid w:val="22C73E32"/>
    <w:rsid w:val="22CD4739"/>
    <w:rsid w:val="22D447A0"/>
    <w:rsid w:val="2306358F"/>
    <w:rsid w:val="2318468D"/>
    <w:rsid w:val="231D523A"/>
    <w:rsid w:val="233807B8"/>
    <w:rsid w:val="23405992"/>
    <w:rsid w:val="23413645"/>
    <w:rsid w:val="23634EF1"/>
    <w:rsid w:val="237E79A9"/>
    <w:rsid w:val="2383244E"/>
    <w:rsid w:val="23952182"/>
    <w:rsid w:val="23957A8C"/>
    <w:rsid w:val="23B048C6"/>
    <w:rsid w:val="23B165B7"/>
    <w:rsid w:val="23BC53C4"/>
    <w:rsid w:val="23CD36CA"/>
    <w:rsid w:val="23D136E6"/>
    <w:rsid w:val="23DA1943"/>
    <w:rsid w:val="23E12CD1"/>
    <w:rsid w:val="23E80CF1"/>
    <w:rsid w:val="241478A0"/>
    <w:rsid w:val="242B219E"/>
    <w:rsid w:val="24457704"/>
    <w:rsid w:val="245416F5"/>
    <w:rsid w:val="245729C4"/>
    <w:rsid w:val="245B257C"/>
    <w:rsid w:val="24685D29"/>
    <w:rsid w:val="24695B13"/>
    <w:rsid w:val="24727DCD"/>
    <w:rsid w:val="24757A8B"/>
    <w:rsid w:val="24763D61"/>
    <w:rsid w:val="24853FA4"/>
    <w:rsid w:val="249E5066"/>
    <w:rsid w:val="24AF7273"/>
    <w:rsid w:val="24B16B47"/>
    <w:rsid w:val="24B25E9E"/>
    <w:rsid w:val="24BD68C1"/>
    <w:rsid w:val="24CA7C09"/>
    <w:rsid w:val="24CB288E"/>
    <w:rsid w:val="24E274F8"/>
    <w:rsid w:val="24F07A16"/>
    <w:rsid w:val="24F35784"/>
    <w:rsid w:val="25021151"/>
    <w:rsid w:val="252030EF"/>
    <w:rsid w:val="25290DD3"/>
    <w:rsid w:val="252A5445"/>
    <w:rsid w:val="253E6078"/>
    <w:rsid w:val="254D4875"/>
    <w:rsid w:val="254E3B31"/>
    <w:rsid w:val="254F42A9"/>
    <w:rsid w:val="25596D1B"/>
    <w:rsid w:val="2568408A"/>
    <w:rsid w:val="25795720"/>
    <w:rsid w:val="25873D4C"/>
    <w:rsid w:val="25874658"/>
    <w:rsid w:val="258C1033"/>
    <w:rsid w:val="25906CBD"/>
    <w:rsid w:val="2593624D"/>
    <w:rsid w:val="25A0096A"/>
    <w:rsid w:val="25AA3423"/>
    <w:rsid w:val="25AA73FB"/>
    <w:rsid w:val="25AF26BA"/>
    <w:rsid w:val="25B0574B"/>
    <w:rsid w:val="25C43EC4"/>
    <w:rsid w:val="25C44658"/>
    <w:rsid w:val="25C94365"/>
    <w:rsid w:val="25D16D75"/>
    <w:rsid w:val="25DB5B00"/>
    <w:rsid w:val="25E371D4"/>
    <w:rsid w:val="25EB5279"/>
    <w:rsid w:val="25F018F1"/>
    <w:rsid w:val="25F16189"/>
    <w:rsid w:val="25F53376"/>
    <w:rsid w:val="261226F9"/>
    <w:rsid w:val="26250EA4"/>
    <w:rsid w:val="26587B48"/>
    <w:rsid w:val="26667E05"/>
    <w:rsid w:val="267267AA"/>
    <w:rsid w:val="2681079B"/>
    <w:rsid w:val="26857F1A"/>
    <w:rsid w:val="26877541"/>
    <w:rsid w:val="26974BD1"/>
    <w:rsid w:val="26A30EAA"/>
    <w:rsid w:val="26A56238"/>
    <w:rsid w:val="26AB75C6"/>
    <w:rsid w:val="26AC0FE3"/>
    <w:rsid w:val="26C1503C"/>
    <w:rsid w:val="26CF7759"/>
    <w:rsid w:val="26D14BAB"/>
    <w:rsid w:val="26D44D6F"/>
    <w:rsid w:val="26DB02BF"/>
    <w:rsid w:val="26DF2E33"/>
    <w:rsid w:val="26E95830"/>
    <w:rsid w:val="26FC44F7"/>
    <w:rsid w:val="2704422C"/>
    <w:rsid w:val="271244D1"/>
    <w:rsid w:val="27135897"/>
    <w:rsid w:val="271C2272"/>
    <w:rsid w:val="271D6716"/>
    <w:rsid w:val="272730F1"/>
    <w:rsid w:val="27340456"/>
    <w:rsid w:val="27435A51"/>
    <w:rsid w:val="27602AA7"/>
    <w:rsid w:val="27724421"/>
    <w:rsid w:val="277E7F13"/>
    <w:rsid w:val="277F2F2D"/>
    <w:rsid w:val="2786250D"/>
    <w:rsid w:val="279041F1"/>
    <w:rsid w:val="27960276"/>
    <w:rsid w:val="27A02EA3"/>
    <w:rsid w:val="27AB3FB4"/>
    <w:rsid w:val="27C9064C"/>
    <w:rsid w:val="27D33279"/>
    <w:rsid w:val="27D70295"/>
    <w:rsid w:val="27E965F8"/>
    <w:rsid w:val="27EE3C0E"/>
    <w:rsid w:val="27F37477"/>
    <w:rsid w:val="283400AC"/>
    <w:rsid w:val="28362120"/>
    <w:rsid w:val="2839012B"/>
    <w:rsid w:val="28447714"/>
    <w:rsid w:val="28483B04"/>
    <w:rsid w:val="28534877"/>
    <w:rsid w:val="28606A91"/>
    <w:rsid w:val="288602EB"/>
    <w:rsid w:val="288E0F4E"/>
    <w:rsid w:val="28A55FE4"/>
    <w:rsid w:val="28A6098D"/>
    <w:rsid w:val="28AF339E"/>
    <w:rsid w:val="28B62C1E"/>
    <w:rsid w:val="28FE2577"/>
    <w:rsid w:val="290A30EB"/>
    <w:rsid w:val="290B76F5"/>
    <w:rsid w:val="29185985"/>
    <w:rsid w:val="291E6775"/>
    <w:rsid w:val="29323FCF"/>
    <w:rsid w:val="29387C6F"/>
    <w:rsid w:val="293935AF"/>
    <w:rsid w:val="2939535D"/>
    <w:rsid w:val="29437F8A"/>
    <w:rsid w:val="29477A7A"/>
    <w:rsid w:val="294A7558"/>
    <w:rsid w:val="29591447"/>
    <w:rsid w:val="297C274F"/>
    <w:rsid w:val="29875C2B"/>
    <w:rsid w:val="2996630C"/>
    <w:rsid w:val="29A62ABE"/>
    <w:rsid w:val="29A7676B"/>
    <w:rsid w:val="29B03871"/>
    <w:rsid w:val="29B13146"/>
    <w:rsid w:val="29B14DA1"/>
    <w:rsid w:val="29BD11EA"/>
    <w:rsid w:val="29D14727"/>
    <w:rsid w:val="29D815CE"/>
    <w:rsid w:val="29E057D9"/>
    <w:rsid w:val="29F00112"/>
    <w:rsid w:val="29F23E8A"/>
    <w:rsid w:val="2A047719"/>
    <w:rsid w:val="2A063491"/>
    <w:rsid w:val="2A100EEF"/>
    <w:rsid w:val="2A2953D2"/>
    <w:rsid w:val="2A2E40C9"/>
    <w:rsid w:val="2A3833D0"/>
    <w:rsid w:val="2A3B6B77"/>
    <w:rsid w:val="2A3F341C"/>
    <w:rsid w:val="2A45752D"/>
    <w:rsid w:val="2A461AE0"/>
    <w:rsid w:val="2A571F3F"/>
    <w:rsid w:val="2AA30295"/>
    <w:rsid w:val="2AAB7C0D"/>
    <w:rsid w:val="2AAE58D7"/>
    <w:rsid w:val="2AD72038"/>
    <w:rsid w:val="2AEB08D9"/>
    <w:rsid w:val="2AF91248"/>
    <w:rsid w:val="2B120224"/>
    <w:rsid w:val="2B4F51D7"/>
    <w:rsid w:val="2B615524"/>
    <w:rsid w:val="2B82123D"/>
    <w:rsid w:val="2B8474FA"/>
    <w:rsid w:val="2B9176D3"/>
    <w:rsid w:val="2BA07916"/>
    <w:rsid w:val="2BA271EA"/>
    <w:rsid w:val="2BAE2888"/>
    <w:rsid w:val="2BB84C5F"/>
    <w:rsid w:val="2BBB6F61"/>
    <w:rsid w:val="2BD20926"/>
    <w:rsid w:val="2BD53A62"/>
    <w:rsid w:val="2BE27F2E"/>
    <w:rsid w:val="2BEA0B91"/>
    <w:rsid w:val="2C0A1679"/>
    <w:rsid w:val="2C0C4FAB"/>
    <w:rsid w:val="2C286CBB"/>
    <w:rsid w:val="2C324A12"/>
    <w:rsid w:val="2C4574E7"/>
    <w:rsid w:val="2C5C1A8E"/>
    <w:rsid w:val="2C6A7B64"/>
    <w:rsid w:val="2C6E17C2"/>
    <w:rsid w:val="2C7E6A89"/>
    <w:rsid w:val="2C842BA5"/>
    <w:rsid w:val="2C8C4E77"/>
    <w:rsid w:val="2C9254B0"/>
    <w:rsid w:val="2C986D05"/>
    <w:rsid w:val="2C9D473F"/>
    <w:rsid w:val="2CC969F8"/>
    <w:rsid w:val="2CCA3FE3"/>
    <w:rsid w:val="2CDA0C05"/>
    <w:rsid w:val="2CDC04A3"/>
    <w:rsid w:val="2D033285"/>
    <w:rsid w:val="2D056956"/>
    <w:rsid w:val="2D0A14EA"/>
    <w:rsid w:val="2D0B4BAC"/>
    <w:rsid w:val="2D1063D5"/>
    <w:rsid w:val="2D157E8F"/>
    <w:rsid w:val="2D1652EF"/>
    <w:rsid w:val="2D3003F7"/>
    <w:rsid w:val="2D4360F2"/>
    <w:rsid w:val="2D5815AF"/>
    <w:rsid w:val="2D5B7F37"/>
    <w:rsid w:val="2D621327"/>
    <w:rsid w:val="2D6230D5"/>
    <w:rsid w:val="2D6329A9"/>
    <w:rsid w:val="2D720E3E"/>
    <w:rsid w:val="2D7C2AF4"/>
    <w:rsid w:val="2D8E0F2E"/>
    <w:rsid w:val="2D9214E0"/>
    <w:rsid w:val="2D980428"/>
    <w:rsid w:val="2D986AF6"/>
    <w:rsid w:val="2DA2331A"/>
    <w:rsid w:val="2DAA258F"/>
    <w:rsid w:val="2DAB4202"/>
    <w:rsid w:val="2DAB5770"/>
    <w:rsid w:val="2DB34BE1"/>
    <w:rsid w:val="2DB508F8"/>
    <w:rsid w:val="2DB50D6C"/>
    <w:rsid w:val="2DC25921"/>
    <w:rsid w:val="2DC86BB5"/>
    <w:rsid w:val="2DD438A6"/>
    <w:rsid w:val="2DEE662F"/>
    <w:rsid w:val="2DEF248E"/>
    <w:rsid w:val="2DF34697"/>
    <w:rsid w:val="2DFD4BAB"/>
    <w:rsid w:val="2DFE0923"/>
    <w:rsid w:val="2E015B59"/>
    <w:rsid w:val="2E372A60"/>
    <w:rsid w:val="2E382087"/>
    <w:rsid w:val="2E4D2A7E"/>
    <w:rsid w:val="2E4E5407"/>
    <w:rsid w:val="2E556795"/>
    <w:rsid w:val="2E650DC2"/>
    <w:rsid w:val="2E75142F"/>
    <w:rsid w:val="2E7E2A45"/>
    <w:rsid w:val="2E943382"/>
    <w:rsid w:val="2E995735"/>
    <w:rsid w:val="2EB15996"/>
    <w:rsid w:val="2EB21E3A"/>
    <w:rsid w:val="2EBA6F40"/>
    <w:rsid w:val="2EBF00B3"/>
    <w:rsid w:val="2EC27BA3"/>
    <w:rsid w:val="2EC541C2"/>
    <w:rsid w:val="2EC565BC"/>
    <w:rsid w:val="2ECD65F4"/>
    <w:rsid w:val="2ED918A6"/>
    <w:rsid w:val="2EDA380E"/>
    <w:rsid w:val="2EDE479C"/>
    <w:rsid w:val="2EE95130"/>
    <w:rsid w:val="2EF02962"/>
    <w:rsid w:val="2F063F34"/>
    <w:rsid w:val="2F126434"/>
    <w:rsid w:val="2F2148C9"/>
    <w:rsid w:val="2F283EAA"/>
    <w:rsid w:val="2F326AD7"/>
    <w:rsid w:val="2F633D0C"/>
    <w:rsid w:val="2F6C1FC3"/>
    <w:rsid w:val="2F9C635B"/>
    <w:rsid w:val="2F9E23BE"/>
    <w:rsid w:val="2FC06BEF"/>
    <w:rsid w:val="2FC30495"/>
    <w:rsid w:val="2FDD4C94"/>
    <w:rsid w:val="2FFA3A98"/>
    <w:rsid w:val="300246FB"/>
    <w:rsid w:val="301137B1"/>
    <w:rsid w:val="30183BE7"/>
    <w:rsid w:val="301D1535"/>
    <w:rsid w:val="3025663B"/>
    <w:rsid w:val="305606C5"/>
    <w:rsid w:val="305D5DD5"/>
    <w:rsid w:val="306B6744"/>
    <w:rsid w:val="309252D4"/>
    <w:rsid w:val="30B26E2E"/>
    <w:rsid w:val="30C37596"/>
    <w:rsid w:val="30F625CD"/>
    <w:rsid w:val="31097D0B"/>
    <w:rsid w:val="311B50DD"/>
    <w:rsid w:val="31327262"/>
    <w:rsid w:val="313F54DB"/>
    <w:rsid w:val="314B20D2"/>
    <w:rsid w:val="315471D8"/>
    <w:rsid w:val="31554863"/>
    <w:rsid w:val="31554CFE"/>
    <w:rsid w:val="315C42DF"/>
    <w:rsid w:val="31772EC7"/>
    <w:rsid w:val="31775CC7"/>
    <w:rsid w:val="3179279B"/>
    <w:rsid w:val="317B6A4E"/>
    <w:rsid w:val="318F1FBE"/>
    <w:rsid w:val="319F527F"/>
    <w:rsid w:val="31A0382E"/>
    <w:rsid w:val="31A812D2"/>
    <w:rsid w:val="31A92B04"/>
    <w:rsid w:val="31D81D79"/>
    <w:rsid w:val="31DF7592"/>
    <w:rsid w:val="31F167D5"/>
    <w:rsid w:val="31F5271A"/>
    <w:rsid w:val="31FD7870"/>
    <w:rsid w:val="32126FFE"/>
    <w:rsid w:val="321626E0"/>
    <w:rsid w:val="32262B77"/>
    <w:rsid w:val="323963CE"/>
    <w:rsid w:val="323A054C"/>
    <w:rsid w:val="324234D5"/>
    <w:rsid w:val="325A6A70"/>
    <w:rsid w:val="325C593F"/>
    <w:rsid w:val="3262641B"/>
    <w:rsid w:val="32794A1C"/>
    <w:rsid w:val="32805DAB"/>
    <w:rsid w:val="328F274B"/>
    <w:rsid w:val="32900DEB"/>
    <w:rsid w:val="32986FA1"/>
    <w:rsid w:val="32AC4DF2"/>
    <w:rsid w:val="32AE0550"/>
    <w:rsid w:val="32B07028"/>
    <w:rsid w:val="32B47257"/>
    <w:rsid w:val="32B55A55"/>
    <w:rsid w:val="32DC56D7"/>
    <w:rsid w:val="32DC60CC"/>
    <w:rsid w:val="330932D9"/>
    <w:rsid w:val="331A1D5C"/>
    <w:rsid w:val="331E22B4"/>
    <w:rsid w:val="331F3816"/>
    <w:rsid w:val="33596D28"/>
    <w:rsid w:val="33654504"/>
    <w:rsid w:val="336B5878"/>
    <w:rsid w:val="337B3EBC"/>
    <w:rsid w:val="3381002D"/>
    <w:rsid w:val="33934C25"/>
    <w:rsid w:val="33A1247D"/>
    <w:rsid w:val="33A15FD9"/>
    <w:rsid w:val="33C57382"/>
    <w:rsid w:val="33C817B8"/>
    <w:rsid w:val="33EB36F8"/>
    <w:rsid w:val="33EE5DEB"/>
    <w:rsid w:val="33FB26D9"/>
    <w:rsid w:val="34012F1B"/>
    <w:rsid w:val="3401331D"/>
    <w:rsid w:val="34140EA1"/>
    <w:rsid w:val="34211599"/>
    <w:rsid w:val="34232E92"/>
    <w:rsid w:val="343D03F7"/>
    <w:rsid w:val="34473024"/>
    <w:rsid w:val="345614B9"/>
    <w:rsid w:val="345B087E"/>
    <w:rsid w:val="345D2848"/>
    <w:rsid w:val="34645C7B"/>
    <w:rsid w:val="34684D49"/>
    <w:rsid w:val="347436ED"/>
    <w:rsid w:val="34757B91"/>
    <w:rsid w:val="34847DD4"/>
    <w:rsid w:val="34B1049E"/>
    <w:rsid w:val="34B97E02"/>
    <w:rsid w:val="34C20462"/>
    <w:rsid w:val="34C5219B"/>
    <w:rsid w:val="34C57715"/>
    <w:rsid w:val="34FF745B"/>
    <w:rsid w:val="3502519D"/>
    <w:rsid w:val="35066A3B"/>
    <w:rsid w:val="35357321"/>
    <w:rsid w:val="353D7F83"/>
    <w:rsid w:val="35415CC5"/>
    <w:rsid w:val="354D466A"/>
    <w:rsid w:val="355359F9"/>
    <w:rsid w:val="357A11D7"/>
    <w:rsid w:val="357D4824"/>
    <w:rsid w:val="3592207D"/>
    <w:rsid w:val="359262E7"/>
    <w:rsid w:val="359A53D6"/>
    <w:rsid w:val="35A87AF3"/>
    <w:rsid w:val="35AF70D3"/>
    <w:rsid w:val="35C6441D"/>
    <w:rsid w:val="35C67183"/>
    <w:rsid w:val="35CD1307"/>
    <w:rsid w:val="35D74205"/>
    <w:rsid w:val="35DA1CEC"/>
    <w:rsid w:val="35E825E5"/>
    <w:rsid w:val="361F0035"/>
    <w:rsid w:val="36271870"/>
    <w:rsid w:val="364B53DD"/>
    <w:rsid w:val="367C137F"/>
    <w:rsid w:val="3689282F"/>
    <w:rsid w:val="369D4620"/>
    <w:rsid w:val="36A11642"/>
    <w:rsid w:val="36A95D04"/>
    <w:rsid w:val="36B47236"/>
    <w:rsid w:val="36C73FA8"/>
    <w:rsid w:val="36E52680"/>
    <w:rsid w:val="36EA7C97"/>
    <w:rsid w:val="370451FC"/>
    <w:rsid w:val="37113475"/>
    <w:rsid w:val="37323BB8"/>
    <w:rsid w:val="3748337C"/>
    <w:rsid w:val="375E101A"/>
    <w:rsid w:val="37BC3267"/>
    <w:rsid w:val="37C55F70"/>
    <w:rsid w:val="37C91FA2"/>
    <w:rsid w:val="37DC3A83"/>
    <w:rsid w:val="37DF17C6"/>
    <w:rsid w:val="37EE7A86"/>
    <w:rsid w:val="37F7266B"/>
    <w:rsid w:val="38084878"/>
    <w:rsid w:val="38141EFE"/>
    <w:rsid w:val="382235C6"/>
    <w:rsid w:val="38284F1B"/>
    <w:rsid w:val="38325D99"/>
    <w:rsid w:val="383F16EE"/>
    <w:rsid w:val="3848736B"/>
    <w:rsid w:val="3851621F"/>
    <w:rsid w:val="385B709E"/>
    <w:rsid w:val="386C12AB"/>
    <w:rsid w:val="387B329C"/>
    <w:rsid w:val="38855EC9"/>
    <w:rsid w:val="38A547BD"/>
    <w:rsid w:val="38B95B73"/>
    <w:rsid w:val="38CD161E"/>
    <w:rsid w:val="38D02074"/>
    <w:rsid w:val="38D1110E"/>
    <w:rsid w:val="38D155B2"/>
    <w:rsid w:val="38ED53D2"/>
    <w:rsid w:val="38FA68B7"/>
    <w:rsid w:val="390D4F7A"/>
    <w:rsid w:val="3913380C"/>
    <w:rsid w:val="391F00CC"/>
    <w:rsid w:val="393B2A2C"/>
    <w:rsid w:val="39553FCA"/>
    <w:rsid w:val="397877DC"/>
    <w:rsid w:val="397B107A"/>
    <w:rsid w:val="399F120C"/>
    <w:rsid w:val="399F2FBB"/>
    <w:rsid w:val="39D41A82"/>
    <w:rsid w:val="39DF40E4"/>
    <w:rsid w:val="39DF7D25"/>
    <w:rsid w:val="39E147F5"/>
    <w:rsid w:val="39EB6200"/>
    <w:rsid w:val="3A013C75"/>
    <w:rsid w:val="3A045513"/>
    <w:rsid w:val="3A0E4C4C"/>
    <w:rsid w:val="3A117902"/>
    <w:rsid w:val="3A157B82"/>
    <w:rsid w:val="3A281202"/>
    <w:rsid w:val="3A323847"/>
    <w:rsid w:val="3A3375B6"/>
    <w:rsid w:val="3A59472B"/>
    <w:rsid w:val="3A5C691B"/>
    <w:rsid w:val="3A744447"/>
    <w:rsid w:val="3AA0348E"/>
    <w:rsid w:val="3AAD0FC0"/>
    <w:rsid w:val="3AC70A1B"/>
    <w:rsid w:val="3ACF1D31"/>
    <w:rsid w:val="3AD66EB0"/>
    <w:rsid w:val="3AE07D2F"/>
    <w:rsid w:val="3AEF3ACE"/>
    <w:rsid w:val="3AFA2997"/>
    <w:rsid w:val="3B23782F"/>
    <w:rsid w:val="3B2C4D22"/>
    <w:rsid w:val="3B3D0CDD"/>
    <w:rsid w:val="3B3F1147"/>
    <w:rsid w:val="3B5B181D"/>
    <w:rsid w:val="3B64656A"/>
    <w:rsid w:val="3B675EFB"/>
    <w:rsid w:val="3B6811B4"/>
    <w:rsid w:val="3B6B73F5"/>
    <w:rsid w:val="3B9D38CC"/>
    <w:rsid w:val="3B9D3E94"/>
    <w:rsid w:val="3BB15227"/>
    <w:rsid w:val="3BB52F69"/>
    <w:rsid w:val="3BDA652C"/>
    <w:rsid w:val="3BF011C2"/>
    <w:rsid w:val="3BF35840"/>
    <w:rsid w:val="3BF70E8C"/>
    <w:rsid w:val="3C017F5D"/>
    <w:rsid w:val="3C093088"/>
    <w:rsid w:val="3C31001D"/>
    <w:rsid w:val="3C3245BA"/>
    <w:rsid w:val="3C326368"/>
    <w:rsid w:val="3C3E2F5F"/>
    <w:rsid w:val="3C5C5193"/>
    <w:rsid w:val="3C5D4E47"/>
    <w:rsid w:val="3C601127"/>
    <w:rsid w:val="3C7F70D3"/>
    <w:rsid w:val="3C8A1BE7"/>
    <w:rsid w:val="3C96150A"/>
    <w:rsid w:val="3C9708C1"/>
    <w:rsid w:val="3C9E57AB"/>
    <w:rsid w:val="3CA37187"/>
    <w:rsid w:val="3CB01BBB"/>
    <w:rsid w:val="3CB55DDB"/>
    <w:rsid w:val="3CC82417"/>
    <w:rsid w:val="3CCF1E09"/>
    <w:rsid w:val="3CE37662"/>
    <w:rsid w:val="3CE74BFF"/>
    <w:rsid w:val="3CF03B2D"/>
    <w:rsid w:val="3CF67395"/>
    <w:rsid w:val="3D2B0949"/>
    <w:rsid w:val="3D605157"/>
    <w:rsid w:val="3D6C5F71"/>
    <w:rsid w:val="3D751129"/>
    <w:rsid w:val="3D7B2A00"/>
    <w:rsid w:val="3D880AD9"/>
    <w:rsid w:val="3DA756A2"/>
    <w:rsid w:val="3DB24F03"/>
    <w:rsid w:val="3DCF69EC"/>
    <w:rsid w:val="3DDE2F12"/>
    <w:rsid w:val="3DE511B8"/>
    <w:rsid w:val="3DE57520"/>
    <w:rsid w:val="3DE82996"/>
    <w:rsid w:val="3DEF7B7A"/>
    <w:rsid w:val="3DF5764D"/>
    <w:rsid w:val="3DF77869"/>
    <w:rsid w:val="3E06185A"/>
    <w:rsid w:val="3E127AD8"/>
    <w:rsid w:val="3E1E7076"/>
    <w:rsid w:val="3E4203B8"/>
    <w:rsid w:val="3E4B1963"/>
    <w:rsid w:val="3E686071"/>
    <w:rsid w:val="3E6F5651"/>
    <w:rsid w:val="3E952BDE"/>
    <w:rsid w:val="3EA478F0"/>
    <w:rsid w:val="3EB92D70"/>
    <w:rsid w:val="3ED76D29"/>
    <w:rsid w:val="3EE4372A"/>
    <w:rsid w:val="3EEF0540"/>
    <w:rsid w:val="3EF142B8"/>
    <w:rsid w:val="3EF618CF"/>
    <w:rsid w:val="3F1735F3"/>
    <w:rsid w:val="3F2D3F8D"/>
    <w:rsid w:val="3F3E3276"/>
    <w:rsid w:val="3F424B14"/>
    <w:rsid w:val="3F4C34EE"/>
    <w:rsid w:val="3F542A99"/>
    <w:rsid w:val="3F5E56C6"/>
    <w:rsid w:val="3F634A8A"/>
    <w:rsid w:val="3F6D76B7"/>
    <w:rsid w:val="3F740A45"/>
    <w:rsid w:val="3F8763CE"/>
    <w:rsid w:val="3F911D18"/>
    <w:rsid w:val="3F9805BA"/>
    <w:rsid w:val="3FAB0FA1"/>
    <w:rsid w:val="3FB37BC5"/>
    <w:rsid w:val="3FB452E6"/>
    <w:rsid w:val="3FC405DA"/>
    <w:rsid w:val="3FC714BD"/>
    <w:rsid w:val="3FCC0707"/>
    <w:rsid w:val="3FD01D28"/>
    <w:rsid w:val="3FD140EA"/>
    <w:rsid w:val="3FDD2A8F"/>
    <w:rsid w:val="3FE334EF"/>
    <w:rsid w:val="3FEC0F24"/>
    <w:rsid w:val="40155D85"/>
    <w:rsid w:val="401B0862"/>
    <w:rsid w:val="402261E2"/>
    <w:rsid w:val="40662A84"/>
    <w:rsid w:val="406D22D9"/>
    <w:rsid w:val="40776A3F"/>
    <w:rsid w:val="408166FC"/>
    <w:rsid w:val="40860A30"/>
    <w:rsid w:val="40953369"/>
    <w:rsid w:val="409F0752"/>
    <w:rsid w:val="40A11D0E"/>
    <w:rsid w:val="40A610D2"/>
    <w:rsid w:val="40B25CC9"/>
    <w:rsid w:val="40B97B50"/>
    <w:rsid w:val="40C36154"/>
    <w:rsid w:val="40C41E8A"/>
    <w:rsid w:val="40C96B6F"/>
    <w:rsid w:val="40CA3013"/>
    <w:rsid w:val="40DB5220"/>
    <w:rsid w:val="40DE6ABE"/>
    <w:rsid w:val="40E50CC7"/>
    <w:rsid w:val="40E63BC5"/>
    <w:rsid w:val="40F36BFF"/>
    <w:rsid w:val="41055DF9"/>
    <w:rsid w:val="410B6734"/>
    <w:rsid w:val="4116205A"/>
    <w:rsid w:val="411C75E7"/>
    <w:rsid w:val="412D5B10"/>
    <w:rsid w:val="41382B4B"/>
    <w:rsid w:val="41402268"/>
    <w:rsid w:val="41566655"/>
    <w:rsid w:val="4159194B"/>
    <w:rsid w:val="416E7E42"/>
    <w:rsid w:val="41847666"/>
    <w:rsid w:val="41BD66D4"/>
    <w:rsid w:val="41D35EF7"/>
    <w:rsid w:val="41F84348"/>
    <w:rsid w:val="4205007B"/>
    <w:rsid w:val="421C5EAA"/>
    <w:rsid w:val="421F01F7"/>
    <w:rsid w:val="42337684"/>
    <w:rsid w:val="423559D8"/>
    <w:rsid w:val="4249440B"/>
    <w:rsid w:val="425012F6"/>
    <w:rsid w:val="42537038"/>
    <w:rsid w:val="42570BD9"/>
    <w:rsid w:val="4265117D"/>
    <w:rsid w:val="42664FBD"/>
    <w:rsid w:val="427C534F"/>
    <w:rsid w:val="427F7E2D"/>
    <w:rsid w:val="42A00724"/>
    <w:rsid w:val="42B850ED"/>
    <w:rsid w:val="42C01A30"/>
    <w:rsid w:val="42C45840"/>
    <w:rsid w:val="42E77A79"/>
    <w:rsid w:val="42EC5BC3"/>
    <w:rsid w:val="42F524E5"/>
    <w:rsid w:val="431C1B20"/>
    <w:rsid w:val="4320029A"/>
    <w:rsid w:val="43255A95"/>
    <w:rsid w:val="432B30AA"/>
    <w:rsid w:val="43421586"/>
    <w:rsid w:val="435E7881"/>
    <w:rsid w:val="436F7EA2"/>
    <w:rsid w:val="43756C58"/>
    <w:rsid w:val="43811983"/>
    <w:rsid w:val="43884ABF"/>
    <w:rsid w:val="43923B90"/>
    <w:rsid w:val="43B235E6"/>
    <w:rsid w:val="43B753A5"/>
    <w:rsid w:val="43C57AC2"/>
    <w:rsid w:val="43F43B24"/>
    <w:rsid w:val="43FB7987"/>
    <w:rsid w:val="44000AFA"/>
    <w:rsid w:val="440B25F7"/>
    <w:rsid w:val="442A5B77"/>
    <w:rsid w:val="443F7874"/>
    <w:rsid w:val="44561834"/>
    <w:rsid w:val="44623562"/>
    <w:rsid w:val="4467711A"/>
    <w:rsid w:val="446D0511"/>
    <w:rsid w:val="44703ED1"/>
    <w:rsid w:val="44837F00"/>
    <w:rsid w:val="44915BF6"/>
    <w:rsid w:val="44A771C7"/>
    <w:rsid w:val="44AD5C7B"/>
    <w:rsid w:val="44D067BA"/>
    <w:rsid w:val="44DF2E05"/>
    <w:rsid w:val="44E1189D"/>
    <w:rsid w:val="44F93EC7"/>
    <w:rsid w:val="4508410A"/>
    <w:rsid w:val="450A55F8"/>
    <w:rsid w:val="45124F88"/>
    <w:rsid w:val="452C542B"/>
    <w:rsid w:val="452D3F0A"/>
    <w:rsid w:val="45336CAD"/>
    <w:rsid w:val="45485320"/>
    <w:rsid w:val="45576E3F"/>
    <w:rsid w:val="45610BF4"/>
    <w:rsid w:val="45717F01"/>
    <w:rsid w:val="45965BB9"/>
    <w:rsid w:val="45AC718B"/>
    <w:rsid w:val="45AD6A5F"/>
    <w:rsid w:val="45B46D6D"/>
    <w:rsid w:val="45CA7B86"/>
    <w:rsid w:val="45CD7101"/>
    <w:rsid w:val="45D17B9B"/>
    <w:rsid w:val="45DB3EF9"/>
    <w:rsid w:val="460743C1"/>
    <w:rsid w:val="461D1E37"/>
    <w:rsid w:val="461D45BD"/>
    <w:rsid w:val="462A00B0"/>
    <w:rsid w:val="46503FBA"/>
    <w:rsid w:val="465810C1"/>
    <w:rsid w:val="466C691A"/>
    <w:rsid w:val="467717C5"/>
    <w:rsid w:val="467F4AF1"/>
    <w:rsid w:val="4691312D"/>
    <w:rsid w:val="46916381"/>
    <w:rsid w:val="46971BE9"/>
    <w:rsid w:val="469A52A1"/>
    <w:rsid w:val="46A00218"/>
    <w:rsid w:val="46A165C4"/>
    <w:rsid w:val="46B502C1"/>
    <w:rsid w:val="46BC79A2"/>
    <w:rsid w:val="46C80969"/>
    <w:rsid w:val="46CB1893"/>
    <w:rsid w:val="46DC75FC"/>
    <w:rsid w:val="46E93AC7"/>
    <w:rsid w:val="46EA55C7"/>
    <w:rsid w:val="46EB3CE3"/>
    <w:rsid w:val="47095B56"/>
    <w:rsid w:val="470B582F"/>
    <w:rsid w:val="470B7EE1"/>
    <w:rsid w:val="4710374A"/>
    <w:rsid w:val="471E59EC"/>
    <w:rsid w:val="47307948"/>
    <w:rsid w:val="473E2065"/>
    <w:rsid w:val="4746716B"/>
    <w:rsid w:val="47502977"/>
    <w:rsid w:val="47802511"/>
    <w:rsid w:val="478832E0"/>
    <w:rsid w:val="47B36FD3"/>
    <w:rsid w:val="47D209FF"/>
    <w:rsid w:val="47D3356B"/>
    <w:rsid w:val="47E56984"/>
    <w:rsid w:val="47F44E19"/>
    <w:rsid w:val="4800731A"/>
    <w:rsid w:val="480706A9"/>
    <w:rsid w:val="48084421"/>
    <w:rsid w:val="480A0199"/>
    <w:rsid w:val="4813505E"/>
    <w:rsid w:val="48276F9D"/>
    <w:rsid w:val="483E1699"/>
    <w:rsid w:val="48445526"/>
    <w:rsid w:val="4849744F"/>
    <w:rsid w:val="485639A7"/>
    <w:rsid w:val="485E04E5"/>
    <w:rsid w:val="4860425D"/>
    <w:rsid w:val="48657AC5"/>
    <w:rsid w:val="487B4BF3"/>
    <w:rsid w:val="48AB2950"/>
    <w:rsid w:val="48BC5937"/>
    <w:rsid w:val="48C159EE"/>
    <w:rsid w:val="48D53A6F"/>
    <w:rsid w:val="48D83DF3"/>
    <w:rsid w:val="48D941AD"/>
    <w:rsid w:val="48EE7ABB"/>
    <w:rsid w:val="48F826E7"/>
    <w:rsid w:val="49033566"/>
    <w:rsid w:val="490E1F0B"/>
    <w:rsid w:val="493C7895"/>
    <w:rsid w:val="49494CF1"/>
    <w:rsid w:val="4953791E"/>
    <w:rsid w:val="497A30FC"/>
    <w:rsid w:val="499441BE"/>
    <w:rsid w:val="49AA1C33"/>
    <w:rsid w:val="49C824F2"/>
    <w:rsid w:val="49D35829"/>
    <w:rsid w:val="49E669E4"/>
    <w:rsid w:val="49FB423D"/>
    <w:rsid w:val="4A202333"/>
    <w:rsid w:val="4A2406DF"/>
    <w:rsid w:val="4A46010A"/>
    <w:rsid w:val="4A58343D"/>
    <w:rsid w:val="4A5B0705"/>
    <w:rsid w:val="4A61109F"/>
    <w:rsid w:val="4A65757E"/>
    <w:rsid w:val="4A835FE1"/>
    <w:rsid w:val="4A857FAB"/>
    <w:rsid w:val="4A8700D4"/>
    <w:rsid w:val="4A897A9B"/>
    <w:rsid w:val="4A8C1339"/>
    <w:rsid w:val="4A934476"/>
    <w:rsid w:val="4AA06B93"/>
    <w:rsid w:val="4AAF5028"/>
    <w:rsid w:val="4AAF6DD6"/>
    <w:rsid w:val="4ABD6553"/>
    <w:rsid w:val="4AD36F68"/>
    <w:rsid w:val="4AD827D0"/>
    <w:rsid w:val="4AEA7A30"/>
    <w:rsid w:val="4AEC1DD8"/>
    <w:rsid w:val="4AF15640"/>
    <w:rsid w:val="4B0B04B0"/>
    <w:rsid w:val="4B0C4228"/>
    <w:rsid w:val="4B1056CB"/>
    <w:rsid w:val="4B237846"/>
    <w:rsid w:val="4B2C0426"/>
    <w:rsid w:val="4B3F63AB"/>
    <w:rsid w:val="4B470232"/>
    <w:rsid w:val="4B484601"/>
    <w:rsid w:val="4B4A51F9"/>
    <w:rsid w:val="4B4D4664"/>
    <w:rsid w:val="4B5160DF"/>
    <w:rsid w:val="4B553533"/>
    <w:rsid w:val="4B5A1437"/>
    <w:rsid w:val="4B653495"/>
    <w:rsid w:val="4B6776B0"/>
    <w:rsid w:val="4B78366B"/>
    <w:rsid w:val="4B893ACB"/>
    <w:rsid w:val="4B92121E"/>
    <w:rsid w:val="4B9761E7"/>
    <w:rsid w:val="4B9C6761"/>
    <w:rsid w:val="4B9F6E4A"/>
    <w:rsid w:val="4BBD5522"/>
    <w:rsid w:val="4BC30D8B"/>
    <w:rsid w:val="4BCB2B40"/>
    <w:rsid w:val="4BD4262D"/>
    <w:rsid w:val="4BDC1E4C"/>
    <w:rsid w:val="4C041522"/>
    <w:rsid w:val="4C194E4E"/>
    <w:rsid w:val="4C243DC3"/>
    <w:rsid w:val="4C247D3C"/>
    <w:rsid w:val="4C264686"/>
    <w:rsid w:val="4C442EDC"/>
    <w:rsid w:val="4C653BF0"/>
    <w:rsid w:val="4C6A38FC"/>
    <w:rsid w:val="4C6F3C3F"/>
    <w:rsid w:val="4C956D80"/>
    <w:rsid w:val="4C9D5582"/>
    <w:rsid w:val="4CC27294"/>
    <w:rsid w:val="4CE54D31"/>
    <w:rsid w:val="4CE76CFB"/>
    <w:rsid w:val="4CE90CC5"/>
    <w:rsid w:val="4CF11927"/>
    <w:rsid w:val="4CF66F3E"/>
    <w:rsid w:val="4D151ABA"/>
    <w:rsid w:val="4D1F3669"/>
    <w:rsid w:val="4D203FBB"/>
    <w:rsid w:val="4D275349"/>
    <w:rsid w:val="4D2D5704"/>
    <w:rsid w:val="4D315C54"/>
    <w:rsid w:val="4D461C73"/>
    <w:rsid w:val="4D4E1E90"/>
    <w:rsid w:val="4D515160"/>
    <w:rsid w:val="4D5679DC"/>
    <w:rsid w:val="4D5977D5"/>
    <w:rsid w:val="4D6471EF"/>
    <w:rsid w:val="4D677E3B"/>
    <w:rsid w:val="4D7A6531"/>
    <w:rsid w:val="4D8E53C8"/>
    <w:rsid w:val="4D92310A"/>
    <w:rsid w:val="4D981DE0"/>
    <w:rsid w:val="4D9B759A"/>
    <w:rsid w:val="4DA1334D"/>
    <w:rsid w:val="4DA846DC"/>
    <w:rsid w:val="4DA93FB0"/>
    <w:rsid w:val="4DDF3E76"/>
    <w:rsid w:val="4DE258F9"/>
    <w:rsid w:val="4E027B1F"/>
    <w:rsid w:val="4E035429"/>
    <w:rsid w:val="4E127F10"/>
    <w:rsid w:val="4E1A6C5C"/>
    <w:rsid w:val="4E4B5067"/>
    <w:rsid w:val="4E4F2DA9"/>
    <w:rsid w:val="4E5B150F"/>
    <w:rsid w:val="4E5F3E01"/>
    <w:rsid w:val="4E603FCB"/>
    <w:rsid w:val="4E7740AE"/>
    <w:rsid w:val="4E8326E2"/>
    <w:rsid w:val="4E917449"/>
    <w:rsid w:val="4EA13E1D"/>
    <w:rsid w:val="4EBF7827"/>
    <w:rsid w:val="4ED65279"/>
    <w:rsid w:val="4EDD6607"/>
    <w:rsid w:val="4EF0595D"/>
    <w:rsid w:val="4F046847"/>
    <w:rsid w:val="4F05790C"/>
    <w:rsid w:val="4F2E0C11"/>
    <w:rsid w:val="4F443EE0"/>
    <w:rsid w:val="4F900865"/>
    <w:rsid w:val="4F9C4267"/>
    <w:rsid w:val="4FAE58AE"/>
    <w:rsid w:val="4FB1539E"/>
    <w:rsid w:val="4FB235F0"/>
    <w:rsid w:val="4FC66D58"/>
    <w:rsid w:val="4FDD505C"/>
    <w:rsid w:val="50050D66"/>
    <w:rsid w:val="50083210"/>
    <w:rsid w:val="501716A5"/>
    <w:rsid w:val="501F7A21"/>
    <w:rsid w:val="50256E01"/>
    <w:rsid w:val="50297114"/>
    <w:rsid w:val="503C110B"/>
    <w:rsid w:val="503E1327"/>
    <w:rsid w:val="50437D5B"/>
    <w:rsid w:val="50487B81"/>
    <w:rsid w:val="504F0E3F"/>
    <w:rsid w:val="505521CD"/>
    <w:rsid w:val="505C07D2"/>
    <w:rsid w:val="506F7733"/>
    <w:rsid w:val="50707007"/>
    <w:rsid w:val="508A1187"/>
    <w:rsid w:val="50B74C36"/>
    <w:rsid w:val="50CC6933"/>
    <w:rsid w:val="50D37CC2"/>
    <w:rsid w:val="50D6330E"/>
    <w:rsid w:val="50E15120"/>
    <w:rsid w:val="50E377D9"/>
    <w:rsid w:val="50EA4E70"/>
    <w:rsid w:val="50F419E6"/>
    <w:rsid w:val="50FD4D3F"/>
    <w:rsid w:val="51156654"/>
    <w:rsid w:val="512A365A"/>
    <w:rsid w:val="513B4045"/>
    <w:rsid w:val="51420F36"/>
    <w:rsid w:val="515029FB"/>
    <w:rsid w:val="515508C4"/>
    <w:rsid w:val="51755AC9"/>
    <w:rsid w:val="51840FBC"/>
    <w:rsid w:val="51932FAD"/>
    <w:rsid w:val="51937451"/>
    <w:rsid w:val="51965F7A"/>
    <w:rsid w:val="51A74CAA"/>
    <w:rsid w:val="51B11685"/>
    <w:rsid w:val="51B34D01"/>
    <w:rsid w:val="51B82A14"/>
    <w:rsid w:val="51BD738B"/>
    <w:rsid w:val="51E66C69"/>
    <w:rsid w:val="51F2343E"/>
    <w:rsid w:val="51F31311"/>
    <w:rsid w:val="51F50740"/>
    <w:rsid w:val="51FD19ED"/>
    <w:rsid w:val="520A3281"/>
    <w:rsid w:val="521179CC"/>
    <w:rsid w:val="52271947"/>
    <w:rsid w:val="52497018"/>
    <w:rsid w:val="52500E9E"/>
    <w:rsid w:val="5257047F"/>
    <w:rsid w:val="525C7843"/>
    <w:rsid w:val="52666914"/>
    <w:rsid w:val="526D7CA2"/>
    <w:rsid w:val="52720908"/>
    <w:rsid w:val="52732087"/>
    <w:rsid w:val="52791B52"/>
    <w:rsid w:val="5288688A"/>
    <w:rsid w:val="529E5241"/>
    <w:rsid w:val="52B15DDC"/>
    <w:rsid w:val="52BF5F6E"/>
    <w:rsid w:val="52CA0C50"/>
    <w:rsid w:val="52D23FA9"/>
    <w:rsid w:val="52D25D57"/>
    <w:rsid w:val="52E53CDC"/>
    <w:rsid w:val="52FC4B82"/>
    <w:rsid w:val="53002F58"/>
    <w:rsid w:val="53130849"/>
    <w:rsid w:val="532B281C"/>
    <w:rsid w:val="53496AD5"/>
    <w:rsid w:val="536B7632"/>
    <w:rsid w:val="537125FF"/>
    <w:rsid w:val="53804BC8"/>
    <w:rsid w:val="5382152B"/>
    <w:rsid w:val="5392397B"/>
    <w:rsid w:val="53986AA0"/>
    <w:rsid w:val="53A45945"/>
    <w:rsid w:val="53AB0A82"/>
    <w:rsid w:val="53E126F6"/>
    <w:rsid w:val="53E14C55"/>
    <w:rsid w:val="53F92DE6"/>
    <w:rsid w:val="53FD32A8"/>
    <w:rsid w:val="540208BE"/>
    <w:rsid w:val="54022B85"/>
    <w:rsid w:val="54134879"/>
    <w:rsid w:val="541A79B6"/>
    <w:rsid w:val="545F2965"/>
    <w:rsid w:val="546F3E2D"/>
    <w:rsid w:val="54837309"/>
    <w:rsid w:val="548B08B3"/>
    <w:rsid w:val="54902F74"/>
    <w:rsid w:val="54973F96"/>
    <w:rsid w:val="54A74A8A"/>
    <w:rsid w:val="54BC6CBF"/>
    <w:rsid w:val="54C5716C"/>
    <w:rsid w:val="54C918DE"/>
    <w:rsid w:val="54D20290"/>
    <w:rsid w:val="54D9492F"/>
    <w:rsid w:val="54D9517B"/>
    <w:rsid w:val="54FC4780"/>
    <w:rsid w:val="550F3292"/>
    <w:rsid w:val="550F42DF"/>
    <w:rsid w:val="550F77F0"/>
    <w:rsid w:val="55256612"/>
    <w:rsid w:val="552D3719"/>
    <w:rsid w:val="553422CD"/>
    <w:rsid w:val="55587FE7"/>
    <w:rsid w:val="5563742E"/>
    <w:rsid w:val="55741F78"/>
    <w:rsid w:val="557D73F8"/>
    <w:rsid w:val="55886BA1"/>
    <w:rsid w:val="558A0D16"/>
    <w:rsid w:val="55A97332"/>
    <w:rsid w:val="55C45E2B"/>
    <w:rsid w:val="55CF6427"/>
    <w:rsid w:val="55D948F5"/>
    <w:rsid w:val="55E17E1A"/>
    <w:rsid w:val="55E551C1"/>
    <w:rsid w:val="55EE06D6"/>
    <w:rsid w:val="560033CF"/>
    <w:rsid w:val="560C1580"/>
    <w:rsid w:val="56220DA3"/>
    <w:rsid w:val="562C1C22"/>
    <w:rsid w:val="56356D29"/>
    <w:rsid w:val="563F570E"/>
    <w:rsid w:val="56424FA2"/>
    <w:rsid w:val="56457D9C"/>
    <w:rsid w:val="564718DC"/>
    <w:rsid w:val="566413BC"/>
    <w:rsid w:val="56965C3A"/>
    <w:rsid w:val="56CC2BC1"/>
    <w:rsid w:val="56D402F0"/>
    <w:rsid w:val="56DD3582"/>
    <w:rsid w:val="56FE536D"/>
    <w:rsid w:val="57012097"/>
    <w:rsid w:val="57014E5D"/>
    <w:rsid w:val="57032983"/>
    <w:rsid w:val="57120E18"/>
    <w:rsid w:val="57215673"/>
    <w:rsid w:val="57240AD2"/>
    <w:rsid w:val="574754C9"/>
    <w:rsid w:val="57476D14"/>
    <w:rsid w:val="575F6B30"/>
    <w:rsid w:val="576A47B0"/>
    <w:rsid w:val="576E71D9"/>
    <w:rsid w:val="57715B3F"/>
    <w:rsid w:val="5774562F"/>
    <w:rsid w:val="57861A39"/>
    <w:rsid w:val="578F4217"/>
    <w:rsid w:val="57923D07"/>
    <w:rsid w:val="57925AB5"/>
    <w:rsid w:val="579D6934"/>
    <w:rsid w:val="57AA5E00"/>
    <w:rsid w:val="57AA621C"/>
    <w:rsid w:val="57AF6667"/>
    <w:rsid w:val="57B7280B"/>
    <w:rsid w:val="57B7551B"/>
    <w:rsid w:val="57E427B4"/>
    <w:rsid w:val="57E919C5"/>
    <w:rsid w:val="57EA3B43"/>
    <w:rsid w:val="57FE314A"/>
    <w:rsid w:val="5816663A"/>
    <w:rsid w:val="582869F9"/>
    <w:rsid w:val="58297B0A"/>
    <w:rsid w:val="584A710A"/>
    <w:rsid w:val="584B45E2"/>
    <w:rsid w:val="584C005C"/>
    <w:rsid w:val="584F6D83"/>
    <w:rsid w:val="585B7BCD"/>
    <w:rsid w:val="586B07E0"/>
    <w:rsid w:val="586C6306"/>
    <w:rsid w:val="58852A1E"/>
    <w:rsid w:val="58E335FD"/>
    <w:rsid w:val="58F033DB"/>
    <w:rsid w:val="59025978"/>
    <w:rsid w:val="5903462A"/>
    <w:rsid w:val="59036487"/>
    <w:rsid w:val="591A3FB4"/>
    <w:rsid w:val="59262959"/>
    <w:rsid w:val="592937AF"/>
    <w:rsid w:val="59367040"/>
    <w:rsid w:val="593E7CA2"/>
    <w:rsid w:val="59452BF2"/>
    <w:rsid w:val="59575208"/>
    <w:rsid w:val="59592D2E"/>
    <w:rsid w:val="59745DBA"/>
    <w:rsid w:val="59B77A55"/>
    <w:rsid w:val="59B85CA7"/>
    <w:rsid w:val="59B9557B"/>
    <w:rsid w:val="59BD525F"/>
    <w:rsid w:val="59C208D3"/>
    <w:rsid w:val="59C26B25"/>
    <w:rsid w:val="59C3464B"/>
    <w:rsid w:val="59C9625C"/>
    <w:rsid w:val="59DC4C24"/>
    <w:rsid w:val="59F36CDF"/>
    <w:rsid w:val="59F50712"/>
    <w:rsid w:val="59FB2037"/>
    <w:rsid w:val="5A3317D1"/>
    <w:rsid w:val="5A335099"/>
    <w:rsid w:val="5A414152"/>
    <w:rsid w:val="5A5B2AD6"/>
    <w:rsid w:val="5A5C0D28"/>
    <w:rsid w:val="5A662004"/>
    <w:rsid w:val="5A6C083F"/>
    <w:rsid w:val="5A7616BE"/>
    <w:rsid w:val="5A8E6A07"/>
    <w:rsid w:val="5AA05919"/>
    <w:rsid w:val="5AA230B8"/>
    <w:rsid w:val="5AAC4417"/>
    <w:rsid w:val="5AB0697E"/>
    <w:rsid w:val="5ABF3065"/>
    <w:rsid w:val="5AC6677C"/>
    <w:rsid w:val="5AE14D89"/>
    <w:rsid w:val="5AE8436A"/>
    <w:rsid w:val="5AFF5640"/>
    <w:rsid w:val="5B154DAF"/>
    <w:rsid w:val="5B164B1A"/>
    <w:rsid w:val="5B240D6E"/>
    <w:rsid w:val="5B3E042E"/>
    <w:rsid w:val="5B5055A2"/>
    <w:rsid w:val="5B5B64E6"/>
    <w:rsid w:val="5B5C6B06"/>
    <w:rsid w:val="5B5C727B"/>
    <w:rsid w:val="5B5F03A4"/>
    <w:rsid w:val="5B637E94"/>
    <w:rsid w:val="5B657702"/>
    <w:rsid w:val="5B6634E0"/>
    <w:rsid w:val="5B6F4A8B"/>
    <w:rsid w:val="5B745BFD"/>
    <w:rsid w:val="5B776CA0"/>
    <w:rsid w:val="5B7853B2"/>
    <w:rsid w:val="5B794D12"/>
    <w:rsid w:val="5B7E082A"/>
    <w:rsid w:val="5B7E6A7C"/>
    <w:rsid w:val="5B8816A9"/>
    <w:rsid w:val="5B8F2A37"/>
    <w:rsid w:val="5BA10F44"/>
    <w:rsid w:val="5BAB20C2"/>
    <w:rsid w:val="5BB4249E"/>
    <w:rsid w:val="5BC36E39"/>
    <w:rsid w:val="5BC87CF7"/>
    <w:rsid w:val="5BD7787B"/>
    <w:rsid w:val="5BF925A6"/>
    <w:rsid w:val="5C0A27FF"/>
    <w:rsid w:val="5C2336DF"/>
    <w:rsid w:val="5C2C64D8"/>
    <w:rsid w:val="5C304193"/>
    <w:rsid w:val="5C4B1CCB"/>
    <w:rsid w:val="5C6B3367"/>
    <w:rsid w:val="5C7614F5"/>
    <w:rsid w:val="5C8C51C9"/>
    <w:rsid w:val="5C9D2F32"/>
    <w:rsid w:val="5CA67175"/>
    <w:rsid w:val="5CA93552"/>
    <w:rsid w:val="5CAF23D5"/>
    <w:rsid w:val="5CB0535B"/>
    <w:rsid w:val="5CB519A3"/>
    <w:rsid w:val="5CC74453"/>
    <w:rsid w:val="5CC875B8"/>
    <w:rsid w:val="5CC91409"/>
    <w:rsid w:val="5CD32DF8"/>
    <w:rsid w:val="5CD93C12"/>
    <w:rsid w:val="5CDA4186"/>
    <w:rsid w:val="5CFE540C"/>
    <w:rsid w:val="5D042FB1"/>
    <w:rsid w:val="5D1F3745"/>
    <w:rsid w:val="5D2E002E"/>
    <w:rsid w:val="5D503F73"/>
    <w:rsid w:val="5D5D145E"/>
    <w:rsid w:val="5D5F3EC2"/>
    <w:rsid w:val="5D763AE6"/>
    <w:rsid w:val="5D791F0E"/>
    <w:rsid w:val="5D890447"/>
    <w:rsid w:val="5D9450B7"/>
    <w:rsid w:val="5DB04EE7"/>
    <w:rsid w:val="5DB8393B"/>
    <w:rsid w:val="5DCC44F6"/>
    <w:rsid w:val="5DCE1084"/>
    <w:rsid w:val="5DD15589"/>
    <w:rsid w:val="5DD961EC"/>
    <w:rsid w:val="5DDB24E6"/>
    <w:rsid w:val="5DF64FF0"/>
    <w:rsid w:val="5E3653EC"/>
    <w:rsid w:val="5E457D25"/>
    <w:rsid w:val="5E5D30AD"/>
    <w:rsid w:val="5E5E4943"/>
    <w:rsid w:val="5E714948"/>
    <w:rsid w:val="5E726563"/>
    <w:rsid w:val="5E956320"/>
    <w:rsid w:val="5EA668AC"/>
    <w:rsid w:val="5EA902B4"/>
    <w:rsid w:val="5EAC66DA"/>
    <w:rsid w:val="5EC073AC"/>
    <w:rsid w:val="5EDC7275"/>
    <w:rsid w:val="5EDD61AF"/>
    <w:rsid w:val="5EE4753E"/>
    <w:rsid w:val="5EFB58D4"/>
    <w:rsid w:val="5F2454A5"/>
    <w:rsid w:val="5F3249E6"/>
    <w:rsid w:val="5F37210A"/>
    <w:rsid w:val="5F571ABE"/>
    <w:rsid w:val="5F5875E4"/>
    <w:rsid w:val="5F5A15AE"/>
    <w:rsid w:val="5F831D3D"/>
    <w:rsid w:val="5FA37BCC"/>
    <w:rsid w:val="5FA60527"/>
    <w:rsid w:val="5FED41D0"/>
    <w:rsid w:val="600801F3"/>
    <w:rsid w:val="60200102"/>
    <w:rsid w:val="60397415"/>
    <w:rsid w:val="604364E6"/>
    <w:rsid w:val="604F4E8B"/>
    <w:rsid w:val="605F57CF"/>
    <w:rsid w:val="606E3563"/>
    <w:rsid w:val="606F4BE5"/>
    <w:rsid w:val="607F1C66"/>
    <w:rsid w:val="608F3DBC"/>
    <w:rsid w:val="6094548A"/>
    <w:rsid w:val="60A701B5"/>
    <w:rsid w:val="60BD1DF5"/>
    <w:rsid w:val="60D03BDE"/>
    <w:rsid w:val="60DC55EB"/>
    <w:rsid w:val="60EF5D26"/>
    <w:rsid w:val="60F17CF0"/>
    <w:rsid w:val="60F4333C"/>
    <w:rsid w:val="60F56A7D"/>
    <w:rsid w:val="60F733F9"/>
    <w:rsid w:val="60FF41BB"/>
    <w:rsid w:val="610417D1"/>
    <w:rsid w:val="61202383"/>
    <w:rsid w:val="612400C6"/>
    <w:rsid w:val="61263332"/>
    <w:rsid w:val="61402EBF"/>
    <w:rsid w:val="61462281"/>
    <w:rsid w:val="61776447"/>
    <w:rsid w:val="617D3332"/>
    <w:rsid w:val="61BD3395"/>
    <w:rsid w:val="61C36335"/>
    <w:rsid w:val="61D5545B"/>
    <w:rsid w:val="61DA27F9"/>
    <w:rsid w:val="61FA5D0E"/>
    <w:rsid w:val="620E5785"/>
    <w:rsid w:val="621B3277"/>
    <w:rsid w:val="62206ADF"/>
    <w:rsid w:val="623065F6"/>
    <w:rsid w:val="625D388F"/>
    <w:rsid w:val="626764BC"/>
    <w:rsid w:val="62682234"/>
    <w:rsid w:val="6272396F"/>
    <w:rsid w:val="62740BD9"/>
    <w:rsid w:val="629E17B2"/>
    <w:rsid w:val="629F4C12"/>
    <w:rsid w:val="62BB2364"/>
    <w:rsid w:val="62BE1E54"/>
    <w:rsid w:val="62EB3F0B"/>
    <w:rsid w:val="62EF0E5D"/>
    <w:rsid w:val="62FB6C04"/>
    <w:rsid w:val="63081A27"/>
    <w:rsid w:val="63220635"/>
    <w:rsid w:val="632717A7"/>
    <w:rsid w:val="632B6D0D"/>
    <w:rsid w:val="63332884"/>
    <w:rsid w:val="633603D7"/>
    <w:rsid w:val="6342080F"/>
    <w:rsid w:val="634E4F86"/>
    <w:rsid w:val="63506F50"/>
    <w:rsid w:val="63581F09"/>
    <w:rsid w:val="63600BB5"/>
    <w:rsid w:val="6372336A"/>
    <w:rsid w:val="63773A63"/>
    <w:rsid w:val="637F55E1"/>
    <w:rsid w:val="638135AD"/>
    <w:rsid w:val="63883F9E"/>
    <w:rsid w:val="63A92490"/>
    <w:rsid w:val="63B3128D"/>
    <w:rsid w:val="63B70D7D"/>
    <w:rsid w:val="63D6044B"/>
    <w:rsid w:val="63D61C9E"/>
    <w:rsid w:val="63E84A0F"/>
    <w:rsid w:val="63F32D1E"/>
    <w:rsid w:val="63F764EF"/>
    <w:rsid w:val="63FF44A9"/>
    <w:rsid w:val="640210ED"/>
    <w:rsid w:val="64033FC2"/>
    <w:rsid w:val="64233AF4"/>
    <w:rsid w:val="64234664"/>
    <w:rsid w:val="64526FA0"/>
    <w:rsid w:val="6453468F"/>
    <w:rsid w:val="646507D9"/>
    <w:rsid w:val="647B7FFD"/>
    <w:rsid w:val="647F6BFD"/>
    <w:rsid w:val="64833355"/>
    <w:rsid w:val="64862C89"/>
    <w:rsid w:val="64963088"/>
    <w:rsid w:val="64C50777"/>
    <w:rsid w:val="64D213DB"/>
    <w:rsid w:val="64DD4813"/>
    <w:rsid w:val="64EE4C72"/>
    <w:rsid w:val="64FC53D1"/>
    <w:rsid w:val="65022F99"/>
    <w:rsid w:val="650A312E"/>
    <w:rsid w:val="650C6EA7"/>
    <w:rsid w:val="65270184"/>
    <w:rsid w:val="65336B29"/>
    <w:rsid w:val="654A3CF4"/>
    <w:rsid w:val="65502361"/>
    <w:rsid w:val="65727189"/>
    <w:rsid w:val="657A4A80"/>
    <w:rsid w:val="657F3B1C"/>
    <w:rsid w:val="6584085B"/>
    <w:rsid w:val="65AA0F20"/>
    <w:rsid w:val="65B03FDF"/>
    <w:rsid w:val="65B37C6A"/>
    <w:rsid w:val="65B76796"/>
    <w:rsid w:val="65D46394"/>
    <w:rsid w:val="65D70AE0"/>
    <w:rsid w:val="65ED6CD8"/>
    <w:rsid w:val="65FC1AFD"/>
    <w:rsid w:val="661C1C7B"/>
    <w:rsid w:val="661F70AE"/>
    <w:rsid w:val="66236B9E"/>
    <w:rsid w:val="663D6048"/>
    <w:rsid w:val="664969A6"/>
    <w:rsid w:val="66564B66"/>
    <w:rsid w:val="665D37CD"/>
    <w:rsid w:val="6660394E"/>
    <w:rsid w:val="66622449"/>
    <w:rsid w:val="666920D7"/>
    <w:rsid w:val="66846F11"/>
    <w:rsid w:val="66882EA5"/>
    <w:rsid w:val="668A2779"/>
    <w:rsid w:val="668B1C1E"/>
    <w:rsid w:val="669B2BD8"/>
    <w:rsid w:val="66A14018"/>
    <w:rsid w:val="66B07D06"/>
    <w:rsid w:val="66C368DA"/>
    <w:rsid w:val="66CB4B3F"/>
    <w:rsid w:val="66CD08B8"/>
    <w:rsid w:val="66D71736"/>
    <w:rsid w:val="66D87988"/>
    <w:rsid w:val="66D94B01"/>
    <w:rsid w:val="66DE2AC5"/>
    <w:rsid w:val="66F12A20"/>
    <w:rsid w:val="66FF7719"/>
    <w:rsid w:val="67020E60"/>
    <w:rsid w:val="67117FE8"/>
    <w:rsid w:val="67144738"/>
    <w:rsid w:val="672C7E7C"/>
    <w:rsid w:val="67344B4E"/>
    <w:rsid w:val="675B7F50"/>
    <w:rsid w:val="67793DA6"/>
    <w:rsid w:val="677C2BD0"/>
    <w:rsid w:val="67885FF3"/>
    <w:rsid w:val="67957627"/>
    <w:rsid w:val="6796514D"/>
    <w:rsid w:val="67982C74"/>
    <w:rsid w:val="679F04A6"/>
    <w:rsid w:val="67B332B3"/>
    <w:rsid w:val="67BF3E48"/>
    <w:rsid w:val="67D0240D"/>
    <w:rsid w:val="67D05202"/>
    <w:rsid w:val="67E61C31"/>
    <w:rsid w:val="67FF1C6C"/>
    <w:rsid w:val="68094DFF"/>
    <w:rsid w:val="68182006"/>
    <w:rsid w:val="68183DB4"/>
    <w:rsid w:val="684525DF"/>
    <w:rsid w:val="68617DBC"/>
    <w:rsid w:val="687A05CB"/>
    <w:rsid w:val="687C2595"/>
    <w:rsid w:val="689F6284"/>
    <w:rsid w:val="68AC33FE"/>
    <w:rsid w:val="68AC68D5"/>
    <w:rsid w:val="68B57855"/>
    <w:rsid w:val="68DB550E"/>
    <w:rsid w:val="68E31F3D"/>
    <w:rsid w:val="68E63EB3"/>
    <w:rsid w:val="68EC14C9"/>
    <w:rsid w:val="68F47A32"/>
    <w:rsid w:val="69080339"/>
    <w:rsid w:val="69164798"/>
    <w:rsid w:val="691E14F4"/>
    <w:rsid w:val="69270753"/>
    <w:rsid w:val="692769A5"/>
    <w:rsid w:val="69434E61"/>
    <w:rsid w:val="694B3A80"/>
    <w:rsid w:val="69653029"/>
    <w:rsid w:val="697C7D4D"/>
    <w:rsid w:val="698E2580"/>
    <w:rsid w:val="698F62F8"/>
    <w:rsid w:val="69A27DD9"/>
    <w:rsid w:val="69AA03BB"/>
    <w:rsid w:val="69B4059B"/>
    <w:rsid w:val="69BB0E9B"/>
    <w:rsid w:val="69C14B21"/>
    <w:rsid w:val="69C97A5C"/>
    <w:rsid w:val="69E5416A"/>
    <w:rsid w:val="69E77652"/>
    <w:rsid w:val="69EC374B"/>
    <w:rsid w:val="69EC5E43"/>
    <w:rsid w:val="6A1114A1"/>
    <w:rsid w:val="6A2E62D3"/>
    <w:rsid w:val="6A3019A1"/>
    <w:rsid w:val="6A3C022E"/>
    <w:rsid w:val="6A45382F"/>
    <w:rsid w:val="6A4E61B3"/>
    <w:rsid w:val="6A543B60"/>
    <w:rsid w:val="6A572EA1"/>
    <w:rsid w:val="6A6432E1"/>
    <w:rsid w:val="6A794FDE"/>
    <w:rsid w:val="6A7D43A3"/>
    <w:rsid w:val="6A99592A"/>
    <w:rsid w:val="6A9A5C09"/>
    <w:rsid w:val="6A9F07BD"/>
    <w:rsid w:val="6AAB2B20"/>
    <w:rsid w:val="6AAE6E19"/>
    <w:rsid w:val="6AB038E6"/>
    <w:rsid w:val="6AB922CB"/>
    <w:rsid w:val="6ABE009D"/>
    <w:rsid w:val="6AD77F57"/>
    <w:rsid w:val="6ADF0BB9"/>
    <w:rsid w:val="6AFB6D37"/>
    <w:rsid w:val="6B0329DB"/>
    <w:rsid w:val="6B1A42A8"/>
    <w:rsid w:val="6B545C86"/>
    <w:rsid w:val="6B601CFA"/>
    <w:rsid w:val="6B6844EE"/>
    <w:rsid w:val="6B6B33D3"/>
    <w:rsid w:val="6B7D0AFE"/>
    <w:rsid w:val="6B823122"/>
    <w:rsid w:val="6B8F25DF"/>
    <w:rsid w:val="6BA53BB1"/>
    <w:rsid w:val="6BAF129A"/>
    <w:rsid w:val="6BAF67DE"/>
    <w:rsid w:val="6BC01F13"/>
    <w:rsid w:val="6BC3230C"/>
    <w:rsid w:val="6BCC3834"/>
    <w:rsid w:val="6BE97F42"/>
    <w:rsid w:val="6BF32B6E"/>
    <w:rsid w:val="6BFC2D0B"/>
    <w:rsid w:val="6C060AF4"/>
    <w:rsid w:val="6C180827"/>
    <w:rsid w:val="6C271DDA"/>
    <w:rsid w:val="6C277E57"/>
    <w:rsid w:val="6C4D6FD8"/>
    <w:rsid w:val="6C674EFF"/>
    <w:rsid w:val="6C895281"/>
    <w:rsid w:val="6CBF5750"/>
    <w:rsid w:val="6CC52AD8"/>
    <w:rsid w:val="6CCB7408"/>
    <w:rsid w:val="6CD45427"/>
    <w:rsid w:val="6CE10C19"/>
    <w:rsid w:val="6CED3C65"/>
    <w:rsid w:val="6D011440"/>
    <w:rsid w:val="6D0B3EE8"/>
    <w:rsid w:val="6D192AA9"/>
    <w:rsid w:val="6D2356D5"/>
    <w:rsid w:val="6D260D22"/>
    <w:rsid w:val="6D3A657B"/>
    <w:rsid w:val="6D401DE3"/>
    <w:rsid w:val="6D463CE4"/>
    <w:rsid w:val="6D5E00F8"/>
    <w:rsid w:val="6D5E2269"/>
    <w:rsid w:val="6D9D16C2"/>
    <w:rsid w:val="6D9F6377"/>
    <w:rsid w:val="6DA265FA"/>
    <w:rsid w:val="6DB20C54"/>
    <w:rsid w:val="6DB8406F"/>
    <w:rsid w:val="6DCE1692"/>
    <w:rsid w:val="6DCE5641"/>
    <w:rsid w:val="6DDA2238"/>
    <w:rsid w:val="6DE810E3"/>
    <w:rsid w:val="6DED6C86"/>
    <w:rsid w:val="6E001FF1"/>
    <w:rsid w:val="6E054DDB"/>
    <w:rsid w:val="6E241705"/>
    <w:rsid w:val="6E250FD9"/>
    <w:rsid w:val="6E34121C"/>
    <w:rsid w:val="6E4E22DE"/>
    <w:rsid w:val="6E565636"/>
    <w:rsid w:val="6E5A6973"/>
    <w:rsid w:val="6E6C4E5A"/>
    <w:rsid w:val="6E810FF8"/>
    <w:rsid w:val="6E817FDF"/>
    <w:rsid w:val="6E8877AA"/>
    <w:rsid w:val="6E890FF8"/>
    <w:rsid w:val="6E9B0D17"/>
    <w:rsid w:val="6EB0491C"/>
    <w:rsid w:val="6ECD02A6"/>
    <w:rsid w:val="6ED21161"/>
    <w:rsid w:val="6EDC5B3C"/>
    <w:rsid w:val="6EF530A1"/>
    <w:rsid w:val="6EFF5CCE"/>
    <w:rsid w:val="6F0357BE"/>
    <w:rsid w:val="6F074181"/>
    <w:rsid w:val="6F23737A"/>
    <w:rsid w:val="6F444919"/>
    <w:rsid w:val="6F4965F7"/>
    <w:rsid w:val="6F4B0051"/>
    <w:rsid w:val="6F4F630E"/>
    <w:rsid w:val="6F571666"/>
    <w:rsid w:val="6F5C0A2B"/>
    <w:rsid w:val="6F83245B"/>
    <w:rsid w:val="6F8D32DA"/>
    <w:rsid w:val="6F971731"/>
    <w:rsid w:val="6F977CE2"/>
    <w:rsid w:val="6FBB7E47"/>
    <w:rsid w:val="6FBE7937"/>
    <w:rsid w:val="6FCA73A4"/>
    <w:rsid w:val="6FDB2297"/>
    <w:rsid w:val="6FE23626"/>
    <w:rsid w:val="6FF31AF5"/>
    <w:rsid w:val="6FF96F24"/>
    <w:rsid w:val="70231AB9"/>
    <w:rsid w:val="703C2309"/>
    <w:rsid w:val="704514F0"/>
    <w:rsid w:val="70452F8E"/>
    <w:rsid w:val="705F4C76"/>
    <w:rsid w:val="706B3B78"/>
    <w:rsid w:val="706D6253"/>
    <w:rsid w:val="7075449A"/>
    <w:rsid w:val="707D07B8"/>
    <w:rsid w:val="70A24B63"/>
    <w:rsid w:val="70B8187B"/>
    <w:rsid w:val="70CB40BA"/>
    <w:rsid w:val="70CB5E68"/>
    <w:rsid w:val="70CD6084"/>
    <w:rsid w:val="70CE7706"/>
    <w:rsid w:val="70EE1B56"/>
    <w:rsid w:val="70F5350B"/>
    <w:rsid w:val="710B6BAC"/>
    <w:rsid w:val="71133F57"/>
    <w:rsid w:val="711E68DF"/>
    <w:rsid w:val="712B2DAA"/>
    <w:rsid w:val="7138689B"/>
    <w:rsid w:val="714F6A99"/>
    <w:rsid w:val="71614A1E"/>
    <w:rsid w:val="71944487"/>
    <w:rsid w:val="719B1CDE"/>
    <w:rsid w:val="71A566B9"/>
    <w:rsid w:val="71A60683"/>
    <w:rsid w:val="71AC1AC8"/>
    <w:rsid w:val="71B529D6"/>
    <w:rsid w:val="71C64881"/>
    <w:rsid w:val="71D90A58"/>
    <w:rsid w:val="71D96BFC"/>
    <w:rsid w:val="71E84380"/>
    <w:rsid w:val="72021766"/>
    <w:rsid w:val="72023B0B"/>
    <w:rsid w:val="72035AD5"/>
    <w:rsid w:val="721932C8"/>
    <w:rsid w:val="72200435"/>
    <w:rsid w:val="72331F17"/>
    <w:rsid w:val="72423914"/>
    <w:rsid w:val="724A483C"/>
    <w:rsid w:val="724A740F"/>
    <w:rsid w:val="72565C05"/>
    <w:rsid w:val="72577605"/>
    <w:rsid w:val="725D47C0"/>
    <w:rsid w:val="725E6E9D"/>
    <w:rsid w:val="72620A4E"/>
    <w:rsid w:val="726F4F19"/>
    <w:rsid w:val="727603A8"/>
    <w:rsid w:val="72767DCE"/>
    <w:rsid w:val="72783DCD"/>
    <w:rsid w:val="72794B03"/>
    <w:rsid w:val="727A5D97"/>
    <w:rsid w:val="727C7B11"/>
    <w:rsid w:val="72870D1A"/>
    <w:rsid w:val="729503B2"/>
    <w:rsid w:val="729878B0"/>
    <w:rsid w:val="72A22445"/>
    <w:rsid w:val="72B1108D"/>
    <w:rsid w:val="72B81143"/>
    <w:rsid w:val="72BD3ED6"/>
    <w:rsid w:val="72C139C6"/>
    <w:rsid w:val="72C25048"/>
    <w:rsid w:val="72C67042"/>
    <w:rsid w:val="72D62D0F"/>
    <w:rsid w:val="72E476B5"/>
    <w:rsid w:val="72E47B50"/>
    <w:rsid w:val="72EC6777"/>
    <w:rsid w:val="72F10C6B"/>
    <w:rsid w:val="72FA0C86"/>
    <w:rsid w:val="730E4ECA"/>
    <w:rsid w:val="731114D5"/>
    <w:rsid w:val="73133AF6"/>
    <w:rsid w:val="731A1328"/>
    <w:rsid w:val="731F249B"/>
    <w:rsid w:val="73245D03"/>
    <w:rsid w:val="732C4FF0"/>
    <w:rsid w:val="732E6B82"/>
    <w:rsid w:val="73370B5E"/>
    <w:rsid w:val="735F4F8D"/>
    <w:rsid w:val="73BA02A1"/>
    <w:rsid w:val="73C0639E"/>
    <w:rsid w:val="73E45068"/>
    <w:rsid w:val="73EA5760"/>
    <w:rsid w:val="73EF6311"/>
    <w:rsid w:val="74054476"/>
    <w:rsid w:val="740912D6"/>
    <w:rsid w:val="741C4C2C"/>
    <w:rsid w:val="741D7693"/>
    <w:rsid w:val="742F4960"/>
    <w:rsid w:val="74387CB8"/>
    <w:rsid w:val="7459507C"/>
    <w:rsid w:val="74784559"/>
    <w:rsid w:val="748511D7"/>
    <w:rsid w:val="748B2830"/>
    <w:rsid w:val="7491561A"/>
    <w:rsid w:val="749B1FF5"/>
    <w:rsid w:val="749D7C71"/>
    <w:rsid w:val="749E5641"/>
    <w:rsid w:val="74AA2238"/>
    <w:rsid w:val="74AC4202"/>
    <w:rsid w:val="74AE3AD6"/>
    <w:rsid w:val="74AF2912"/>
    <w:rsid w:val="74AF5AA0"/>
    <w:rsid w:val="74CB0B2C"/>
    <w:rsid w:val="75114065"/>
    <w:rsid w:val="752C0E9F"/>
    <w:rsid w:val="752E4C17"/>
    <w:rsid w:val="753A180E"/>
    <w:rsid w:val="754A035E"/>
    <w:rsid w:val="75583565"/>
    <w:rsid w:val="755A7C7F"/>
    <w:rsid w:val="75720FA8"/>
    <w:rsid w:val="75901B79"/>
    <w:rsid w:val="75904F3B"/>
    <w:rsid w:val="759233F8"/>
    <w:rsid w:val="75C21A42"/>
    <w:rsid w:val="75EA6D90"/>
    <w:rsid w:val="76292133"/>
    <w:rsid w:val="76472434"/>
    <w:rsid w:val="76793A17"/>
    <w:rsid w:val="767B5620"/>
    <w:rsid w:val="769245DD"/>
    <w:rsid w:val="76980C07"/>
    <w:rsid w:val="769D3E02"/>
    <w:rsid w:val="76A35191"/>
    <w:rsid w:val="76AC4ADA"/>
    <w:rsid w:val="76C24FEA"/>
    <w:rsid w:val="76CF5F86"/>
    <w:rsid w:val="76DC2A3A"/>
    <w:rsid w:val="76F37EC6"/>
    <w:rsid w:val="76F459ED"/>
    <w:rsid w:val="77075720"/>
    <w:rsid w:val="771E49C7"/>
    <w:rsid w:val="77277B70"/>
    <w:rsid w:val="773A7B27"/>
    <w:rsid w:val="77410A12"/>
    <w:rsid w:val="7756360C"/>
    <w:rsid w:val="77737259"/>
    <w:rsid w:val="777869B2"/>
    <w:rsid w:val="77B4629C"/>
    <w:rsid w:val="77B91110"/>
    <w:rsid w:val="77BC5323"/>
    <w:rsid w:val="77EC1F80"/>
    <w:rsid w:val="77F4039A"/>
    <w:rsid w:val="77FC724F"/>
    <w:rsid w:val="78072FF3"/>
    <w:rsid w:val="780B7492"/>
    <w:rsid w:val="78104AA8"/>
    <w:rsid w:val="78127272"/>
    <w:rsid w:val="78231881"/>
    <w:rsid w:val="782B19EF"/>
    <w:rsid w:val="785C1A9B"/>
    <w:rsid w:val="786006B6"/>
    <w:rsid w:val="78621085"/>
    <w:rsid w:val="786848E4"/>
    <w:rsid w:val="78686692"/>
    <w:rsid w:val="787A4CD6"/>
    <w:rsid w:val="78842255"/>
    <w:rsid w:val="78996E19"/>
    <w:rsid w:val="78E0091E"/>
    <w:rsid w:val="78E026CC"/>
    <w:rsid w:val="78EF0F1C"/>
    <w:rsid w:val="78F61EF0"/>
    <w:rsid w:val="79183C14"/>
    <w:rsid w:val="792D3F73"/>
    <w:rsid w:val="79346574"/>
    <w:rsid w:val="79393B8B"/>
    <w:rsid w:val="794B3FEA"/>
    <w:rsid w:val="79554E68"/>
    <w:rsid w:val="797057FE"/>
    <w:rsid w:val="797F50D2"/>
    <w:rsid w:val="79940E86"/>
    <w:rsid w:val="79951709"/>
    <w:rsid w:val="79BF22AB"/>
    <w:rsid w:val="79C124FE"/>
    <w:rsid w:val="79C40A0A"/>
    <w:rsid w:val="79CE0777"/>
    <w:rsid w:val="79E033A0"/>
    <w:rsid w:val="79F6548E"/>
    <w:rsid w:val="7A060751"/>
    <w:rsid w:val="7A0B7A1A"/>
    <w:rsid w:val="7A1C5418"/>
    <w:rsid w:val="7A360F1F"/>
    <w:rsid w:val="7A443A7C"/>
    <w:rsid w:val="7A4647B1"/>
    <w:rsid w:val="7A480529"/>
    <w:rsid w:val="7A4B1DC7"/>
    <w:rsid w:val="7A4F62B2"/>
    <w:rsid w:val="7A5B592A"/>
    <w:rsid w:val="7A765096"/>
    <w:rsid w:val="7A7E219D"/>
    <w:rsid w:val="7A8772A3"/>
    <w:rsid w:val="7A9B5B8A"/>
    <w:rsid w:val="7AB23BF5"/>
    <w:rsid w:val="7AB43E11"/>
    <w:rsid w:val="7AB53E09"/>
    <w:rsid w:val="7ACC115A"/>
    <w:rsid w:val="7AD87AFF"/>
    <w:rsid w:val="7AE268D5"/>
    <w:rsid w:val="7AF83CFD"/>
    <w:rsid w:val="7B2B0145"/>
    <w:rsid w:val="7B3D7962"/>
    <w:rsid w:val="7B560A24"/>
    <w:rsid w:val="7B744583"/>
    <w:rsid w:val="7B780263"/>
    <w:rsid w:val="7B98103C"/>
    <w:rsid w:val="7BA46C09"/>
    <w:rsid w:val="7BAC2D3A"/>
    <w:rsid w:val="7BB045D8"/>
    <w:rsid w:val="7BC3342D"/>
    <w:rsid w:val="7BE3522F"/>
    <w:rsid w:val="7C213CD7"/>
    <w:rsid w:val="7C2154D6"/>
    <w:rsid w:val="7C222B66"/>
    <w:rsid w:val="7C2823C0"/>
    <w:rsid w:val="7C2D2219"/>
    <w:rsid w:val="7C30396B"/>
    <w:rsid w:val="7C350F81"/>
    <w:rsid w:val="7C353320"/>
    <w:rsid w:val="7C410173"/>
    <w:rsid w:val="7C501917"/>
    <w:rsid w:val="7C54128A"/>
    <w:rsid w:val="7C647170"/>
    <w:rsid w:val="7C66738C"/>
    <w:rsid w:val="7C680615"/>
    <w:rsid w:val="7C6A4359"/>
    <w:rsid w:val="7C6A7EDE"/>
    <w:rsid w:val="7C851649"/>
    <w:rsid w:val="7CA53A11"/>
    <w:rsid w:val="7CB400F8"/>
    <w:rsid w:val="7CBC6FAC"/>
    <w:rsid w:val="7CD662C0"/>
    <w:rsid w:val="7CE64566"/>
    <w:rsid w:val="7CE81B50"/>
    <w:rsid w:val="7CFD384D"/>
    <w:rsid w:val="7D013633"/>
    <w:rsid w:val="7D066572"/>
    <w:rsid w:val="7D1562FF"/>
    <w:rsid w:val="7D23702C"/>
    <w:rsid w:val="7D364FB1"/>
    <w:rsid w:val="7D4B020A"/>
    <w:rsid w:val="7D4F7975"/>
    <w:rsid w:val="7D545437"/>
    <w:rsid w:val="7D56419E"/>
    <w:rsid w:val="7D7F24B4"/>
    <w:rsid w:val="7D884A57"/>
    <w:rsid w:val="7D8A2EEC"/>
    <w:rsid w:val="7DBE495F"/>
    <w:rsid w:val="7DD56578"/>
    <w:rsid w:val="7DE05B6B"/>
    <w:rsid w:val="7E1F0D91"/>
    <w:rsid w:val="7E5574CE"/>
    <w:rsid w:val="7E6E42D6"/>
    <w:rsid w:val="7E7D47CC"/>
    <w:rsid w:val="7E7E7F16"/>
    <w:rsid w:val="7E88070E"/>
    <w:rsid w:val="7EAF0B77"/>
    <w:rsid w:val="7EC42148"/>
    <w:rsid w:val="7EE016E1"/>
    <w:rsid w:val="7EEC1DCB"/>
    <w:rsid w:val="7EEC2A4B"/>
    <w:rsid w:val="7EF7251E"/>
    <w:rsid w:val="7F062761"/>
    <w:rsid w:val="7F3B68AE"/>
    <w:rsid w:val="7F435763"/>
    <w:rsid w:val="7F517421"/>
    <w:rsid w:val="7F5B022E"/>
    <w:rsid w:val="7F606315"/>
    <w:rsid w:val="7F792F33"/>
    <w:rsid w:val="7F7973D7"/>
    <w:rsid w:val="7F7E679B"/>
    <w:rsid w:val="7F820039"/>
    <w:rsid w:val="7F841A9B"/>
    <w:rsid w:val="7F8C2C66"/>
    <w:rsid w:val="7F8C3962"/>
    <w:rsid w:val="7F8C710A"/>
    <w:rsid w:val="7FCA3AAB"/>
    <w:rsid w:val="7FD62A42"/>
    <w:rsid w:val="7FD7188E"/>
    <w:rsid w:val="7FDE6231"/>
    <w:rsid w:val="7FDF548C"/>
    <w:rsid w:val="7FE346EA"/>
    <w:rsid w:val="7FF058EB"/>
    <w:rsid w:val="7FF32CE5"/>
    <w:rsid w:val="7FFC4E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qFormat="1"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4">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5"/>
    <w:qFormat/>
    <w:uiPriority w:val="0"/>
    <w:pPr>
      <w:jc w:val="left"/>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pPr>
      <w:spacing w:beforeAutospacing="1" w:afterAutospacing="1"/>
      <w:jc w:val="left"/>
    </w:pPr>
    <w:rPr>
      <w:rFonts w:cs="Times New Roman"/>
      <w:kern w:val="0"/>
      <w:sz w:val="24"/>
    </w:rPr>
  </w:style>
  <w:style w:type="paragraph" w:styleId="9">
    <w:name w:val="annotation subject"/>
    <w:basedOn w:val="5"/>
    <w:next w:val="5"/>
    <w:link w:val="26"/>
    <w:qFormat/>
    <w:uiPriority w:val="0"/>
    <w:rPr>
      <w:b/>
      <w:bCs/>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FollowedHyperlink"/>
    <w:basedOn w:val="12"/>
    <w:qFormat/>
    <w:uiPriority w:val="0"/>
    <w:rPr>
      <w:color w:val="800080"/>
      <w:u w:val="single"/>
    </w:rPr>
  </w:style>
  <w:style w:type="character" w:styleId="15">
    <w:name w:val="Emphasis"/>
    <w:basedOn w:val="12"/>
    <w:qFormat/>
    <w:uiPriority w:val="0"/>
    <w:rPr>
      <w:i/>
    </w:rPr>
  </w:style>
  <w:style w:type="character" w:styleId="16">
    <w:name w:val="line number"/>
    <w:basedOn w:val="12"/>
    <w:qFormat/>
    <w:uiPriority w:val="0"/>
  </w:style>
  <w:style w:type="character" w:styleId="17">
    <w:name w:val="Hyperlink"/>
    <w:basedOn w:val="12"/>
    <w:qFormat/>
    <w:uiPriority w:val="0"/>
    <w:rPr>
      <w:color w:val="0000FF"/>
      <w:u w:val="single"/>
    </w:rPr>
  </w:style>
  <w:style w:type="character" w:styleId="18">
    <w:name w:val="annotation reference"/>
    <w:basedOn w:val="12"/>
    <w:qFormat/>
    <w:uiPriority w:val="0"/>
    <w:rPr>
      <w:sz w:val="21"/>
      <w:szCs w:val="21"/>
    </w:rPr>
  </w:style>
  <w:style w:type="character" w:customStyle="1" w:styleId="19">
    <w:name w:val="font11"/>
    <w:basedOn w:val="12"/>
    <w:qFormat/>
    <w:uiPriority w:val="0"/>
    <w:rPr>
      <w:rFonts w:hint="default" w:ascii="Arial" w:hAnsi="Arial" w:cs="Arial"/>
      <w:color w:val="000000"/>
      <w:sz w:val="20"/>
      <w:szCs w:val="20"/>
      <w:u w:val="none"/>
    </w:rPr>
  </w:style>
  <w:style w:type="character" w:customStyle="1" w:styleId="20">
    <w:name w:val="font51"/>
    <w:basedOn w:val="12"/>
    <w:qFormat/>
    <w:uiPriority w:val="0"/>
    <w:rPr>
      <w:rFonts w:hint="eastAsia" w:ascii="宋体" w:hAnsi="宋体" w:eastAsia="宋体" w:cs="宋体"/>
      <w:color w:val="000000"/>
      <w:sz w:val="22"/>
      <w:szCs w:val="22"/>
      <w:u w:val="none"/>
    </w:rPr>
  </w:style>
  <w:style w:type="character" w:customStyle="1" w:styleId="21">
    <w:name w:val="font01"/>
    <w:basedOn w:val="12"/>
    <w:qFormat/>
    <w:uiPriority w:val="0"/>
    <w:rPr>
      <w:rFonts w:hint="eastAsia" w:ascii="宋体" w:hAnsi="宋体" w:eastAsia="宋体" w:cs="宋体"/>
      <w:color w:val="000000"/>
      <w:sz w:val="22"/>
      <w:szCs w:val="22"/>
      <w:u w:val="none"/>
    </w:rPr>
  </w:style>
  <w:style w:type="character" w:customStyle="1" w:styleId="22">
    <w:name w:val="font41"/>
    <w:basedOn w:val="12"/>
    <w:qFormat/>
    <w:uiPriority w:val="0"/>
    <w:rPr>
      <w:rFonts w:hint="eastAsia" w:ascii="宋体" w:hAnsi="宋体" w:eastAsia="宋体" w:cs="宋体"/>
      <w:color w:val="000000"/>
      <w:sz w:val="22"/>
      <w:szCs w:val="22"/>
      <w:u w:val="none"/>
      <w:vertAlign w:val="superscript"/>
    </w:rPr>
  </w:style>
  <w:style w:type="character" w:customStyle="1" w:styleId="23">
    <w:name w:val="font61"/>
    <w:basedOn w:val="12"/>
    <w:qFormat/>
    <w:uiPriority w:val="0"/>
    <w:rPr>
      <w:rFonts w:hint="default" w:ascii="Times New Roman" w:hAnsi="Times New Roman" w:cs="Times New Roman"/>
      <w:strike/>
      <w:color w:val="FF0000"/>
      <w:sz w:val="18"/>
      <w:szCs w:val="18"/>
    </w:rPr>
  </w:style>
  <w:style w:type="character" w:customStyle="1" w:styleId="24">
    <w:name w:val="font21"/>
    <w:basedOn w:val="12"/>
    <w:qFormat/>
    <w:uiPriority w:val="0"/>
    <w:rPr>
      <w:rFonts w:hint="default" w:ascii="Times New Roman" w:hAnsi="Times New Roman" w:cs="Times New Roman"/>
      <w:color w:val="000000"/>
      <w:sz w:val="18"/>
      <w:szCs w:val="18"/>
      <w:u w:val="none"/>
    </w:rPr>
  </w:style>
  <w:style w:type="character" w:customStyle="1" w:styleId="25">
    <w:name w:val="批注文字 字符"/>
    <w:basedOn w:val="12"/>
    <w:link w:val="5"/>
    <w:qFormat/>
    <w:uiPriority w:val="0"/>
    <w:rPr>
      <w:rFonts w:asciiTheme="minorHAnsi" w:hAnsiTheme="minorHAnsi" w:eastAsiaTheme="minorEastAsia" w:cstheme="minorBidi"/>
      <w:kern w:val="2"/>
      <w:sz w:val="21"/>
      <w:szCs w:val="24"/>
    </w:rPr>
  </w:style>
  <w:style w:type="character" w:customStyle="1" w:styleId="26">
    <w:name w:val="批注主题 字符"/>
    <w:basedOn w:val="25"/>
    <w:link w:val="9"/>
    <w:qFormat/>
    <w:uiPriority w:val="0"/>
    <w:rPr>
      <w:rFonts w:asciiTheme="minorHAnsi" w:hAnsiTheme="minorHAnsi" w:eastAsiaTheme="minorEastAsia" w:cstheme="minorBidi"/>
      <w:b/>
      <w:bCs/>
      <w:kern w:val="2"/>
      <w:sz w:val="21"/>
      <w:szCs w:val="24"/>
    </w:rPr>
  </w:style>
  <w:style w:type="character" w:customStyle="1" w:styleId="27">
    <w:name w:val="未处理的提及1"/>
    <w:basedOn w:val="12"/>
    <w:semiHidden/>
    <w:unhideWhenUsed/>
    <w:qFormat/>
    <w:uiPriority w:val="99"/>
    <w:rPr>
      <w:color w:val="605E5C"/>
      <w:shd w:val="clear" w:color="auto" w:fill="E1DFDD"/>
    </w:rPr>
  </w:style>
  <w:style w:type="paragraph" w:customStyle="1" w:styleId="28">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4705</Words>
  <Characters>27678</Characters>
  <Lines>273</Lines>
  <Paragraphs>77</Paragraphs>
  <TotalTime>0</TotalTime>
  <ScaleCrop>false</ScaleCrop>
  <LinksUpToDate>false</LinksUpToDate>
  <CharactersWithSpaces>31832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2023-12-11T01:44:00Z</dcterms:created>
  <dc:creator>18384</dc:creator>
  <cp:lastModifiedBy>smile</cp:lastModifiedBy>
  <dcterms:modified xsi:type="dcterms:W3CDTF">2025-08-10T13:18:53Z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9A73B01BB0A84BC6AA6AAD1B30E3DBA0_13</vt:lpwstr>
  </property>
  <property fmtid="{D5CDD505-2E9C-101B-9397-08002B2CF9AE}" pid="4" name="KSOTemplateDocerSaveRecord">
    <vt:lpwstr>eyJoZGlkIjoiNmNhN2Y4N2VjZTRiNjAwYjJjMzU5Y2JiMzA4OTc4ZDAiLCJ1c2VySWQiOiI0Mjg2NDIwMTcifQ==</vt:lpwstr>
  </property>
</Properties>
</file>