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7920" w14:textId="77777777" w:rsidR="007B5D39" w:rsidRDefault="00000000">
      <w:pPr>
        <w:spacing w:line="360" w:lineRule="auto"/>
        <w:rPr>
          <w:rFonts w:ascii="Times New Roman" w:hAnsi="Times New Roman"/>
          <w:b/>
          <w:bCs/>
          <w:sz w:val="24"/>
        </w:rPr>
      </w:pPr>
      <w:r>
        <w:rPr>
          <w:rFonts w:ascii="Times New Roman" w:hAnsi="Times New Roman"/>
          <w:b/>
          <w:bCs/>
          <w:sz w:val="24"/>
        </w:rPr>
        <w:t>Aerobic exercise protocol</w:t>
      </w:r>
    </w:p>
    <w:p w14:paraId="53CE9147" w14:textId="77777777" w:rsidR="007B5D39" w:rsidRDefault="00000000">
      <w:pPr>
        <w:spacing w:line="360" w:lineRule="auto"/>
        <w:ind w:firstLineChars="200" w:firstLine="480"/>
        <w:rPr>
          <w:rFonts w:ascii="Times New Roman" w:hAnsi="Times New Roman"/>
          <w:sz w:val="24"/>
        </w:rPr>
      </w:pPr>
      <w:r>
        <w:rPr>
          <w:rFonts w:ascii="Times New Roman" w:hAnsi="Times New Roman" w:hint="eastAsia"/>
          <w:sz w:val="24"/>
        </w:rPr>
        <w:t>Participants in the training paradigm adhered to a consistent exercise regimen, engaging in physical activity three to four times weekly over an eight-week period. Each 45-minute session was meticulously structured, commencing with a 5 to 10-minute adaptive warm-up phase involving low-intensity aerobic training at 30% of the individual's heart rate reserve. This was followed by a 5-minute cool-down period, dedicated to relaxation training, to ensure a gradual return to a resting state. The main body of the workout was designed to maintain an intensity level of 60% to 75% of the person's age-predicted maximal heart rate, calculated by subtracting their age from 220, which falls within the moderate exercise intensity range recommended by the American College of Sports Medicine.</w:t>
      </w:r>
    </w:p>
    <w:p w14:paraId="2A401672" w14:textId="6CC77E79" w:rsidR="007B5D39" w:rsidRDefault="00000000">
      <w:pPr>
        <w:spacing w:line="360" w:lineRule="auto"/>
        <w:ind w:firstLineChars="200" w:firstLine="480"/>
        <w:rPr>
          <w:rFonts w:ascii="Times New Roman" w:hAnsi="Times New Roman"/>
          <w:sz w:val="24"/>
        </w:rPr>
      </w:pPr>
      <w:r>
        <w:rPr>
          <w:rFonts w:ascii="Times New Roman" w:hAnsi="Times New Roman" w:hint="eastAsia"/>
          <w:sz w:val="24"/>
        </w:rPr>
        <w:t xml:space="preserve">The aerobic training regimen primarily focused on closed-skill activities, as referenced by Voss et al. </w:t>
      </w:r>
      <w:r w:rsidR="00E55060">
        <w:rPr>
          <w:rFonts w:ascii="Times New Roman" w:hAnsi="Times New Roman"/>
          <w:sz w:val="24"/>
        </w:rPr>
        <w:fldChar w:fldCharType="begin">
          <w:fldData xml:space="preserve">PEVuZE5vdGU+PENpdGU+PEF1dGhvcj5Wb3NzPC9BdXRob3I+PFllYXI+MjAxMzwvWWVhcj48UmVj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</w:fldData>
        </w:fldChar>
      </w:r>
      <w:r w:rsidR="00E55060">
        <w:rPr>
          <w:rFonts w:ascii="Times New Roman" w:hAnsi="Times New Roman"/>
          <w:sz w:val="24"/>
        </w:rPr>
        <w:instrText xml:space="preserve"> ADDIN EN.CITE </w:instrText>
      </w:r>
      <w:r w:rsidR="00E55060">
        <w:rPr>
          <w:rFonts w:ascii="Times New Roman" w:hAnsi="Times New Roman"/>
          <w:sz w:val="24"/>
        </w:rPr>
        <w:fldChar w:fldCharType="begin">
          <w:fldData xml:space="preserve">PEVuZE5vdGU+PENpdGU+PEF1dGhvcj5Wb3NzPC9BdXRob3I+PFllYXI+MjAxMzwvWWVhcj48UmVj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</w:fldData>
        </w:fldChar>
      </w:r>
      <w:r w:rsidR="00E55060">
        <w:rPr>
          <w:rFonts w:ascii="Times New Roman" w:hAnsi="Times New Roman"/>
          <w:sz w:val="24"/>
        </w:rPr>
        <w:instrText xml:space="preserve"> ADDIN EN.CITE.DATA </w:instrText>
      </w:r>
      <w:r w:rsidR="00E55060">
        <w:rPr>
          <w:rFonts w:ascii="Times New Roman" w:hAnsi="Times New Roman"/>
          <w:sz w:val="24"/>
        </w:rPr>
      </w:r>
      <w:r w:rsidR="00E55060">
        <w:rPr>
          <w:rFonts w:ascii="Times New Roman" w:hAnsi="Times New Roman"/>
          <w:sz w:val="24"/>
        </w:rPr>
        <w:fldChar w:fldCharType="end"/>
      </w:r>
      <w:r w:rsidR="00E55060">
        <w:rPr>
          <w:rFonts w:ascii="Times New Roman" w:hAnsi="Times New Roman"/>
          <w:sz w:val="24"/>
        </w:rPr>
        <w:fldChar w:fldCharType="separate"/>
      </w:r>
      <w:r w:rsidR="00E55060">
        <w:rPr>
          <w:rFonts w:ascii="Times New Roman" w:hAnsi="Times New Roman"/>
          <w:noProof/>
          <w:sz w:val="24"/>
        </w:rPr>
        <w:t>[1]</w:t>
      </w:r>
      <w:r w:rsidR="00E55060">
        <w:rPr>
          <w:rFonts w:ascii="Times New Roman" w:hAnsi="Times New Roman"/>
          <w:sz w:val="24"/>
        </w:rPr>
        <w:fldChar w:fldCharType="end"/>
      </w:r>
      <w:r>
        <w:rPr>
          <w:rFonts w:ascii="Times New Roman" w:hAnsi="Times New Roman" w:hint="eastAsia"/>
          <w:sz w:val="24"/>
        </w:rPr>
        <w:t>. These sessions were individually tailored and scheduled on nonconsecutive days, with a maximum interval of two days between workouts to allow for adequate rest and recovery. Throughout the experiment, participants were equipped with a wrist-worn detection device from Xiaomi Technology Co., Ltd., which served to meticulously record vital metrics such as heart rate, training duration, frequency, and intensity. Post-session, the collected data was diligently uploaded to an online diary applet for further analysis.</w:t>
      </w:r>
    </w:p>
    <w:p w14:paraId="0950B719" w14:textId="77777777" w:rsidR="007B5D39" w:rsidRDefault="00000000">
      <w:pPr>
        <w:spacing w:line="360" w:lineRule="auto"/>
        <w:ind w:firstLineChars="200" w:firstLine="480"/>
        <w:rPr>
          <w:rFonts w:ascii="Times New Roman" w:hAnsi="Times New Roman"/>
          <w:sz w:val="24"/>
        </w:rPr>
      </w:pPr>
      <w:r>
        <w:rPr>
          <w:rFonts w:ascii="Times New Roman" w:hAnsi="Times New Roman" w:hint="eastAsia"/>
          <w:sz w:val="24"/>
        </w:rPr>
        <w:t>To monitor progress and ensure the intervention's effectiveness, participants were observed in small group settings on a weekly basis by designated staff. This oversight was crucial for assessing both the effectiveness of the intervention and the participants' adherence to the training program. For those who found the initial prescribed intensity too challenging, a graduated approach was recommended: beginning with 1-2 weeks of low-intensity adaptive training before progressing to the full eight-week program at the prescribed intensity.</w:t>
      </w:r>
    </w:p>
    <w:p w14:paraId="297E7B70" w14:textId="77777777" w:rsidR="007B5D39" w:rsidRDefault="007B5D39">
      <w:pPr>
        <w:spacing w:line="360" w:lineRule="auto"/>
        <w:ind w:firstLineChars="200" w:firstLine="480"/>
        <w:rPr>
          <w:rFonts w:ascii="Times New Roman" w:hAnsi="Times New Roman"/>
          <w:sz w:val="24"/>
        </w:rPr>
      </w:pPr>
    </w:p>
    <w:p w14:paraId="1C4B1BA8" w14:textId="77777777" w:rsidR="00E55060" w:rsidRDefault="00E55060">
      <w:pPr>
        <w:spacing w:line="360" w:lineRule="auto"/>
        <w:ind w:firstLineChars="200" w:firstLine="480"/>
        <w:rPr>
          <w:rFonts w:ascii="Times New Roman" w:hAnsi="Times New Roman"/>
          <w:sz w:val="24"/>
        </w:rPr>
      </w:pPr>
    </w:p>
    <w:p w14:paraId="6AC12994" w14:textId="77777777" w:rsidR="00E55060" w:rsidRDefault="00E55060">
      <w:pPr>
        <w:spacing w:line="360" w:lineRule="auto"/>
        <w:ind w:firstLineChars="200" w:firstLine="480"/>
        <w:rPr>
          <w:rFonts w:ascii="Times New Roman" w:hAnsi="Times New Roman"/>
          <w:sz w:val="24"/>
        </w:rPr>
      </w:pPr>
    </w:p>
    <w:p w14:paraId="32D7CE4D" w14:textId="77777777" w:rsidR="00E55060" w:rsidRDefault="00E55060">
      <w:pPr>
        <w:spacing w:line="360" w:lineRule="auto"/>
        <w:ind w:firstLineChars="200" w:firstLine="480"/>
        <w:rPr>
          <w:rFonts w:ascii="Times New Roman" w:hAnsi="Times New Roman" w:hint="eastAsia"/>
          <w:sz w:val="24"/>
        </w:rPr>
      </w:pPr>
    </w:p>
    <w:p w14:paraId="25A5C036" w14:textId="77777777" w:rsidR="007B5D39" w:rsidRDefault="00000000">
      <w:pPr>
        <w:spacing w:line="360" w:lineRule="auto"/>
        <w:rPr>
          <w:rFonts w:ascii="Times New Roman" w:hAnsi="Times New Roman"/>
          <w:b/>
          <w:bCs/>
          <w:sz w:val="24"/>
        </w:rPr>
      </w:pPr>
      <w:r>
        <w:rPr>
          <w:rFonts w:ascii="Times New Roman" w:hAnsi="Times New Roman" w:hint="eastAsia"/>
          <w:b/>
          <w:bCs/>
          <w:sz w:val="24"/>
        </w:rPr>
        <w:lastRenderedPageBreak/>
        <w:t>Reference</w:t>
      </w:r>
    </w:p>
    <w:p w14:paraId="6C54C609" w14:textId="77777777" w:rsidR="00E55060" w:rsidRPr="00E55060" w:rsidRDefault="00E55060" w:rsidP="00E55060">
      <w:pPr>
        <w:pStyle w:val="EndNoteBibliography"/>
        <w:ind w:left="720" w:hanging="720"/>
        <w:rPr>
          <w:noProof/>
        </w:rPr>
      </w:pPr>
      <w:r>
        <w:fldChar w:fldCharType="begin"/>
      </w:r>
      <w:r>
        <w:instrText xml:space="preserve"> ADDIN EN.REFLIST </w:instrText>
      </w:r>
      <w:r>
        <w:fldChar w:fldCharType="separate"/>
      </w:r>
      <w:r w:rsidRPr="00E55060">
        <w:rPr>
          <w:noProof/>
        </w:rPr>
        <w:t>1.</w:t>
      </w:r>
      <w:r w:rsidRPr="00E55060">
        <w:rPr>
          <w:noProof/>
        </w:rPr>
        <w:tab/>
        <w:t>Voss MW, Erickson KI, Prakash RS, Chaddock L, Kim JS, Alves H, Szabo A, Phillips SM, Wójcicki TR, Mailey EL</w:t>
      </w:r>
      <w:r w:rsidRPr="00E55060">
        <w:rPr>
          <w:i/>
          <w:noProof/>
        </w:rPr>
        <w:t xml:space="preserve"> et al</w:t>
      </w:r>
      <w:r w:rsidRPr="00E55060">
        <w:rPr>
          <w:noProof/>
        </w:rPr>
        <w:t xml:space="preserve">: </w:t>
      </w:r>
      <w:r w:rsidRPr="00E55060">
        <w:rPr>
          <w:b/>
          <w:noProof/>
        </w:rPr>
        <w:t>Neurobiological markers of exercise-related brain plasticity in older adults</w:t>
      </w:r>
      <w:r w:rsidRPr="00E55060">
        <w:rPr>
          <w:noProof/>
        </w:rPr>
        <w:t xml:space="preserve">. </w:t>
      </w:r>
      <w:r w:rsidRPr="00E55060">
        <w:rPr>
          <w:i/>
          <w:noProof/>
        </w:rPr>
        <w:t xml:space="preserve">Brain Behav Immun </w:t>
      </w:r>
      <w:r w:rsidRPr="00E55060">
        <w:rPr>
          <w:noProof/>
        </w:rPr>
        <w:t xml:space="preserve">2013, </w:t>
      </w:r>
      <w:r w:rsidRPr="00E55060">
        <w:rPr>
          <w:b/>
          <w:noProof/>
        </w:rPr>
        <w:t>28</w:t>
      </w:r>
      <w:r w:rsidRPr="00E55060">
        <w:rPr>
          <w:noProof/>
        </w:rPr>
        <w:t>:90-99.</w:t>
      </w:r>
    </w:p>
    <w:p w14:paraId="608C3BAF" w14:textId="30D812C4" w:rsidR="007B5D39" w:rsidRDefault="00E55060">
      <w:r>
        <w:fldChar w:fldCharType="end"/>
      </w:r>
    </w:p>
    <w:sectPr w:rsidR="007B5D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EzYjVhNGM2YzJjMWM5ZmNjZTdlMWI1OTM0YjYyYzkifQ=="/>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evvfwe4ws5twe2tp852xrpffs9zdf0prsv&quot;&gt;My EndNote Library&lt;record-ids&gt;&lt;item&gt;175&lt;/item&gt;&lt;/record-ids&gt;&lt;/item&gt;&lt;/Libraries&gt;"/>
    <w:docVar w:name="KSO_WPS_MARK_KEY" w:val="9cdcea51-4f83-40d2-a6c3-9fb308b2f8d6"/>
  </w:docVars>
  <w:rsids>
    <w:rsidRoot w:val="16BE385A"/>
    <w:rsid w:val="000E0EAF"/>
    <w:rsid w:val="007B5D39"/>
    <w:rsid w:val="00E55060"/>
    <w:rsid w:val="16BE385A"/>
    <w:rsid w:val="42617D42"/>
    <w:rsid w:val="43DC73AE"/>
    <w:rsid w:val="5FE22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259B2"/>
  <w15:docId w15:val="{DB37308E-E9C5-4363-A2AE-BE4F011F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
    <w:name w:val="EndNote Bibliography"/>
    <w:qFormat/>
    <w:pPr>
      <w:jc w:val="both"/>
    </w:pPr>
    <w:rPr>
      <w:rFonts w:ascii="Calibri" w:eastAsia="宋体" w:hAnsi="Calibri" w:cs="Calibri"/>
      <w:kern w:val="2"/>
      <w:szCs w:val="24"/>
    </w:rPr>
  </w:style>
  <w:style w:type="paragraph" w:customStyle="1" w:styleId="EndNoteBibliographyTitle">
    <w:name w:val="EndNote Bibliography Title"/>
    <w:basedOn w:val="a"/>
    <w:link w:val="EndNoteBibliographyTitle0"/>
    <w:rsid w:val="00E55060"/>
    <w:pPr>
      <w:jc w:val="center"/>
    </w:pPr>
    <w:rPr>
      <w:rFonts w:cs="Calibri"/>
      <w:noProof/>
      <w:sz w:val="20"/>
    </w:rPr>
  </w:style>
  <w:style w:type="character" w:customStyle="1" w:styleId="EndNoteBibliographyTitle0">
    <w:name w:val="EndNote Bibliography Title 字符"/>
    <w:basedOn w:val="a0"/>
    <w:link w:val="EndNoteBibliographyTitle"/>
    <w:rsid w:val="00E55060"/>
    <w:rPr>
      <w:rFonts w:ascii="Calibri" w:eastAsia="宋体" w:hAnsi="Calibri" w:cs="Calibri"/>
      <w:noProof/>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326</Words>
  <Characters>1963</Characters>
  <Application>Microsoft Office Word</Application>
  <DocSecurity>0</DocSecurity>
  <Lines>31</Lines>
  <Paragraphs>7</Paragraphs>
  <ScaleCrop>false</ScaleCrop>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 LN</dc:creator>
  <cp:lastModifiedBy>丽娜 黄</cp:lastModifiedBy>
  <cp:revision>2</cp:revision>
  <dcterms:created xsi:type="dcterms:W3CDTF">2025-01-25T14:39:00Z</dcterms:created>
  <dcterms:modified xsi:type="dcterms:W3CDTF">2025-09-10T22:04:00Z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A3A619A7EFAC4D02B9E5C3AC20F183BB_13</vt:lpwstr>
  </property>
</Properties>
</file>